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4CE" w:rsidRPr="00470EA3" w:rsidRDefault="005B04CE" w:rsidP="005B04CE">
      <w:pPr>
        <w:pStyle w:val="Antrats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ŠIAULIŲ RAJONO SAVIVALDYBĖS</w:t>
      </w:r>
    </w:p>
    <w:p w:rsidR="005B04CE" w:rsidRDefault="005B04CE" w:rsidP="005B04CE">
      <w:pPr>
        <w:pStyle w:val="Antrats"/>
        <w:jc w:val="center"/>
        <w:rPr>
          <w:b/>
          <w:sz w:val="28"/>
          <w:lang w:val="lt-LT"/>
        </w:rPr>
      </w:pPr>
      <w:r w:rsidRPr="00470EA3">
        <w:rPr>
          <w:b/>
          <w:sz w:val="28"/>
          <w:lang w:val="lt-LT"/>
        </w:rPr>
        <w:t>ŠVIETIMO PASLAUGŲ CENTRAS</w:t>
      </w:r>
    </w:p>
    <w:p w:rsidR="005B04CE" w:rsidRPr="00470EA3" w:rsidRDefault="005B04CE" w:rsidP="005B04CE">
      <w:pPr>
        <w:pStyle w:val="Antrats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VIEŠŲJŲ PIRKIMŲ KOMISIJA</w:t>
      </w:r>
    </w:p>
    <w:p w:rsidR="005B04CE" w:rsidRPr="00590B59" w:rsidRDefault="005B04CE" w:rsidP="005B04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69850</wp:posOffset>
                </wp:positionV>
                <wp:extent cx="6400800" cy="0"/>
                <wp:effectExtent l="5715" t="6985" r="13335" b="1206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817B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5.5pt" to="490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" o:allowincell="f"/>
            </w:pict>
          </mc:Fallback>
        </mc:AlternateContent>
      </w:r>
    </w:p>
    <w:p w:rsidR="005B04CE" w:rsidRDefault="005B04CE" w:rsidP="005B04CE">
      <w:pPr>
        <w:pStyle w:val="Pagrindinistekstas"/>
        <w:spacing w:after="0"/>
      </w:pPr>
    </w:p>
    <w:p w:rsidR="005B04CE" w:rsidRPr="00AC04AE" w:rsidRDefault="005B04CE" w:rsidP="005B04CE">
      <w:pPr>
        <w:pStyle w:val="Pagrindinistekstas"/>
        <w:spacing w:after="0"/>
      </w:pPr>
      <w:r w:rsidRPr="00AC04AE">
        <w:t>Suinteresuotiems asmenims</w:t>
      </w:r>
      <w:r w:rsidRPr="00AC04AE">
        <w:tab/>
      </w:r>
      <w:r w:rsidRPr="00AC04AE">
        <w:tab/>
      </w:r>
      <w:r w:rsidRPr="00AC04AE">
        <w:tab/>
        <w:t>2025-05-07</w:t>
      </w:r>
    </w:p>
    <w:p w:rsidR="005B04CE" w:rsidRPr="00AC04AE" w:rsidRDefault="005B04CE" w:rsidP="005B04CE">
      <w:pPr>
        <w:rPr>
          <w:sz w:val="24"/>
          <w:szCs w:val="24"/>
        </w:rPr>
      </w:pPr>
    </w:p>
    <w:p w:rsidR="005B04CE" w:rsidRPr="00AC04AE" w:rsidRDefault="005B04CE" w:rsidP="005B04CE">
      <w:pPr>
        <w:rPr>
          <w:sz w:val="24"/>
          <w:szCs w:val="24"/>
        </w:rPr>
      </w:pPr>
    </w:p>
    <w:p w:rsidR="005B04CE" w:rsidRPr="00AC04AE" w:rsidRDefault="005B04CE" w:rsidP="005B04CE">
      <w:pPr>
        <w:rPr>
          <w:b/>
          <w:sz w:val="24"/>
          <w:szCs w:val="24"/>
        </w:rPr>
      </w:pPr>
      <w:r w:rsidRPr="00AC04AE">
        <w:rPr>
          <w:b/>
          <w:sz w:val="24"/>
          <w:szCs w:val="24"/>
        </w:rPr>
        <w:t>DĖL PATEIKTŲ PASTABŲ/PASIŪLYMŲ</w:t>
      </w:r>
    </w:p>
    <w:p w:rsidR="0073750E" w:rsidRPr="00AC04AE" w:rsidRDefault="0073750E">
      <w:pPr>
        <w:rPr>
          <w:sz w:val="24"/>
          <w:szCs w:val="24"/>
        </w:rPr>
      </w:pPr>
    </w:p>
    <w:p w:rsidR="005B04CE" w:rsidRPr="00AC04AE" w:rsidRDefault="005B04CE" w:rsidP="005B04CE">
      <w:pPr>
        <w:ind w:firstLine="567"/>
        <w:jc w:val="both"/>
        <w:rPr>
          <w:sz w:val="24"/>
          <w:szCs w:val="24"/>
          <w:lang w:val="lt-LT"/>
        </w:rPr>
      </w:pPr>
      <w:r w:rsidRPr="00AC04AE">
        <w:rPr>
          <w:sz w:val="24"/>
          <w:szCs w:val="24"/>
          <w:lang w:val="lt-LT"/>
        </w:rPr>
        <w:t>Informuojame, kad vykdant rinkos konsultaciją „Žuvis ir žuvies produktai</w:t>
      </w:r>
      <w:r w:rsidRPr="00AC04AE">
        <w:rPr>
          <w:b/>
          <w:sz w:val="24"/>
          <w:szCs w:val="24"/>
          <w:lang w:val="lt-LT"/>
        </w:rPr>
        <w:t xml:space="preserve"> </w:t>
      </w:r>
      <w:r w:rsidRPr="00AC04AE">
        <w:rPr>
          <w:sz w:val="24"/>
          <w:szCs w:val="24"/>
          <w:lang w:val="lt-LT"/>
        </w:rPr>
        <w:t>Šiaulių rajono savivaldybės ugdymo įstaigoms</w:t>
      </w:r>
      <w:r w:rsidRPr="00AC04AE">
        <w:rPr>
          <w:rFonts w:eastAsia="SimSun"/>
          <w:sz w:val="24"/>
          <w:szCs w:val="24"/>
          <w:lang w:val="lt-LT"/>
        </w:rPr>
        <w:t>“</w:t>
      </w:r>
      <w:r w:rsidRPr="00AC04AE">
        <w:rPr>
          <w:sz w:val="24"/>
          <w:szCs w:val="24"/>
          <w:lang w:val="lt-LT"/>
        </w:rPr>
        <w:t xml:space="preserve"> (pirkimo Nr. 2441066) iš tiekėjo buvo gautos pastabos/pasiūlymai.</w:t>
      </w:r>
    </w:p>
    <w:p w:rsidR="00AC6F8A" w:rsidRPr="00AC04AE" w:rsidRDefault="00AC6F8A" w:rsidP="00AC6F8A">
      <w:pPr>
        <w:ind w:firstLine="567"/>
        <w:jc w:val="both"/>
        <w:rPr>
          <w:sz w:val="24"/>
          <w:szCs w:val="24"/>
          <w:lang w:val="lt-LT"/>
        </w:rPr>
      </w:pPr>
      <w:r w:rsidRPr="00AC04AE">
        <w:rPr>
          <w:sz w:val="24"/>
          <w:szCs w:val="24"/>
          <w:lang w:val="lt-LT"/>
        </w:rPr>
        <w:t>Viešųjų pirkimų komisija išnagrinėjusi vieno iš tiekėjo pastabas/pasiūlymus nusprendė:</w:t>
      </w:r>
    </w:p>
    <w:p w:rsidR="0073750E" w:rsidRPr="005B04CE" w:rsidRDefault="0073750E" w:rsidP="0073750E">
      <w:pPr>
        <w:spacing w:after="120"/>
        <w:ind w:right="-561"/>
        <w:jc w:val="center"/>
        <w:rPr>
          <w:b/>
          <w:bCs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6"/>
        <w:gridCol w:w="2988"/>
        <w:gridCol w:w="3159"/>
        <w:gridCol w:w="2945"/>
      </w:tblGrid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rFonts w:eastAsia="Calibri"/>
                <w:szCs w:val="24"/>
                <w:lang w:val="lt-LT"/>
              </w:rPr>
              <w:t>Eil. Nr.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rFonts w:eastAsia="Calibri"/>
                <w:szCs w:val="24"/>
                <w:lang w:val="lt-LT"/>
              </w:rPr>
              <w:t>Klausimas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>
              <w:rPr>
                <w:rFonts w:eastAsia="Calibri"/>
                <w:szCs w:val="24"/>
                <w:lang w:val="lt-LT"/>
              </w:rPr>
              <w:t>Pastabos / siūlymai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center"/>
              <w:rPr>
                <w:rFonts w:eastAsia="Calibri"/>
                <w:szCs w:val="24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>Atsakymai</w:t>
            </w:r>
          </w:p>
        </w:tc>
      </w:tr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E" w:rsidRDefault="00B37BDE" w:rsidP="006D1D5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turite pastabų techninei specifikacijai (priedas Nr. 1)?</w:t>
            </w:r>
          </w:p>
          <w:p w:rsidR="00B37BDE" w:rsidRDefault="00B37BDE" w:rsidP="006D1D5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(prašome pateikti pastabas)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</w:tc>
      </w:tr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BDE" w:rsidRDefault="00B37BDE" w:rsidP="006D1D5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turite pasiūlymų techninei specifikacijai (priedas Nr. 1)?</w:t>
            </w:r>
          </w:p>
          <w:p w:rsidR="00B37BDE" w:rsidRDefault="00B37BDE" w:rsidP="006D1D5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>(prašome pateikti siūlymus)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center"/>
              <w:rPr>
                <w:rFonts w:eastAsia="Calibri"/>
                <w:b/>
                <w:szCs w:val="24"/>
                <w:lang w:val="lt-LT"/>
              </w:rPr>
            </w:pPr>
          </w:p>
        </w:tc>
      </w:tr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both"/>
              <w:rPr>
                <w:iCs/>
                <w:sz w:val="22"/>
                <w:szCs w:val="22"/>
                <w:lang w:val="lt-LT" w:eastAsia="ja-JP"/>
              </w:rPr>
            </w:pPr>
            <w:r>
              <w:rPr>
                <w:sz w:val="22"/>
                <w:szCs w:val="22"/>
                <w:lang w:val="lt-LT"/>
              </w:rPr>
              <w:t xml:space="preserve">Ar techninės specifikacijos (priedas Nr. 1) yra pakankamai išsamus, konkretus ir aiškus, ar jame yra visi </w:t>
            </w:r>
            <w:r>
              <w:rPr>
                <w:rFonts w:eastAsia="Calibri"/>
                <w:sz w:val="22"/>
                <w:szCs w:val="22"/>
                <w:lang w:val="lt-LT"/>
              </w:rPr>
              <w:t>būtini reikalavimai</w:t>
            </w:r>
            <w:r>
              <w:rPr>
                <w:sz w:val="22"/>
                <w:szCs w:val="22"/>
                <w:lang w:val="lt-LT"/>
              </w:rPr>
              <w:t>? Jei ne, nurodykite kurios vietos neišsamios, nekonkrečios ar neaiškios? Kokius reikalavimus papildomai siūlytumėte įtraukti į techninę specifikaciją? Prašome pateikti argumentuotas pastabas ir pasiūlymus.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</w:p>
        </w:tc>
      </w:tr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both"/>
              <w:rPr>
                <w:iCs/>
                <w:sz w:val="22"/>
                <w:szCs w:val="22"/>
                <w:lang w:val="lt-LT" w:eastAsia="ja-JP"/>
              </w:rPr>
            </w:pPr>
            <w:r>
              <w:rPr>
                <w:sz w:val="22"/>
                <w:szCs w:val="22"/>
                <w:lang w:val="lt-LT"/>
              </w:rPr>
              <w:t>Ar išfasavimo svoriai (techninių specifikacijų  priedas Nr. 1) 3 stulpelyje yra įmanomi? Jei neįmanomi, tuomet prašytume paaiškinti kodėl?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</w:p>
        </w:tc>
      </w:tr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Ar sutarčių projektuose nustatytos sutarčių sąlygos priimtinos? </w:t>
            </w:r>
            <w:r>
              <w:rPr>
                <w:sz w:val="22"/>
                <w:szCs w:val="22"/>
                <w:lang w:val="lt-LT" w:eastAsia="lt-LT"/>
              </w:rPr>
              <w:t>Jei ne, kokios sąlygos Jums nepriimtinos? Atsakymą prašome detalizuoti.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Default="00B37BDE" w:rsidP="006D1D57">
            <w:pPr>
              <w:jc w:val="both"/>
              <w:rPr>
                <w:iCs/>
                <w:color w:val="404040"/>
                <w:sz w:val="22"/>
                <w:szCs w:val="22"/>
                <w:lang w:val="lt-LT" w:eastAsia="ja-JP"/>
              </w:rPr>
            </w:pPr>
          </w:p>
        </w:tc>
      </w:tr>
      <w:tr w:rsidR="00B37BDE" w:rsidTr="00B37BD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center"/>
              <w:rPr>
                <w:iCs/>
                <w:color w:val="404040"/>
                <w:lang w:val="lt-LT" w:eastAsia="ja-JP"/>
              </w:rPr>
            </w:pPr>
            <w:r>
              <w:rPr>
                <w:iCs/>
                <w:color w:val="404040"/>
                <w:lang w:val="lt-LT" w:eastAsia="ja-JP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DE" w:rsidRDefault="00B37BDE" w:rsidP="006D1D57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Prašome nurodyti kitą, Jūsų nuomone, reikšmingą informaciją.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DE" w:rsidRPr="00B91E58" w:rsidRDefault="00B37BDE" w:rsidP="00B91E58">
            <w:pPr>
              <w:rPr>
                <w:sz w:val="22"/>
                <w:szCs w:val="22"/>
                <w:lang w:val="lt-LT" w:eastAsia="lt-LT"/>
              </w:rPr>
            </w:pPr>
            <w:r w:rsidRPr="00B91E58">
              <w:rPr>
                <w:sz w:val="22"/>
                <w:szCs w:val="22"/>
                <w:lang w:val="lt-LT" w:eastAsia="lt-LT"/>
              </w:rPr>
              <w:t xml:space="preserve">1) Siūlome panaikinti konkretų pristatymo laiką - antradieniais iki 11 val., kadangi jis riboja tiekėjų konkurenciją. Kadangi daugiausiai perkamos šaldytos žuvies prekės, jos gali būti sandėliuojamos ilgesnį laiką. </w:t>
            </w:r>
            <w:r w:rsidRPr="00B91E58">
              <w:rPr>
                <w:sz w:val="22"/>
                <w:szCs w:val="22"/>
                <w:lang w:val="lt-LT" w:eastAsia="lt-LT"/>
              </w:rPr>
              <w:lastRenderedPageBreak/>
              <w:t>Todėl galimas tiekėjo ir pirkėjų abipusiškai patogių pristatymo grafikų susiderinimas. Priešingu atveju, dalis tiekėjų gali nedalyvauti būsimame pirkime, kadangi jų važiavimo dienos gali būti kitos.</w:t>
            </w:r>
          </w:p>
          <w:p w:rsidR="00691994" w:rsidRPr="00B91E58" w:rsidRDefault="00691994" w:rsidP="00B91E58">
            <w:pPr>
              <w:rPr>
                <w:sz w:val="22"/>
                <w:szCs w:val="22"/>
                <w:lang w:val="lt-LT" w:eastAsia="lt-LT"/>
              </w:rPr>
            </w:pPr>
          </w:p>
          <w:p w:rsidR="00E207AE" w:rsidRPr="00B91E58" w:rsidRDefault="00E207AE" w:rsidP="00B91E58">
            <w:pPr>
              <w:rPr>
                <w:sz w:val="22"/>
                <w:szCs w:val="22"/>
                <w:lang w:val="lt-LT" w:eastAsia="lt-LT"/>
              </w:rPr>
            </w:pPr>
            <w:bookmarkStart w:id="0" w:name="_GoBack"/>
            <w:bookmarkEnd w:id="0"/>
          </w:p>
          <w:p w:rsidR="00E207AE" w:rsidRPr="00B91E58" w:rsidRDefault="00E207AE" w:rsidP="00B91E58">
            <w:pPr>
              <w:rPr>
                <w:sz w:val="22"/>
                <w:szCs w:val="22"/>
                <w:lang w:val="lt-LT" w:eastAsia="lt-LT"/>
              </w:rPr>
            </w:pPr>
          </w:p>
          <w:p w:rsidR="00E207AE" w:rsidRPr="00B91E58" w:rsidRDefault="00E207AE" w:rsidP="00B91E58">
            <w:pPr>
              <w:rPr>
                <w:sz w:val="22"/>
                <w:szCs w:val="22"/>
                <w:lang w:val="lt-LT" w:eastAsia="lt-LT"/>
              </w:rPr>
            </w:pPr>
          </w:p>
          <w:p w:rsidR="00327C62" w:rsidRPr="00B91E58" w:rsidRDefault="00327C62" w:rsidP="00B91E58">
            <w:pPr>
              <w:rPr>
                <w:sz w:val="22"/>
                <w:szCs w:val="22"/>
                <w:lang w:val="lt-LT" w:eastAsia="lt-LT"/>
              </w:rPr>
            </w:pPr>
          </w:p>
          <w:p w:rsidR="00B37BDE" w:rsidRPr="00B91E58" w:rsidRDefault="00B37BDE" w:rsidP="00B91E58">
            <w:pPr>
              <w:rPr>
                <w:iCs/>
                <w:color w:val="404040"/>
                <w:sz w:val="22"/>
                <w:szCs w:val="22"/>
                <w:lang w:val="lt-LT" w:eastAsia="ja-JP"/>
              </w:rPr>
            </w:pPr>
            <w:r w:rsidRPr="00B91E58">
              <w:rPr>
                <w:sz w:val="22"/>
                <w:szCs w:val="22"/>
                <w:lang w:val="lt-LT" w:eastAsia="lt-LT"/>
              </w:rPr>
              <w:t>2) Siūlome nustatyti minimalų užsakymo krepšelį - 70 Eur be PVM. Minimalus užsakymo krepšelis reikalingas tiekėjui,  jog būtų padengti pristatymo kaštai. Priešingu atveju, jei pirkėjai turės galimybę užsakyti itin mažą prekių kiekį (pvz. 1, 2, ar 3 kg ir pan.), tiekėjai bus priversti siūlyti atitinkamai didesnes nei galėtų pasiūlyti prekių vnt. kainas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9E" w:rsidRPr="00B91E58" w:rsidRDefault="00B37BDE" w:rsidP="00B91E58">
            <w:pPr>
              <w:rPr>
                <w:iCs/>
                <w:sz w:val="22"/>
                <w:szCs w:val="22"/>
                <w:lang w:val="lt-LT" w:eastAsia="ja-JP"/>
              </w:rPr>
            </w:pPr>
            <w:r w:rsidRPr="00B91E58">
              <w:rPr>
                <w:sz w:val="22"/>
                <w:szCs w:val="22"/>
                <w:lang w:val="lt-LT" w:eastAsia="lt-LT"/>
              </w:rPr>
              <w:lastRenderedPageBreak/>
              <w:t xml:space="preserve">1. </w:t>
            </w:r>
            <w:r w:rsidRPr="00B91E58">
              <w:rPr>
                <w:iCs/>
                <w:sz w:val="22"/>
                <w:szCs w:val="22"/>
                <w:lang w:val="lt-LT" w:eastAsia="ja-JP"/>
              </w:rPr>
              <w:t xml:space="preserve">Pastaba netenkinama. </w:t>
            </w:r>
          </w:p>
          <w:p w:rsidR="00E207AE" w:rsidRPr="00B91E58" w:rsidRDefault="00873D50" w:rsidP="00B91E58">
            <w:pPr>
              <w:rPr>
                <w:iCs/>
                <w:sz w:val="22"/>
                <w:szCs w:val="22"/>
                <w:lang w:eastAsia="ja-JP"/>
              </w:rPr>
            </w:pPr>
            <w:r w:rsidRPr="00B91E58">
              <w:rPr>
                <w:iCs/>
                <w:sz w:val="22"/>
                <w:szCs w:val="22"/>
                <w:lang w:val="lt-LT" w:eastAsia="ja-JP"/>
              </w:rPr>
              <w:t>Atsižvelgiant į tai, kad p</w:t>
            </w:r>
            <w:r w:rsidR="00EE1F9E" w:rsidRPr="00B91E58">
              <w:rPr>
                <w:iCs/>
                <w:sz w:val="22"/>
                <w:szCs w:val="22"/>
                <w:lang w:val="lt-LT" w:eastAsia="ja-JP"/>
              </w:rPr>
              <w:t xml:space="preserve">agal ugdymo įstaigų sudarytus valgiaraščius </w:t>
            </w:r>
            <w:r w:rsidR="00EC0481" w:rsidRPr="00B91E58">
              <w:rPr>
                <w:iCs/>
                <w:sz w:val="22"/>
                <w:szCs w:val="22"/>
                <w:lang w:val="lt-LT" w:eastAsia="ja-JP"/>
              </w:rPr>
              <w:t>bus perkama ir atšaldyta žuvis, u</w:t>
            </w:r>
            <w:r w:rsidR="00B37BDE" w:rsidRPr="00B91E58">
              <w:rPr>
                <w:iCs/>
                <w:sz w:val="22"/>
                <w:szCs w:val="22"/>
                <w:lang w:val="lt-LT" w:eastAsia="ja-JP"/>
              </w:rPr>
              <w:t xml:space="preserve">gdymo įstaigos neturi galimybių laikyti didelį kiekį produkcijos </w:t>
            </w:r>
            <w:r w:rsidR="00B37BDE" w:rsidRPr="00B91E58">
              <w:rPr>
                <w:iCs/>
                <w:sz w:val="22"/>
                <w:szCs w:val="22"/>
                <w:lang w:val="lt-LT" w:eastAsia="ja-JP"/>
              </w:rPr>
              <w:lastRenderedPageBreak/>
              <w:t>(neturi pakankamai šaldymo įrenginių bei patalpų, reikalingo šaldymo įrangai laikyti).</w:t>
            </w:r>
            <w:r w:rsidR="00EE1F9E" w:rsidRPr="00B91E58">
              <w:rPr>
                <w:iCs/>
                <w:sz w:val="22"/>
                <w:szCs w:val="22"/>
                <w:lang w:val="lt-LT" w:eastAsia="ja-JP"/>
              </w:rPr>
              <w:t xml:space="preserve"> </w:t>
            </w:r>
            <w:r w:rsidR="00C27EE0" w:rsidRPr="00B91E58">
              <w:rPr>
                <w:iCs/>
                <w:sz w:val="22"/>
                <w:szCs w:val="22"/>
                <w:lang w:val="lt-LT" w:eastAsia="ja-JP"/>
              </w:rPr>
              <w:t xml:space="preserve">Pažymime, kad </w:t>
            </w:r>
            <w:r w:rsidR="00E207AE" w:rsidRPr="00B91E58">
              <w:rPr>
                <w:iCs/>
                <w:sz w:val="22"/>
                <w:szCs w:val="22"/>
                <w:lang w:val="lt-LT" w:eastAsia="ja-JP"/>
              </w:rPr>
              <w:t xml:space="preserve">atliekant rinkos konsultaciją </w:t>
            </w:r>
            <w:r w:rsidR="005E525A" w:rsidRPr="00B91E58">
              <w:rPr>
                <w:iCs/>
                <w:sz w:val="22"/>
                <w:szCs w:val="22"/>
                <w:lang w:val="lt-LT" w:eastAsia="ja-JP"/>
              </w:rPr>
              <w:t xml:space="preserve">buvo pridėtas </w:t>
            </w:r>
            <w:r w:rsidR="005E525A" w:rsidRPr="00B91E58">
              <w:rPr>
                <w:iCs/>
                <w:sz w:val="22"/>
                <w:szCs w:val="22"/>
                <w:lang w:eastAsia="ja-JP"/>
              </w:rPr>
              <w:t>Sutarties projektas, kuriame buvo</w:t>
            </w:r>
            <w:r w:rsidR="00E207AE" w:rsidRPr="00B91E58">
              <w:rPr>
                <w:iCs/>
                <w:sz w:val="22"/>
                <w:szCs w:val="22"/>
                <w:lang w:eastAsia="ja-JP"/>
              </w:rPr>
              <w:t xml:space="preserve"> numatyta galimybė prekes pristatyti kitu laiku</w:t>
            </w:r>
            <w:r w:rsidR="00527FB0" w:rsidRPr="00B91E58">
              <w:rPr>
                <w:iCs/>
                <w:sz w:val="22"/>
                <w:szCs w:val="22"/>
                <w:lang w:eastAsia="ja-JP"/>
              </w:rPr>
              <w:t xml:space="preserve">, kuris gali būti </w:t>
            </w:r>
            <w:r w:rsidR="005E525A" w:rsidRPr="00B91E58">
              <w:rPr>
                <w:iCs/>
                <w:sz w:val="22"/>
                <w:szCs w:val="22"/>
                <w:lang w:eastAsia="ja-JP"/>
              </w:rPr>
              <w:t>suderint</w:t>
            </w:r>
            <w:r w:rsidR="00527FB0" w:rsidRPr="00B91E58">
              <w:rPr>
                <w:iCs/>
                <w:sz w:val="22"/>
                <w:szCs w:val="22"/>
                <w:lang w:eastAsia="ja-JP"/>
              </w:rPr>
              <w:t>as</w:t>
            </w:r>
            <w:r w:rsidR="005E525A" w:rsidRPr="00B91E58">
              <w:rPr>
                <w:iCs/>
                <w:sz w:val="22"/>
                <w:szCs w:val="22"/>
                <w:lang w:eastAsia="ja-JP"/>
              </w:rPr>
              <w:t xml:space="preserve"> su Pirkėju</w:t>
            </w:r>
            <w:r w:rsidR="00527FB0" w:rsidRPr="00B91E58">
              <w:rPr>
                <w:iCs/>
                <w:sz w:val="22"/>
                <w:szCs w:val="22"/>
                <w:lang w:eastAsia="ja-JP"/>
              </w:rPr>
              <w:t xml:space="preserve"> </w:t>
            </w:r>
            <w:r w:rsidR="00527FB0" w:rsidRPr="00B91E58">
              <w:rPr>
                <w:rFonts w:eastAsia="Calibri"/>
                <w:sz w:val="22"/>
                <w:szCs w:val="22"/>
              </w:rPr>
              <w:t>bendru rašytiniu susitarimu.</w:t>
            </w:r>
          </w:p>
          <w:p w:rsidR="00E207AE" w:rsidRPr="00B91E58" w:rsidRDefault="00E207AE" w:rsidP="00B91E58">
            <w:pPr>
              <w:rPr>
                <w:iCs/>
                <w:sz w:val="22"/>
                <w:szCs w:val="22"/>
                <w:lang w:val="lt-LT" w:eastAsia="ja-JP"/>
              </w:rPr>
            </w:pPr>
          </w:p>
          <w:p w:rsidR="00B37BDE" w:rsidRPr="00B91E58" w:rsidRDefault="00B37BDE" w:rsidP="00B91E58">
            <w:pPr>
              <w:rPr>
                <w:sz w:val="22"/>
                <w:szCs w:val="22"/>
                <w:lang w:val="lt-LT" w:eastAsia="lt-LT"/>
              </w:rPr>
            </w:pPr>
            <w:r w:rsidRPr="00B91E58">
              <w:rPr>
                <w:sz w:val="22"/>
                <w:szCs w:val="22"/>
                <w:lang w:val="lt-LT" w:eastAsia="lt-LT"/>
              </w:rPr>
              <w:t>2. Pastaba netenkinama.</w:t>
            </w:r>
          </w:p>
          <w:p w:rsidR="00E207AE" w:rsidRPr="00B91E58" w:rsidRDefault="00FD5C6B" w:rsidP="00B91E58">
            <w:pPr>
              <w:rPr>
                <w:sz w:val="22"/>
                <w:szCs w:val="22"/>
                <w:lang w:val="lt-LT" w:eastAsia="lt-LT"/>
              </w:rPr>
            </w:pPr>
            <w:r w:rsidRPr="00B91E58">
              <w:rPr>
                <w:sz w:val="22"/>
                <w:szCs w:val="22"/>
                <w:lang w:val="lt-LT" w:eastAsia="lt-LT"/>
              </w:rPr>
              <w:t>Ugdymo įstaigų įsipareigojim</w:t>
            </w:r>
            <w:r w:rsidR="004F6582" w:rsidRPr="00B91E58">
              <w:rPr>
                <w:sz w:val="22"/>
                <w:szCs w:val="22"/>
                <w:lang w:val="lt-LT" w:eastAsia="lt-LT"/>
              </w:rPr>
              <w:t>o</w:t>
            </w:r>
            <w:r w:rsidRPr="00B91E58">
              <w:rPr>
                <w:sz w:val="22"/>
                <w:szCs w:val="22"/>
                <w:lang w:val="lt-LT" w:eastAsia="lt-LT"/>
              </w:rPr>
              <w:t xml:space="preserve"> įsigyti prekių už ne mažiau kaip 70 Eur be PVM </w:t>
            </w:r>
            <w:r w:rsidR="00A57412" w:rsidRPr="00B91E58">
              <w:rPr>
                <w:sz w:val="22"/>
                <w:szCs w:val="22"/>
                <w:lang w:val="lt-LT" w:eastAsia="lt-LT"/>
              </w:rPr>
              <w:t>negalės būti vykdomi</w:t>
            </w:r>
            <w:r w:rsidRPr="00B91E58">
              <w:rPr>
                <w:sz w:val="22"/>
                <w:szCs w:val="22"/>
                <w:lang w:val="lt-LT" w:eastAsia="lt-LT"/>
              </w:rPr>
              <w:t xml:space="preserve"> dėl to, kad pagal sudarytus valgiaraščius tam tikrų užsakomų prekių kiekiai bus nedideli dėl </w:t>
            </w:r>
            <w:r w:rsidR="00A57412" w:rsidRPr="00B91E58">
              <w:rPr>
                <w:sz w:val="22"/>
                <w:szCs w:val="22"/>
                <w:lang w:val="lt-LT" w:eastAsia="lt-LT"/>
              </w:rPr>
              <w:t>nedidelių mokinių</w:t>
            </w:r>
            <w:r w:rsidRPr="00B91E58">
              <w:rPr>
                <w:sz w:val="22"/>
                <w:szCs w:val="22"/>
                <w:lang w:val="lt-LT" w:eastAsia="lt-LT"/>
              </w:rPr>
              <w:t xml:space="preserve"> skaičiaus. Taip pat, </w:t>
            </w:r>
            <w:r w:rsidRPr="00B91E58">
              <w:rPr>
                <w:sz w:val="22"/>
                <w:szCs w:val="22"/>
                <w:lang w:val="lt-LT" w:eastAsia="lt-LT"/>
              </w:rPr>
              <w:t>Ugdymo įstaigos</w:t>
            </w:r>
            <w:r w:rsidRPr="00B91E58">
              <w:rPr>
                <w:color w:val="000000"/>
                <w:sz w:val="22"/>
                <w:szCs w:val="22"/>
                <w:lang w:val="lt-LT"/>
              </w:rPr>
              <w:t xml:space="preserve"> neturi galimybių sandėliuoti didelių prekių kiekių.</w:t>
            </w:r>
          </w:p>
        </w:tc>
      </w:tr>
    </w:tbl>
    <w:p w:rsidR="0073750E" w:rsidRDefault="0073750E">
      <w:pPr>
        <w:rPr>
          <w:lang w:val="lt-LT"/>
        </w:rPr>
      </w:pPr>
    </w:p>
    <w:p w:rsidR="00CE4CFA" w:rsidRDefault="00CE4CFA">
      <w:pPr>
        <w:rPr>
          <w:lang w:val="lt-LT"/>
        </w:rPr>
      </w:pPr>
    </w:p>
    <w:p w:rsidR="00CE4CFA" w:rsidRDefault="00CE4CFA" w:rsidP="00CE4CFA">
      <w:pPr>
        <w:jc w:val="both"/>
        <w:rPr>
          <w:b/>
        </w:rPr>
      </w:pPr>
    </w:p>
    <w:p w:rsidR="00CE4CFA" w:rsidRPr="00CE4CFA" w:rsidRDefault="00CE4CFA">
      <w:pPr>
        <w:rPr>
          <w:sz w:val="24"/>
          <w:szCs w:val="24"/>
          <w:lang w:val="lt-LT"/>
        </w:rPr>
      </w:pPr>
      <w:r w:rsidRPr="00CE4CFA">
        <w:rPr>
          <w:sz w:val="24"/>
          <w:szCs w:val="24"/>
          <w:lang w:val="lt-LT"/>
        </w:rPr>
        <w:t>Viešųjų pirkimų komisija</w:t>
      </w:r>
    </w:p>
    <w:sectPr w:rsidR="00CE4CFA" w:rsidRPr="00CE4C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2312"/>
    <w:multiLevelType w:val="hybridMultilevel"/>
    <w:tmpl w:val="69D47C38"/>
    <w:lvl w:ilvl="0" w:tplc="AB321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0E"/>
    <w:rsid w:val="00067CB9"/>
    <w:rsid w:val="000817B7"/>
    <w:rsid w:val="00111D7E"/>
    <w:rsid w:val="00194413"/>
    <w:rsid w:val="002422A3"/>
    <w:rsid w:val="002B5A4C"/>
    <w:rsid w:val="002C76FD"/>
    <w:rsid w:val="002E3BF6"/>
    <w:rsid w:val="002F77DF"/>
    <w:rsid w:val="00327C62"/>
    <w:rsid w:val="003357D8"/>
    <w:rsid w:val="00367E0D"/>
    <w:rsid w:val="003E2940"/>
    <w:rsid w:val="00432001"/>
    <w:rsid w:val="00476915"/>
    <w:rsid w:val="004A4A0E"/>
    <w:rsid w:val="004D7117"/>
    <w:rsid w:val="004F6582"/>
    <w:rsid w:val="00510ABC"/>
    <w:rsid w:val="00527FB0"/>
    <w:rsid w:val="0059658E"/>
    <w:rsid w:val="005A4CE1"/>
    <w:rsid w:val="005B04CE"/>
    <w:rsid w:val="005E525A"/>
    <w:rsid w:val="006024E7"/>
    <w:rsid w:val="00641184"/>
    <w:rsid w:val="00673A60"/>
    <w:rsid w:val="00691994"/>
    <w:rsid w:val="006E6944"/>
    <w:rsid w:val="007219A4"/>
    <w:rsid w:val="0073750E"/>
    <w:rsid w:val="00873D50"/>
    <w:rsid w:val="008B7D90"/>
    <w:rsid w:val="008F4C8F"/>
    <w:rsid w:val="009074E2"/>
    <w:rsid w:val="00A35522"/>
    <w:rsid w:val="00A57412"/>
    <w:rsid w:val="00A84BFB"/>
    <w:rsid w:val="00AA6077"/>
    <w:rsid w:val="00AC04AE"/>
    <w:rsid w:val="00AC05EB"/>
    <w:rsid w:val="00AC6F8A"/>
    <w:rsid w:val="00AE45FC"/>
    <w:rsid w:val="00B009B0"/>
    <w:rsid w:val="00B2083D"/>
    <w:rsid w:val="00B37BDE"/>
    <w:rsid w:val="00B42250"/>
    <w:rsid w:val="00B85707"/>
    <w:rsid w:val="00B91E58"/>
    <w:rsid w:val="00BD065E"/>
    <w:rsid w:val="00C27EE0"/>
    <w:rsid w:val="00C86EC5"/>
    <w:rsid w:val="00C90DAB"/>
    <w:rsid w:val="00C93CE8"/>
    <w:rsid w:val="00CE4CFA"/>
    <w:rsid w:val="00D30730"/>
    <w:rsid w:val="00D81C69"/>
    <w:rsid w:val="00E207AE"/>
    <w:rsid w:val="00EA057B"/>
    <w:rsid w:val="00EC0481"/>
    <w:rsid w:val="00EE1F9E"/>
    <w:rsid w:val="00F45761"/>
    <w:rsid w:val="00F53280"/>
    <w:rsid w:val="00FA3354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F6AF"/>
  <w15:chartTrackingRefBased/>
  <w15:docId w15:val="{56A819F8-B499-446D-9DB1-1EF37A2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7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5B04CE"/>
    <w:pPr>
      <w:tabs>
        <w:tab w:val="center" w:pos="4153"/>
        <w:tab w:val="right" w:pos="8306"/>
      </w:tabs>
    </w:pPr>
    <w:rPr>
      <w:lang w:val="en-AU"/>
    </w:rPr>
  </w:style>
  <w:style w:type="character" w:customStyle="1" w:styleId="AntratsDiagrama">
    <w:name w:val="Antraštės Diagrama"/>
    <w:basedOn w:val="Numatytasispastraiposriftas"/>
    <w:link w:val="Antrats"/>
    <w:rsid w:val="005B04C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B04CE"/>
    <w:pPr>
      <w:spacing w:after="120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B04CE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C90DAB"/>
    <w:pPr>
      <w:spacing w:before="100" w:beforeAutospacing="1" w:after="100" w:afterAutospacing="1"/>
    </w:pPr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List Paragraph111 Diagrama,Numbering Diagrama,ERP-List Paragraph Diagrama,List Paragraph11 Diagrama,lp1 Diagrama,Bullet 1 Diagrama,Use Case List Paragraph Diagrama,Bullet Diagrama"/>
    <w:link w:val="Sraopastraipa"/>
    <w:uiPriority w:val="34"/>
    <w:qFormat/>
    <w:locked/>
    <w:rsid w:val="00F45761"/>
    <w:rPr>
      <w:rFonts w:ascii="Times New Roman" w:hAnsi="Times New Roman" w:cs="Times New Roman"/>
      <w:sz w:val="24"/>
      <w:szCs w:val="24"/>
      <w:lang w:val="x-none" w:eastAsia="x-none"/>
    </w:rPr>
  </w:style>
  <w:style w:type="paragraph" w:styleId="Sraopastraipa">
    <w:name w:val="List Paragraph"/>
    <w:aliases w:val="List Paragraph Red,Bullet EY,List Paragraph111,Numbering,ERP-List Paragraph,List Paragraph11,lp1,Bullet 1,Use Case List Paragraph,List Paragraph21,Sąrašo pastraipa.Bullet,Bullet,Paragraph,List Paragraph2,Lentele,List Paragraph22,Buletai"/>
    <w:basedOn w:val="prastasis"/>
    <w:link w:val="SraopastraipaDiagrama"/>
    <w:uiPriority w:val="34"/>
    <w:qFormat/>
    <w:rsid w:val="00F45761"/>
    <w:pPr>
      <w:ind w:left="720"/>
      <w:contextualSpacing/>
    </w:pPr>
    <w:rPr>
      <w:rFonts w:eastAsiaTheme="minorHAns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Sonata</cp:lastModifiedBy>
  <cp:revision>51</cp:revision>
  <cp:lastPrinted>2025-05-07T11:58:00Z</cp:lastPrinted>
  <dcterms:created xsi:type="dcterms:W3CDTF">2025-04-24T04:27:00Z</dcterms:created>
  <dcterms:modified xsi:type="dcterms:W3CDTF">2025-05-07T12:03:00Z</dcterms:modified>
</cp:coreProperties>
</file>