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79E5D29D" w14:textId="77777777" w:rsidR="00741179" w:rsidRPr="00741179" w:rsidRDefault="00741179" w:rsidP="00741179">
          <w:pPr>
            <w:spacing w:line="20" w:lineRule="atLeast"/>
            <w:ind w:firstLine="0"/>
            <w:contextualSpacing/>
            <w:jc w:val="center"/>
            <w:rPr>
              <w:rFonts w:ascii="Calibri" w:eastAsia="Calibri" w:hAnsi="Calibri" w:cs="Calibri"/>
              <w:b/>
              <w:bCs/>
              <w:color w:val="000000" w:themeColor="text1"/>
              <w:sz w:val="28"/>
              <w:szCs w:val="28"/>
            </w:rPr>
          </w:pPr>
          <w:r w:rsidRPr="00741179">
            <w:rPr>
              <w:rFonts w:ascii="Calibri" w:eastAsia="Calibri" w:hAnsi="Calibri" w:cs="Calibri"/>
              <w:b/>
              <w:bCs/>
              <w:color w:val="000000" w:themeColor="text1"/>
              <w:sz w:val="28"/>
              <w:szCs w:val="28"/>
            </w:rPr>
            <w:t>JONAVOS RAJONO SAVIVALDYBĖS ADMINISTRACIJA</w:t>
          </w:r>
        </w:p>
        <w:p w14:paraId="00CDC780"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Žeimių g. 13, LT-55158 Jonava</w:t>
          </w:r>
        </w:p>
        <w:p w14:paraId="716B33B7"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 xml:space="preserve">Telefonas: (+370 349) 501 54, el. paštas: </w:t>
          </w:r>
          <w:hyperlink r:id="rId11" w:history="1">
            <w:r w:rsidRPr="00741179">
              <w:rPr>
                <w:rFonts w:ascii="Calibri" w:eastAsia="Calibri" w:hAnsi="Calibri" w:cs="Calibri"/>
                <w:color w:val="000000" w:themeColor="text1"/>
                <w:sz w:val="28"/>
                <w:szCs w:val="28"/>
              </w:rPr>
              <w:t>administracija@jonava.lt</w:t>
            </w:r>
          </w:hyperlink>
          <w:r w:rsidRPr="00741179">
            <w:rPr>
              <w:rFonts w:ascii="Calibri" w:eastAsia="Calibri" w:hAnsi="Calibri" w:cs="Calibri"/>
              <w:color w:val="000000" w:themeColor="text1"/>
              <w:sz w:val="28"/>
              <w:szCs w:val="28"/>
            </w:rPr>
            <w:t xml:space="preserve">  </w:t>
          </w:r>
        </w:p>
        <w:p w14:paraId="38ABF8DB"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Duomenys kaupiami ir saugomi Juridinių asmenų registre, kodas: 188769070</w:t>
          </w:r>
        </w:p>
        <w:p w14:paraId="3876B4DD" w14:textId="77777777" w:rsidR="00741179" w:rsidRPr="00741179" w:rsidRDefault="00741179" w:rsidP="00741179">
          <w:pPr>
            <w:ind w:left="567" w:firstLine="0"/>
            <w:contextualSpacing/>
            <w:jc w:val="center"/>
            <w:rPr>
              <w:rFonts w:ascii="Arial" w:eastAsia="Calibri" w:hAnsi="Arial" w:cs="Arial"/>
              <w:color w:val="00B050"/>
            </w:rPr>
          </w:pPr>
        </w:p>
        <w:p w14:paraId="3D054AD1" w14:textId="77777777" w:rsidR="00741179" w:rsidRPr="00741179" w:rsidRDefault="00741179" w:rsidP="00741179">
          <w:pPr>
            <w:ind w:left="567" w:firstLine="0"/>
            <w:contextualSpacing/>
            <w:jc w:val="center"/>
            <w:rPr>
              <w:rFonts w:ascii="Arial" w:eastAsia="Calibri" w:hAnsi="Arial" w:cs="Arial"/>
            </w:rPr>
          </w:pPr>
        </w:p>
        <w:p w14:paraId="0F14072D"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PATVIRTINTA </w:t>
          </w:r>
        </w:p>
        <w:p w14:paraId="0E63F542"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Jonavos rajono savivaldybės administracijos direktorius </w:t>
          </w:r>
        </w:p>
        <w:p w14:paraId="2BC4A963"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Valdas Majauskas</w:t>
          </w:r>
        </w:p>
        <w:p w14:paraId="32A30E96" w14:textId="77777777" w:rsidR="00741179" w:rsidRPr="00741179" w:rsidRDefault="00741179" w:rsidP="00741179">
          <w:pPr>
            <w:spacing w:line="20" w:lineRule="atLeast"/>
            <w:ind w:left="5245" w:firstLine="0"/>
            <w:contextualSpacing/>
            <w:jc w:val="left"/>
            <w:rPr>
              <w:rFonts w:ascii="Calibri" w:eastAsia="Calibri" w:hAnsi="Calibri" w:cs="Calibri"/>
              <w:i/>
              <w:iCs/>
              <w:color w:val="000000" w:themeColor="text1"/>
              <w:sz w:val="24"/>
              <w:szCs w:val="24"/>
            </w:rPr>
          </w:pPr>
        </w:p>
        <w:p w14:paraId="77A992CA" w14:textId="77777777" w:rsidR="00741179" w:rsidRPr="00741179" w:rsidRDefault="00741179" w:rsidP="00741179">
          <w:pPr>
            <w:tabs>
              <w:tab w:val="left" w:pos="3030"/>
              <w:tab w:val="left" w:pos="5387"/>
            </w:tabs>
            <w:spacing w:line="240" w:lineRule="auto"/>
            <w:ind w:left="5670" w:right="-1" w:firstLine="1134"/>
            <w:rPr>
              <w:rFonts w:ascii="Arial" w:eastAsia="Calibri" w:hAnsi="Arial" w:cs="Arial"/>
              <w:color w:val="00B050"/>
            </w:rPr>
          </w:pPr>
        </w:p>
        <w:p w14:paraId="3F715940" w14:textId="77777777" w:rsidR="00741179" w:rsidRPr="00741179" w:rsidRDefault="00741179" w:rsidP="00741179">
          <w:pPr>
            <w:ind w:left="567" w:firstLine="0"/>
            <w:contextualSpacing/>
            <w:jc w:val="center"/>
            <w:rPr>
              <w:rFonts w:ascii="Arial" w:eastAsia="Calibri" w:hAnsi="Arial" w:cs="Arial"/>
              <w:color w:val="00B050"/>
            </w:rPr>
          </w:pPr>
        </w:p>
        <w:p w14:paraId="7A79CE7A" w14:textId="77777777" w:rsidR="00741179" w:rsidRPr="00741179" w:rsidRDefault="00741179" w:rsidP="00741179">
          <w:pPr>
            <w:ind w:left="567" w:firstLine="0"/>
            <w:contextualSpacing/>
            <w:jc w:val="center"/>
            <w:rPr>
              <w:rFonts w:ascii="Arial" w:eastAsia="Calibri" w:hAnsi="Arial" w:cs="Arial"/>
            </w:rPr>
          </w:pPr>
        </w:p>
        <w:p w14:paraId="2DF3238B" w14:textId="77777777" w:rsidR="00741179" w:rsidRPr="00741179" w:rsidRDefault="00741179" w:rsidP="00741179">
          <w:pPr>
            <w:ind w:left="567" w:firstLine="0"/>
            <w:contextualSpacing/>
            <w:jc w:val="center"/>
            <w:rPr>
              <w:rFonts w:ascii="Calibri" w:eastAsia="Calibri" w:hAnsi="Calibri" w:cs="Calibri"/>
              <w:sz w:val="28"/>
              <w:szCs w:val="28"/>
            </w:rPr>
          </w:pPr>
        </w:p>
        <w:p w14:paraId="63A763D6" w14:textId="77777777" w:rsidR="00741179" w:rsidRPr="00741179" w:rsidRDefault="00741179" w:rsidP="00741179">
          <w:pPr>
            <w:ind w:left="567" w:firstLine="0"/>
            <w:contextualSpacing/>
            <w:jc w:val="center"/>
            <w:rPr>
              <w:rFonts w:ascii="Calibri" w:eastAsia="Calibri" w:hAnsi="Calibri" w:cs="Calibri"/>
              <w:sz w:val="28"/>
              <w:szCs w:val="28"/>
            </w:rPr>
          </w:pPr>
        </w:p>
        <w:p w14:paraId="27ADE881" w14:textId="6BD2C52D"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MAŽOS VERTĖS VIEŠOJO PIRKIMO „</w:t>
          </w:r>
          <w:r>
            <w:rPr>
              <w:rFonts w:ascii="Calibri" w:eastAsia="Calibri" w:hAnsi="Calibri" w:cs="Calibri"/>
              <w:b/>
              <w:bCs/>
              <w:sz w:val="28"/>
              <w:szCs w:val="28"/>
            </w:rPr>
            <w:t>INTERAKTYVŪS EKRANAI JONAVOS RAJONO ŠVIETIMO ĮSTAIGOMS</w:t>
          </w:r>
          <w:r w:rsidRPr="00741179">
            <w:rPr>
              <w:rFonts w:ascii="Calibri" w:eastAsia="Calibri" w:hAnsi="Calibri" w:cs="Calibri"/>
              <w:b/>
              <w:bCs/>
              <w:sz w:val="28"/>
              <w:szCs w:val="28"/>
            </w:rPr>
            <w:t>“</w:t>
          </w:r>
        </w:p>
        <w:p w14:paraId="55BD5595" w14:textId="77777777"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SKELBIAMOS APKLAUSOS SPECIALIOSIOS SĄLYGOS</w:t>
          </w:r>
        </w:p>
        <w:p w14:paraId="517C01D9" w14:textId="789C5D35" w:rsidR="001C24BC" w:rsidRPr="00E100D9" w:rsidRDefault="00741179" w:rsidP="00741179">
          <w:pPr>
            <w:spacing w:after="120" w:line="240" w:lineRule="auto"/>
            <w:ind w:left="567" w:firstLine="0"/>
            <w:contextualSpacing/>
            <w:jc w:val="center"/>
            <w:rPr>
              <w:rFonts w:ascii="Arial" w:hAnsi="Arial" w:cs="Arial"/>
            </w:rPr>
          </w:pPr>
          <w:r w:rsidRPr="00741179">
            <w:rPr>
              <w:rFonts w:ascii="Calibri" w:eastAsia="Calibri" w:hAnsi="Calibri" w:cs="Calibri"/>
              <w:b/>
              <w:bCs/>
              <w:sz w:val="28"/>
              <w:szCs w:val="28"/>
            </w:rPr>
            <w:t xml:space="preserve">Versija Nr. </w:t>
          </w:r>
          <w:r w:rsidR="000C3224">
            <w:rPr>
              <w:rFonts w:ascii="Calibri" w:eastAsia="Calibri" w:hAnsi="Calibri" w:cs="Calibri"/>
              <w:b/>
              <w:bCs/>
              <w:sz w:val="28"/>
              <w:szCs w:val="28"/>
            </w:rPr>
            <w:t>2</w:t>
          </w:r>
          <w:r w:rsidR="002C0AF9">
            <w:rPr>
              <w:rFonts w:ascii="Calibri" w:eastAsia="Calibri" w:hAnsi="Calibri" w:cs="Calibri"/>
              <w:b/>
              <w:bCs/>
              <w:sz w:val="28"/>
              <w:szCs w:val="28"/>
            </w:rPr>
            <w:t>.</w:t>
          </w:r>
          <w:r w:rsidRPr="00741179">
            <w:rPr>
              <w:rFonts w:ascii="Calibri" w:eastAsia="Calibri" w:hAnsi="Calibri" w:cs="Calibri"/>
              <w:i/>
              <w:iCs/>
              <w:sz w:val="28"/>
              <w:szCs w:val="28"/>
            </w:rPr>
            <w:t xml:space="preserve"> </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654F42B6" w14:textId="03AF7A2E" w:rsidR="00681AA6"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4332625" w:history="1">
                <w:r w:rsidR="00681AA6" w:rsidRPr="00FE0C3E">
                  <w:rPr>
                    <w:rStyle w:val="Hipersaitas"/>
                    <w:rFonts w:cstheme="minorHAnsi"/>
                    <w:noProof/>
                  </w:rPr>
                  <w:t>1.</w:t>
                </w:r>
                <w:r w:rsidR="00681AA6">
                  <w:rPr>
                    <w:noProof/>
                    <w:kern w:val="2"/>
                    <w:sz w:val="24"/>
                    <w:szCs w:val="24"/>
                    <w14:ligatures w14:val="standardContextual"/>
                  </w:rPr>
                  <w:tab/>
                </w:r>
                <w:r w:rsidR="00681AA6" w:rsidRPr="00FE0C3E">
                  <w:rPr>
                    <w:rStyle w:val="Hipersaitas"/>
                    <w:rFonts w:cstheme="minorHAnsi"/>
                    <w:noProof/>
                  </w:rPr>
                  <w:t>Bendra informacija</w:t>
                </w:r>
                <w:r w:rsidR="00681AA6">
                  <w:rPr>
                    <w:noProof/>
                    <w:webHidden/>
                  </w:rPr>
                  <w:tab/>
                </w:r>
                <w:r w:rsidR="00681AA6">
                  <w:rPr>
                    <w:noProof/>
                    <w:webHidden/>
                  </w:rPr>
                  <w:fldChar w:fldCharType="begin"/>
                </w:r>
                <w:r w:rsidR="00681AA6">
                  <w:rPr>
                    <w:noProof/>
                    <w:webHidden/>
                  </w:rPr>
                  <w:instrText xml:space="preserve"> PAGEREF _Toc194332625 \h </w:instrText>
                </w:r>
                <w:r w:rsidR="00681AA6">
                  <w:rPr>
                    <w:noProof/>
                    <w:webHidden/>
                  </w:rPr>
                </w:r>
                <w:r w:rsidR="00681AA6">
                  <w:rPr>
                    <w:noProof/>
                    <w:webHidden/>
                  </w:rPr>
                  <w:fldChar w:fldCharType="separate"/>
                </w:r>
                <w:r w:rsidR="00681AA6">
                  <w:rPr>
                    <w:noProof/>
                    <w:webHidden/>
                  </w:rPr>
                  <w:t>2</w:t>
                </w:r>
                <w:r w:rsidR="00681AA6">
                  <w:rPr>
                    <w:noProof/>
                    <w:webHidden/>
                  </w:rPr>
                  <w:fldChar w:fldCharType="end"/>
                </w:r>
              </w:hyperlink>
            </w:p>
            <w:p w14:paraId="2CBF2918" w14:textId="7A52A035" w:rsidR="00681AA6" w:rsidRDefault="00681AA6">
              <w:pPr>
                <w:pStyle w:val="Turinys1"/>
                <w:rPr>
                  <w:noProof/>
                  <w:kern w:val="2"/>
                  <w:sz w:val="24"/>
                  <w:szCs w:val="24"/>
                  <w14:ligatures w14:val="standardContextual"/>
                </w:rPr>
              </w:pPr>
              <w:hyperlink w:anchor="_Toc194332626" w:history="1">
                <w:r w:rsidRPr="00FE0C3E">
                  <w:rPr>
                    <w:rStyle w:val="Hipersaitas"/>
                    <w:rFonts w:eastAsia="Calibri" w:cstheme="minorHAnsi"/>
                    <w:noProof/>
                  </w:rPr>
                  <w:t>2.</w:t>
                </w:r>
                <w:r>
                  <w:rPr>
                    <w:noProof/>
                    <w:kern w:val="2"/>
                    <w:sz w:val="24"/>
                    <w:szCs w:val="24"/>
                    <w14:ligatures w14:val="standardContextual"/>
                  </w:rPr>
                  <w:tab/>
                </w:r>
                <w:r w:rsidRPr="00FE0C3E">
                  <w:rPr>
                    <w:rStyle w:val="Hipersaitas"/>
                    <w:rFonts w:cstheme="minorHAnsi"/>
                    <w:noProof/>
                  </w:rPr>
                  <w:t>Pirkimo objektas</w:t>
                </w:r>
                <w:r>
                  <w:rPr>
                    <w:noProof/>
                    <w:webHidden/>
                  </w:rPr>
                  <w:tab/>
                </w:r>
                <w:r>
                  <w:rPr>
                    <w:noProof/>
                    <w:webHidden/>
                  </w:rPr>
                  <w:fldChar w:fldCharType="begin"/>
                </w:r>
                <w:r>
                  <w:rPr>
                    <w:noProof/>
                    <w:webHidden/>
                  </w:rPr>
                  <w:instrText xml:space="preserve"> PAGEREF _Toc194332626 \h </w:instrText>
                </w:r>
                <w:r>
                  <w:rPr>
                    <w:noProof/>
                    <w:webHidden/>
                  </w:rPr>
                </w:r>
                <w:r>
                  <w:rPr>
                    <w:noProof/>
                    <w:webHidden/>
                  </w:rPr>
                  <w:fldChar w:fldCharType="separate"/>
                </w:r>
                <w:r>
                  <w:rPr>
                    <w:noProof/>
                    <w:webHidden/>
                  </w:rPr>
                  <w:t>2</w:t>
                </w:r>
                <w:r>
                  <w:rPr>
                    <w:noProof/>
                    <w:webHidden/>
                  </w:rPr>
                  <w:fldChar w:fldCharType="end"/>
                </w:r>
              </w:hyperlink>
            </w:p>
            <w:p w14:paraId="3C98438D" w14:textId="3DFC0695" w:rsidR="00681AA6" w:rsidRDefault="00681AA6">
              <w:pPr>
                <w:pStyle w:val="Turinys1"/>
                <w:rPr>
                  <w:noProof/>
                  <w:kern w:val="2"/>
                  <w:sz w:val="24"/>
                  <w:szCs w:val="24"/>
                  <w14:ligatures w14:val="standardContextual"/>
                </w:rPr>
              </w:pPr>
              <w:hyperlink w:anchor="_Toc194332627" w:history="1">
                <w:r w:rsidRPr="00FE0C3E">
                  <w:rPr>
                    <w:rStyle w:val="Hipersaitas"/>
                    <w:rFonts w:eastAsia="Calibri" w:cstheme="minorHAnsi"/>
                    <w:noProof/>
                  </w:rPr>
                  <w:t>3.</w:t>
                </w:r>
                <w:r>
                  <w:rPr>
                    <w:noProof/>
                    <w:kern w:val="2"/>
                    <w:sz w:val="24"/>
                    <w:szCs w:val="24"/>
                    <w14:ligatures w14:val="standardContextual"/>
                  </w:rPr>
                  <w:tab/>
                </w:r>
                <w:r w:rsidRPr="00FE0C3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_Toc194332627 \h </w:instrText>
                </w:r>
                <w:r>
                  <w:rPr>
                    <w:noProof/>
                    <w:webHidden/>
                  </w:rPr>
                </w:r>
                <w:r>
                  <w:rPr>
                    <w:noProof/>
                    <w:webHidden/>
                  </w:rPr>
                  <w:fldChar w:fldCharType="separate"/>
                </w:r>
                <w:r>
                  <w:rPr>
                    <w:noProof/>
                    <w:webHidden/>
                  </w:rPr>
                  <w:t>2</w:t>
                </w:r>
                <w:r>
                  <w:rPr>
                    <w:noProof/>
                    <w:webHidden/>
                  </w:rPr>
                  <w:fldChar w:fldCharType="end"/>
                </w:r>
              </w:hyperlink>
            </w:p>
            <w:p w14:paraId="38645D27" w14:textId="45EFD5E9" w:rsidR="00681AA6" w:rsidRDefault="00681AA6">
              <w:pPr>
                <w:pStyle w:val="Turinys1"/>
                <w:rPr>
                  <w:noProof/>
                  <w:kern w:val="2"/>
                  <w:sz w:val="24"/>
                  <w:szCs w:val="24"/>
                  <w14:ligatures w14:val="standardContextual"/>
                </w:rPr>
              </w:pPr>
              <w:hyperlink w:anchor="_Toc194332628" w:history="1">
                <w:r w:rsidRPr="00FE0C3E">
                  <w:rPr>
                    <w:rStyle w:val="Hipersaitas"/>
                    <w:rFonts w:eastAsia="Calibri" w:cstheme="minorHAnsi"/>
                    <w:noProof/>
                  </w:rPr>
                  <w:t>4.</w:t>
                </w:r>
                <w:r>
                  <w:rPr>
                    <w:noProof/>
                    <w:kern w:val="2"/>
                    <w:sz w:val="24"/>
                    <w:szCs w:val="24"/>
                    <w14:ligatures w14:val="standardContextual"/>
                  </w:rPr>
                  <w:tab/>
                </w:r>
                <w:r w:rsidRPr="00FE0C3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_Toc194332628 \h </w:instrText>
                </w:r>
                <w:r>
                  <w:rPr>
                    <w:noProof/>
                    <w:webHidden/>
                  </w:rPr>
                </w:r>
                <w:r>
                  <w:rPr>
                    <w:noProof/>
                    <w:webHidden/>
                  </w:rPr>
                  <w:fldChar w:fldCharType="separate"/>
                </w:r>
                <w:r>
                  <w:rPr>
                    <w:noProof/>
                    <w:webHidden/>
                  </w:rPr>
                  <w:t>3</w:t>
                </w:r>
                <w:r>
                  <w:rPr>
                    <w:noProof/>
                    <w:webHidden/>
                  </w:rPr>
                  <w:fldChar w:fldCharType="end"/>
                </w:r>
              </w:hyperlink>
            </w:p>
            <w:p w14:paraId="7D566E57" w14:textId="48128ABF" w:rsidR="00681AA6" w:rsidRDefault="00681AA6">
              <w:pPr>
                <w:pStyle w:val="Turinys1"/>
                <w:rPr>
                  <w:noProof/>
                  <w:kern w:val="2"/>
                  <w:sz w:val="24"/>
                  <w:szCs w:val="24"/>
                  <w14:ligatures w14:val="standardContextual"/>
                </w:rPr>
              </w:pPr>
              <w:hyperlink w:anchor="_Toc194332629" w:history="1">
                <w:r w:rsidRPr="00FE0C3E">
                  <w:rPr>
                    <w:rStyle w:val="Hipersaitas"/>
                    <w:rFonts w:eastAsia="Calibri" w:cstheme="minorHAnsi"/>
                    <w:noProof/>
                  </w:rPr>
                  <w:t>5.</w:t>
                </w:r>
                <w:r>
                  <w:rPr>
                    <w:noProof/>
                    <w:kern w:val="2"/>
                    <w:sz w:val="24"/>
                    <w:szCs w:val="24"/>
                    <w14:ligatures w14:val="standardContextual"/>
                  </w:rPr>
                  <w:tab/>
                </w:r>
                <w:r w:rsidRPr="00FE0C3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_Toc194332629 \h </w:instrText>
                </w:r>
                <w:r>
                  <w:rPr>
                    <w:noProof/>
                    <w:webHidden/>
                  </w:rPr>
                </w:r>
                <w:r>
                  <w:rPr>
                    <w:noProof/>
                    <w:webHidden/>
                  </w:rPr>
                  <w:fldChar w:fldCharType="separate"/>
                </w:r>
                <w:r>
                  <w:rPr>
                    <w:noProof/>
                    <w:webHidden/>
                  </w:rPr>
                  <w:t>3</w:t>
                </w:r>
                <w:r>
                  <w:rPr>
                    <w:noProof/>
                    <w:webHidden/>
                  </w:rPr>
                  <w:fldChar w:fldCharType="end"/>
                </w:r>
              </w:hyperlink>
            </w:p>
            <w:p w14:paraId="77D40340" w14:textId="416FCFB9" w:rsidR="00681AA6" w:rsidRDefault="00681AA6">
              <w:pPr>
                <w:pStyle w:val="Turinys1"/>
                <w:rPr>
                  <w:noProof/>
                  <w:kern w:val="2"/>
                  <w:sz w:val="24"/>
                  <w:szCs w:val="24"/>
                  <w14:ligatures w14:val="standardContextual"/>
                </w:rPr>
              </w:pPr>
              <w:hyperlink w:anchor="_Toc194332630" w:history="1">
                <w:r w:rsidRPr="00FE0C3E">
                  <w:rPr>
                    <w:rStyle w:val="Hipersaitas"/>
                    <w:rFonts w:eastAsia="Calibri" w:cstheme="minorHAnsi"/>
                    <w:noProof/>
                  </w:rPr>
                  <w:t>6.</w:t>
                </w:r>
                <w:r>
                  <w:rPr>
                    <w:noProof/>
                    <w:kern w:val="2"/>
                    <w:sz w:val="24"/>
                    <w:szCs w:val="24"/>
                    <w14:ligatures w14:val="standardContextual"/>
                  </w:rPr>
                  <w:tab/>
                </w:r>
                <w:r w:rsidRPr="00FE0C3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_Toc194332630 \h </w:instrText>
                </w:r>
                <w:r>
                  <w:rPr>
                    <w:noProof/>
                    <w:webHidden/>
                  </w:rPr>
                </w:r>
                <w:r>
                  <w:rPr>
                    <w:noProof/>
                    <w:webHidden/>
                  </w:rPr>
                  <w:fldChar w:fldCharType="separate"/>
                </w:r>
                <w:r>
                  <w:rPr>
                    <w:noProof/>
                    <w:webHidden/>
                  </w:rPr>
                  <w:t>4</w:t>
                </w:r>
                <w:r>
                  <w:rPr>
                    <w:noProof/>
                    <w:webHidden/>
                  </w:rPr>
                  <w:fldChar w:fldCharType="end"/>
                </w:r>
              </w:hyperlink>
            </w:p>
            <w:p w14:paraId="1B8DB400" w14:textId="64C764E2" w:rsidR="00681AA6" w:rsidRDefault="00681AA6">
              <w:pPr>
                <w:pStyle w:val="Turinys1"/>
                <w:rPr>
                  <w:noProof/>
                  <w:kern w:val="2"/>
                  <w:sz w:val="24"/>
                  <w:szCs w:val="24"/>
                  <w14:ligatures w14:val="standardContextual"/>
                </w:rPr>
              </w:pPr>
              <w:hyperlink w:anchor="_Toc194332631" w:history="1">
                <w:r w:rsidRPr="00FE0C3E">
                  <w:rPr>
                    <w:rStyle w:val="Hipersaitas"/>
                    <w:rFonts w:eastAsia="Calibri" w:cstheme="minorHAnsi"/>
                    <w:noProof/>
                  </w:rPr>
                  <w:t>7.</w:t>
                </w:r>
                <w:r>
                  <w:rPr>
                    <w:noProof/>
                    <w:kern w:val="2"/>
                    <w:sz w:val="24"/>
                    <w:szCs w:val="24"/>
                    <w14:ligatures w14:val="standardContextual"/>
                  </w:rPr>
                  <w:tab/>
                </w:r>
                <w:r w:rsidRPr="00FE0C3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_Toc194332631 \h </w:instrText>
                </w:r>
                <w:r>
                  <w:rPr>
                    <w:noProof/>
                    <w:webHidden/>
                  </w:rPr>
                </w:r>
                <w:r>
                  <w:rPr>
                    <w:noProof/>
                    <w:webHidden/>
                  </w:rPr>
                  <w:fldChar w:fldCharType="separate"/>
                </w:r>
                <w:r>
                  <w:rPr>
                    <w:noProof/>
                    <w:webHidden/>
                  </w:rPr>
                  <w:t>4</w:t>
                </w:r>
                <w:r>
                  <w:rPr>
                    <w:noProof/>
                    <w:webHidden/>
                  </w:rPr>
                  <w:fldChar w:fldCharType="end"/>
                </w:r>
              </w:hyperlink>
            </w:p>
            <w:p w14:paraId="263F2052" w14:textId="15486B79" w:rsidR="00681AA6" w:rsidRDefault="00681AA6">
              <w:pPr>
                <w:pStyle w:val="Turinys1"/>
                <w:rPr>
                  <w:noProof/>
                  <w:kern w:val="2"/>
                  <w:sz w:val="24"/>
                  <w:szCs w:val="24"/>
                  <w14:ligatures w14:val="standardContextual"/>
                </w:rPr>
              </w:pPr>
              <w:hyperlink w:anchor="_Toc194332632" w:history="1">
                <w:r w:rsidRPr="00FE0C3E">
                  <w:rPr>
                    <w:rStyle w:val="Hipersaitas"/>
                    <w:rFonts w:eastAsia="Calibri" w:cstheme="minorHAnsi"/>
                    <w:noProof/>
                  </w:rPr>
                  <w:t>8.</w:t>
                </w:r>
                <w:r>
                  <w:rPr>
                    <w:noProof/>
                    <w:kern w:val="2"/>
                    <w:sz w:val="24"/>
                    <w:szCs w:val="24"/>
                    <w14:ligatures w14:val="standardContextual"/>
                  </w:rPr>
                  <w:tab/>
                </w:r>
                <w:r w:rsidRPr="00FE0C3E">
                  <w:rPr>
                    <w:rStyle w:val="Hipersaitas"/>
                    <w:rFonts w:cstheme="minorHAnsi"/>
                    <w:noProof/>
                  </w:rPr>
                  <w:t>Sutarties sudarymas</w:t>
                </w:r>
                <w:r>
                  <w:rPr>
                    <w:noProof/>
                    <w:webHidden/>
                  </w:rPr>
                  <w:tab/>
                </w:r>
                <w:r>
                  <w:rPr>
                    <w:noProof/>
                    <w:webHidden/>
                  </w:rPr>
                  <w:fldChar w:fldCharType="begin"/>
                </w:r>
                <w:r>
                  <w:rPr>
                    <w:noProof/>
                    <w:webHidden/>
                  </w:rPr>
                  <w:instrText xml:space="preserve"> PAGEREF _Toc194332632 \h </w:instrText>
                </w:r>
                <w:r>
                  <w:rPr>
                    <w:noProof/>
                    <w:webHidden/>
                  </w:rPr>
                </w:r>
                <w:r>
                  <w:rPr>
                    <w:noProof/>
                    <w:webHidden/>
                  </w:rPr>
                  <w:fldChar w:fldCharType="separate"/>
                </w:r>
                <w:r>
                  <w:rPr>
                    <w:noProof/>
                    <w:webHidden/>
                  </w:rPr>
                  <w:t>4</w:t>
                </w:r>
                <w:r>
                  <w:rPr>
                    <w:noProof/>
                    <w:webHidden/>
                  </w:rPr>
                  <w:fldChar w:fldCharType="end"/>
                </w:r>
              </w:hyperlink>
            </w:p>
            <w:p w14:paraId="5EC7A5BB" w14:textId="18098CC7" w:rsidR="00681AA6" w:rsidRDefault="00681AA6">
              <w:pPr>
                <w:pStyle w:val="Turinys1"/>
                <w:rPr>
                  <w:noProof/>
                  <w:kern w:val="2"/>
                  <w:sz w:val="24"/>
                  <w:szCs w:val="24"/>
                  <w14:ligatures w14:val="standardContextual"/>
                </w:rPr>
              </w:pPr>
              <w:hyperlink w:anchor="_Toc194332633" w:history="1">
                <w:r w:rsidRPr="00FE0C3E">
                  <w:rPr>
                    <w:rStyle w:val="Hipersaitas"/>
                    <w:rFonts w:cstheme="minorHAnsi"/>
                    <w:noProof/>
                  </w:rPr>
                  <w:t>9.</w:t>
                </w:r>
                <w:r>
                  <w:rPr>
                    <w:noProof/>
                    <w:kern w:val="2"/>
                    <w:sz w:val="24"/>
                    <w:szCs w:val="24"/>
                    <w14:ligatures w14:val="standardContextual"/>
                  </w:rPr>
                  <w:tab/>
                </w:r>
                <w:r w:rsidRPr="00FE0C3E">
                  <w:rPr>
                    <w:rStyle w:val="Hipersaitas"/>
                    <w:rFonts w:cstheme="minorHAnsi"/>
                    <w:noProof/>
                  </w:rPr>
                  <w:t>Kitos sąlygos</w:t>
                </w:r>
                <w:r>
                  <w:rPr>
                    <w:noProof/>
                    <w:webHidden/>
                  </w:rPr>
                  <w:tab/>
                </w:r>
                <w:r>
                  <w:rPr>
                    <w:noProof/>
                    <w:webHidden/>
                  </w:rPr>
                  <w:fldChar w:fldCharType="begin"/>
                </w:r>
                <w:r>
                  <w:rPr>
                    <w:noProof/>
                    <w:webHidden/>
                  </w:rPr>
                  <w:instrText xml:space="preserve"> PAGEREF _Toc194332633 \h </w:instrText>
                </w:r>
                <w:r>
                  <w:rPr>
                    <w:noProof/>
                    <w:webHidden/>
                  </w:rPr>
                </w:r>
                <w:r>
                  <w:rPr>
                    <w:noProof/>
                    <w:webHidden/>
                  </w:rPr>
                  <w:fldChar w:fldCharType="separate"/>
                </w:r>
                <w:r>
                  <w:rPr>
                    <w:noProof/>
                    <w:webHidden/>
                  </w:rPr>
                  <w:t>4</w:t>
                </w:r>
                <w:r>
                  <w:rPr>
                    <w:noProof/>
                    <w:webHidden/>
                  </w:rPr>
                  <w:fldChar w:fldCharType="end"/>
                </w:r>
              </w:hyperlink>
            </w:p>
            <w:p w14:paraId="2C2DDCC3" w14:textId="59B55543" w:rsidR="00681AA6" w:rsidRDefault="00681AA6">
              <w:pPr>
                <w:pStyle w:val="Turinys1"/>
                <w:rPr>
                  <w:noProof/>
                  <w:kern w:val="2"/>
                  <w:sz w:val="24"/>
                  <w:szCs w:val="24"/>
                  <w14:ligatures w14:val="standardContextual"/>
                </w:rPr>
              </w:pPr>
              <w:hyperlink w:anchor="_Toc194332634" w:history="1">
                <w:r w:rsidRPr="00FE0C3E">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_Toc194332634 \h </w:instrText>
                </w:r>
                <w:r>
                  <w:rPr>
                    <w:noProof/>
                    <w:webHidden/>
                  </w:rPr>
                </w:r>
                <w:r>
                  <w:rPr>
                    <w:noProof/>
                    <w:webHidden/>
                  </w:rPr>
                  <w:fldChar w:fldCharType="separate"/>
                </w:r>
                <w:r>
                  <w:rPr>
                    <w:noProof/>
                    <w:webHidden/>
                  </w:rPr>
                  <w:t>5</w:t>
                </w:r>
                <w:r>
                  <w:rPr>
                    <w:noProof/>
                    <w:webHidden/>
                  </w:rPr>
                  <w:fldChar w:fldCharType="end"/>
                </w:r>
              </w:hyperlink>
            </w:p>
            <w:p w14:paraId="767AF8E8" w14:textId="5C318977" w:rsidR="00681AA6" w:rsidRDefault="00681AA6">
              <w:pPr>
                <w:pStyle w:val="Turinys1"/>
                <w:rPr>
                  <w:noProof/>
                  <w:kern w:val="2"/>
                  <w:sz w:val="24"/>
                  <w:szCs w:val="24"/>
                  <w14:ligatures w14:val="standardContextual"/>
                </w:rPr>
              </w:pPr>
              <w:hyperlink w:anchor="_Toc194332635" w:history="1">
                <w:r w:rsidRPr="00FE0C3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_Toc194332635 \h </w:instrText>
                </w:r>
                <w:r>
                  <w:rPr>
                    <w:noProof/>
                    <w:webHidden/>
                  </w:rPr>
                </w:r>
                <w:r>
                  <w:rPr>
                    <w:noProof/>
                    <w:webHidden/>
                  </w:rPr>
                  <w:fldChar w:fldCharType="separate"/>
                </w:r>
                <w:r>
                  <w:rPr>
                    <w:noProof/>
                    <w:webHidden/>
                  </w:rPr>
                  <w:t>6</w:t>
                </w:r>
                <w:r>
                  <w:rPr>
                    <w:noProof/>
                    <w:webHidden/>
                  </w:rPr>
                  <w:fldChar w:fldCharType="end"/>
                </w:r>
              </w:hyperlink>
            </w:p>
            <w:p w14:paraId="69111FFC" w14:textId="2B04D0FC" w:rsidR="00681AA6" w:rsidRDefault="00681AA6">
              <w:pPr>
                <w:pStyle w:val="Turinys1"/>
                <w:rPr>
                  <w:noProof/>
                  <w:kern w:val="2"/>
                  <w:sz w:val="24"/>
                  <w:szCs w:val="24"/>
                  <w14:ligatures w14:val="standardContextual"/>
                </w:rPr>
              </w:pPr>
              <w:hyperlink w:anchor="_Toc194332637" w:history="1">
                <w:r w:rsidRPr="00FE0C3E">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_Toc194332637 \h </w:instrText>
                </w:r>
                <w:r>
                  <w:rPr>
                    <w:noProof/>
                    <w:webHidden/>
                  </w:rPr>
                </w:r>
                <w:r>
                  <w:rPr>
                    <w:noProof/>
                    <w:webHidden/>
                  </w:rPr>
                  <w:fldChar w:fldCharType="separate"/>
                </w:r>
                <w:r>
                  <w:rPr>
                    <w:noProof/>
                    <w:webHidden/>
                  </w:rPr>
                  <w:t>9</w:t>
                </w:r>
                <w:r>
                  <w:rPr>
                    <w:noProof/>
                    <w:webHidden/>
                  </w:rPr>
                  <w:fldChar w:fldCharType="end"/>
                </w:r>
              </w:hyperlink>
            </w:p>
            <w:p w14:paraId="5104E541" w14:textId="05F2DCCB" w:rsidR="00681AA6" w:rsidRDefault="00681AA6">
              <w:pPr>
                <w:pStyle w:val="Turinys1"/>
                <w:rPr>
                  <w:noProof/>
                  <w:kern w:val="2"/>
                  <w:sz w:val="24"/>
                  <w:szCs w:val="24"/>
                  <w14:ligatures w14:val="standardContextual"/>
                </w:rPr>
              </w:pPr>
              <w:hyperlink w:anchor="_Toc194332638" w:history="1">
                <w:r w:rsidRPr="00FE0C3E">
                  <w:rPr>
                    <w:rStyle w:val="Hipersaitas"/>
                    <w:noProof/>
                  </w:rPr>
                  <w:t>Pirkimo sąlygų 4 priedas „Sutarties projektas“</w:t>
                </w:r>
                <w:r>
                  <w:rPr>
                    <w:noProof/>
                    <w:webHidden/>
                  </w:rPr>
                  <w:tab/>
                </w:r>
                <w:r>
                  <w:rPr>
                    <w:noProof/>
                    <w:webHidden/>
                  </w:rPr>
                  <w:fldChar w:fldCharType="begin"/>
                </w:r>
                <w:r>
                  <w:rPr>
                    <w:noProof/>
                    <w:webHidden/>
                  </w:rPr>
                  <w:instrText xml:space="preserve"> PAGEREF _Toc194332638 \h </w:instrText>
                </w:r>
                <w:r>
                  <w:rPr>
                    <w:noProof/>
                    <w:webHidden/>
                  </w:rPr>
                </w:r>
                <w:r>
                  <w:rPr>
                    <w:noProof/>
                    <w:webHidden/>
                  </w:rPr>
                  <w:fldChar w:fldCharType="separate"/>
                </w:r>
                <w:r>
                  <w:rPr>
                    <w:noProof/>
                    <w:webHidden/>
                  </w:rPr>
                  <w:t>12</w:t>
                </w:r>
                <w:r>
                  <w:rPr>
                    <w:noProof/>
                    <w:webHidden/>
                  </w:rPr>
                  <w:fldChar w:fldCharType="end"/>
                </w:r>
              </w:hyperlink>
            </w:p>
            <w:p w14:paraId="43DBDF3B" w14:textId="3A74BAF4" w:rsidR="00681AA6" w:rsidRDefault="00681AA6">
              <w:pPr>
                <w:pStyle w:val="Turinys1"/>
                <w:rPr>
                  <w:noProof/>
                  <w:kern w:val="2"/>
                  <w:sz w:val="24"/>
                  <w:szCs w:val="24"/>
                  <w14:ligatures w14:val="standardContextual"/>
                </w:rPr>
              </w:pPr>
              <w:hyperlink w:anchor="_Toc194332639" w:history="1">
                <w:r w:rsidRPr="00FE0C3E">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_Toc194332639 \h </w:instrText>
                </w:r>
                <w:r>
                  <w:rPr>
                    <w:noProof/>
                    <w:webHidden/>
                  </w:rPr>
                </w:r>
                <w:r>
                  <w:rPr>
                    <w:noProof/>
                    <w:webHidden/>
                  </w:rPr>
                  <w:fldChar w:fldCharType="separate"/>
                </w:r>
                <w:r>
                  <w:rPr>
                    <w:noProof/>
                    <w:webHidden/>
                  </w:rPr>
                  <w:t>13</w:t>
                </w:r>
                <w:r>
                  <w:rPr>
                    <w:noProof/>
                    <w:webHidden/>
                  </w:rPr>
                  <w:fldChar w:fldCharType="end"/>
                </w:r>
              </w:hyperlink>
            </w:p>
            <w:p w14:paraId="7ACF4EEF" w14:textId="650FB47F"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4332625"/>
      <w:bookmarkStart w:id="8" w:name="_Ref39666794"/>
      <w:bookmarkStart w:id="9" w:name="_Ref39666796"/>
      <w:bookmarkStart w:id="10"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7"/>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7FA1F389" w:rsidR="00FC7B74" w:rsidRPr="00E100D9" w:rsidRDefault="00741179" w:rsidP="00741179">
      <w:pPr>
        <w:pStyle w:val="Sraopastraipa"/>
        <w:numPr>
          <w:ilvl w:val="1"/>
          <w:numId w:val="12"/>
        </w:numPr>
        <w:spacing w:line="20" w:lineRule="atLeast"/>
        <w:ind w:left="0" w:firstLine="567"/>
        <w:rPr>
          <w:rFonts w:cstheme="minorHAnsi"/>
        </w:rPr>
      </w:pPr>
      <w:r w:rsidRPr="00741179">
        <w:rPr>
          <w:rFonts w:cstheme="minorHAnsi"/>
        </w:rPr>
        <w:t xml:space="preserve">Perkančioji organizacija – Jonavos rajono savivaldybės administracija, juridinio asmens kodas 188769070, adresas Žeimių g. 13, LT-55158, Jonava. Darbo laikas Pr. 8:00-18:00, </w:t>
      </w:r>
      <w:proofErr w:type="spellStart"/>
      <w:r w:rsidRPr="00741179">
        <w:rPr>
          <w:rFonts w:cstheme="minorHAnsi"/>
        </w:rPr>
        <w:t>An</w:t>
      </w:r>
      <w:proofErr w:type="spellEnd"/>
      <w:r w:rsidRPr="00741179">
        <w:rPr>
          <w:rFonts w:cstheme="minorHAnsi"/>
        </w:rPr>
        <w:t xml:space="preserve">. – Kt. 8:00-17:00, </w:t>
      </w:r>
      <w:proofErr w:type="spellStart"/>
      <w:r w:rsidRPr="00741179">
        <w:rPr>
          <w:rFonts w:cstheme="minorHAnsi"/>
        </w:rPr>
        <w:t>Pn</w:t>
      </w:r>
      <w:proofErr w:type="spellEnd"/>
      <w:r w:rsidRPr="00741179">
        <w:rPr>
          <w:rFonts w:cstheme="minorHAnsi"/>
        </w:rPr>
        <w:t>. 8:00-14:00.  Perkančioji organizacija nėra PVM mokėtoja</w:t>
      </w:r>
      <w:r w:rsidR="00FC7B74" w:rsidRPr="00E100D9">
        <w:rPr>
          <w:rFonts w:cstheme="minorHAnsi"/>
        </w:rPr>
        <w:t>.</w:t>
      </w:r>
    </w:p>
    <w:p w14:paraId="04BB76D0" w14:textId="181EEEDE" w:rsidR="00741179" w:rsidRPr="00741179" w:rsidRDefault="00741179" w:rsidP="00741179">
      <w:pPr>
        <w:pStyle w:val="Sraopastraipa"/>
        <w:numPr>
          <w:ilvl w:val="1"/>
          <w:numId w:val="9"/>
        </w:numPr>
        <w:spacing w:line="240" w:lineRule="auto"/>
        <w:ind w:left="0" w:firstLine="567"/>
        <w:rPr>
          <w:rFonts w:cstheme="minorHAnsi"/>
        </w:rPr>
      </w:pPr>
      <w:r>
        <w:rPr>
          <w:rFonts w:cstheme="minorHAnsi"/>
        </w:rPr>
        <w:t>Sutartį pasirašys perkančioji organizacija.</w:t>
      </w:r>
    </w:p>
    <w:p w14:paraId="6669709E" w14:textId="421D9A76" w:rsidR="00316D64" w:rsidRPr="00E100D9" w:rsidRDefault="00CA0CC5" w:rsidP="00741179">
      <w:pPr>
        <w:pStyle w:val="Sraopastraipa"/>
        <w:numPr>
          <w:ilvl w:val="1"/>
          <w:numId w:val="9"/>
        </w:numPr>
        <w:spacing w:line="240" w:lineRule="auto"/>
        <w:ind w:left="0" w:firstLine="567"/>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rsidP="00741179">
      <w:pPr>
        <w:pStyle w:val="Sraopastraipa"/>
        <w:numPr>
          <w:ilvl w:val="1"/>
          <w:numId w:val="9"/>
        </w:numPr>
        <w:spacing w:line="240" w:lineRule="auto"/>
        <w:ind w:left="0" w:firstLine="56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0A9FD4C7" w:rsidR="001D5135" w:rsidRDefault="00D459E3" w:rsidP="00741179">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1"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1"/>
      <w:r w:rsidR="00E4549F" w:rsidRPr="00F73119">
        <w:t>4.</w:t>
      </w:r>
      <w:r w:rsidR="00F73119" w:rsidRPr="00F73119">
        <w:t>4.4</w:t>
      </w:r>
      <w:bookmarkStart w:id="12" w:name="_Hlk194658135"/>
      <w:r w:rsidR="00F73119" w:rsidRPr="00F73119">
        <w:t>.</w:t>
      </w:r>
      <w:r w:rsidRPr="00F73119">
        <w:t xml:space="preserve"> punkt</w:t>
      </w:r>
      <w:r w:rsidR="00475A04">
        <w:t>o 4.4.4.1. – 4.4.4.3. papunkčiais</w:t>
      </w:r>
      <w:bookmarkEnd w:id="12"/>
      <w:r w:rsidRPr="00F73119">
        <w:t xml:space="preserve">.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741179">
      <w:pPr>
        <w:pStyle w:val="Sraopastraipa"/>
        <w:numPr>
          <w:ilvl w:val="1"/>
          <w:numId w:val="9"/>
        </w:numPr>
        <w:spacing w:line="240" w:lineRule="auto"/>
        <w:ind w:left="0" w:firstLine="567"/>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741179">
      <w:pPr>
        <w:pStyle w:val="Sraopastraipa"/>
        <w:spacing w:after="120" w:line="240" w:lineRule="auto"/>
        <w:ind w:left="697" w:firstLine="567"/>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4332626"/>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18076B86"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741179">
        <w:rPr>
          <w:rFonts w:eastAsia="Calibri" w:cstheme="minorHAnsi"/>
          <w:b/>
          <w:bCs/>
          <w:color w:val="000000" w:themeColor="text1"/>
        </w:rPr>
        <w:t>interaktyvius ekranus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4332627"/>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4332628"/>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4332629"/>
      <w:r w:rsidRPr="00E100D9">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007504A0"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p>
    <w:bookmarkEnd w:id="17"/>
    <w:p w14:paraId="06734795" w14:textId="09CC5271" w:rsidR="00AD4F1A" w:rsidRPr="00E100D9" w:rsidRDefault="00AD4F1A" w:rsidP="00D14B5D">
      <w:pPr>
        <w:pStyle w:val="Sraopastraipa"/>
        <w:numPr>
          <w:ilvl w:val="1"/>
          <w:numId w:val="7"/>
        </w:numPr>
        <w:spacing w:line="240" w:lineRule="auto"/>
        <w:ind w:left="0" w:firstLine="709"/>
        <w:rPr>
          <w:rFonts w:cstheme="minorHAnsi"/>
          <w:bCs/>
          <w:iCs/>
          <w:u w:val="single"/>
        </w:rPr>
      </w:pPr>
      <w:r w:rsidRPr="00E100D9">
        <w:rPr>
          <w:rFonts w:eastAsia="Calibri" w:cstheme="minorHAnsi"/>
          <w:iCs/>
        </w:rPr>
        <w:t xml:space="preserve">Visas </w:t>
      </w:r>
      <w:r w:rsidR="00054712" w:rsidRPr="00E100D9">
        <w:rPr>
          <w:rFonts w:eastAsia="Calibri" w:cstheme="minorHAnsi"/>
          <w:iCs/>
        </w:rPr>
        <w:t>p</w:t>
      </w:r>
      <w:r w:rsidRPr="00E100D9">
        <w:rPr>
          <w:rFonts w:eastAsia="Calibri" w:cstheme="minorHAnsi"/>
          <w:iCs/>
        </w:rPr>
        <w:t xml:space="preserve">asiūlymas </w:t>
      </w:r>
      <w:r w:rsidR="00E603E8">
        <w:rPr>
          <w:rFonts w:eastAsia="Calibri" w:cstheme="minorHAnsi"/>
          <w:iCs/>
        </w:rPr>
        <w:t xml:space="preserve">gali </w:t>
      </w:r>
      <w:r w:rsidRPr="00E100D9">
        <w:rPr>
          <w:rFonts w:eastAsia="Calibri" w:cstheme="minorHAnsi"/>
          <w:iCs/>
        </w:rPr>
        <w:t>būti pasirašytas kvalifikuotu elektroniniu parašu, atitinkančiu VPĮ 22</w:t>
      </w:r>
      <w:r w:rsidR="00F77B99" w:rsidRPr="00E100D9">
        <w:rPr>
          <w:rFonts w:eastAsia="Calibri" w:cstheme="minorHAnsi"/>
          <w:iCs/>
        </w:rPr>
        <w:t xml:space="preserve"> </w:t>
      </w:r>
      <w:r w:rsidRPr="00E100D9">
        <w:rPr>
          <w:rFonts w:eastAsia="Calibri" w:cstheme="minorHAnsi"/>
          <w:iCs/>
        </w:rPr>
        <w:t xml:space="preserve">straipsnio 11 dalies 2 ir 3 punktuose nustatytus reikalavimus. </w:t>
      </w:r>
      <w:r w:rsidRPr="00E100D9">
        <w:rPr>
          <w:rFonts w:eastAsia="Calibri" w:cstheme="minorHAnsi"/>
        </w:rPr>
        <w:t xml:space="preserve">Kvalifikuotu elektroniniu parašu </w:t>
      </w:r>
      <w:r w:rsidR="00AC59AF" w:rsidRPr="00E100D9">
        <w:rPr>
          <w:rFonts w:eastAsia="Calibri" w:cstheme="minorHAnsi"/>
        </w:rPr>
        <w:t xml:space="preserve">tiekėjo </w:t>
      </w:r>
      <w:r w:rsidRPr="00E100D9">
        <w:rPr>
          <w:rFonts w:eastAsia="Calibri" w:cstheme="minorHAnsi"/>
        </w:rPr>
        <w:t xml:space="preserve">vadovas ar jo įgaliotas asmuo turi patvirtinti visą </w:t>
      </w:r>
      <w:r w:rsidR="00AC59AF" w:rsidRPr="00E100D9">
        <w:rPr>
          <w:rFonts w:eastAsia="Calibri" w:cstheme="minorHAnsi"/>
        </w:rPr>
        <w:t>p</w:t>
      </w:r>
      <w:r w:rsidRPr="00E100D9">
        <w:rPr>
          <w:rFonts w:eastAsia="Calibri" w:cstheme="minorHAnsi"/>
        </w:rPr>
        <w:t xml:space="preserve">asiūlymą, atskirai kiekvienos dokumentų kopijos pasirašyti kvalifikuotu elektroniniu parašu nereikia (jei </w:t>
      </w:r>
      <w:r w:rsidR="005576C1" w:rsidRPr="00E100D9">
        <w:rPr>
          <w:rFonts w:eastAsia="Calibri" w:cstheme="minorHAnsi"/>
        </w:rPr>
        <w:t xml:space="preserve">pirkimo sąlygose </w:t>
      </w:r>
      <w:r w:rsidRPr="00E100D9">
        <w:rPr>
          <w:rFonts w:eastAsia="Calibri" w:cstheme="minorHAnsi"/>
        </w:rPr>
        <w:t xml:space="preserve">nenumatyta kitaip). </w:t>
      </w:r>
      <w:r w:rsidRPr="00E100D9">
        <w:rPr>
          <w:rFonts w:eastAsia="Calibri" w:cstheme="minorHAnsi"/>
          <w:bCs/>
          <w:iCs/>
        </w:rPr>
        <w:t>Gali būti pateikiami:</w:t>
      </w:r>
    </w:p>
    <w:p w14:paraId="4E3EB4F2" w14:textId="6430986C" w:rsidR="004E3415" w:rsidRPr="00E100D9" w:rsidRDefault="00AD4F1A" w:rsidP="00D4484E">
      <w:pPr>
        <w:pStyle w:val="Sraopastraipa"/>
        <w:numPr>
          <w:ilvl w:val="2"/>
          <w:numId w:val="7"/>
        </w:numPr>
        <w:spacing w:line="240" w:lineRule="auto"/>
        <w:ind w:left="0" w:firstLine="851"/>
        <w:rPr>
          <w:rFonts w:cstheme="minorHAnsi"/>
          <w:bCs/>
          <w:iCs/>
          <w:u w:val="single"/>
        </w:rPr>
      </w:pPr>
      <w:r w:rsidRPr="00E100D9">
        <w:rPr>
          <w:rFonts w:eastAsia="Calibri" w:cstheme="minorHAnsi"/>
          <w:bCs/>
          <w:iCs/>
        </w:rPr>
        <w:t xml:space="preserve">kvalifikuotu elektroniniu parašu pasirašyti elektroninėmis priemonėmis suformuoti dokumentai (kai </w:t>
      </w:r>
      <w:r w:rsidR="005576C1" w:rsidRPr="00E100D9">
        <w:rPr>
          <w:rFonts w:eastAsia="Calibri" w:cstheme="minorHAnsi"/>
          <w:bCs/>
          <w:iCs/>
        </w:rPr>
        <w:t xml:space="preserve">tiekėją </w:t>
      </w:r>
      <w:r w:rsidRPr="00E100D9">
        <w:rPr>
          <w:rFonts w:eastAsia="Calibri" w:cstheme="minorHAnsi"/>
          <w:bCs/>
          <w:iCs/>
        </w:rPr>
        <w:t>atstovaujantis ir visą pasiūlymą pasirašantis asmuo nesutampa su elektroniniu parašu atitinkamą dokumentą pasirašančiu asmeniu)</w:t>
      </w:r>
      <w:r w:rsidR="004E3415" w:rsidRPr="00E100D9">
        <w:rPr>
          <w:rFonts w:eastAsia="Calibri" w:cstheme="minorHAnsi"/>
          <w:bCs/>
          <w:iCs/>
        </w:rPr>
        <w:t>;</w:t>
      </w:r>
    </w:p>
    <w:p w14:paraId="3A29202B" w14:textId="79D3A205" w:rsidR="004E3415"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 xml:space="preserve">elektroninėmis priemonėmis suformuoti dokumentai (kai </w:t>
      </w:r>
      <w:r w:rsidR="00FA2925" w:rsidRPr="00E100D9">
        <w:rPr>
          <w:rFonts w:eastAsia="Calibri" w:cstheme="minorHAnsi"/>
          <w:bCs/>
          <w:iCs/>
        </w:rPr>
        <w:t xml:space="preserve">tiekėją </w:t>
      </w:r>
      <w:r w:rsidRPr="00E100D9">
        <w:rPr>
          <w:rFonts w:eastAsia="Calibri" w:cstheme="minorHAnsi"/>
          <w:bCs/>
          <w:iCs/>
        </w:rPr>
        <w:t xml:space="preserve">atstovaujantis ir visą </w:t>
      </w:r>
      <w:r w:rsidR="00FA2925" w:rsidRPr="00E100D9">
        <w:rPr>
          <w:rFonts w:eastAsia="Calibri" w:cstheme="minorHAnsi"/>
          <w:bCs/>
          <w:iCs/>
        </w:rPr>
        <w:t>p</w:t>
      </w:r>
      <w:r w:rsidRPr="00E100D9">
        <w:rPr>
          <w:rFonts w:eastAsia="Calibri" w:cstheme="minorHAnsi"/>
          <w:bCs/>
          <w:iCs/>
        </w:rPr>
        <w:t>asiūlymą pasirašantis asmuo sutampa su atitinkamą dokumentą turinčiu teisę pasirašyti asmeniu);</w:t>
      </w:r>
    </w:p>
    <w:p w14:paraId="69C2C151" w14:textId="6666B840" w:rsidR="00FA4B39"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skaitmeninės dokumentų kopijos (</w:t>
      </w:r>
      <w:r w:rsidRPr="00E100D9">
        <w:rPr>
          <w:rFonts w:eastAsia="Calibri" w:cstheme="minorHAnsi"/>
          <w:iCs/>
        </w:rPr>
        <w:t xml:space="preserve">fiziniu asmens, nesutampančio, su </w:t>
      </w:r>
      <w:r w:rsidR="00DE0779" w:rsidRPr="00E100D9">
        <w:rPr>
          <w:rFonts w:eastAsia="Calibri" w:cstheme="minorHAnsi"/>
          <w:iCs/>
        </w:rPr>
        <w:t>p</w:t>
      </w:r>
      <w:r w:rsidRPr="00E100D9">
        <w:rPr>
          <w:rFonts w:eastAsia="Calibri" w:cstheme="minorHAnsi"/>
          <w:iCs/>
        </w:rPr>
        <w:t>asiūlymą pasirašančiu asmeniu, parašu tvirtinami dokumentai turi būti pateikiami pasirašyti ir nuskenuoti)</w:t>
      </w:r>
      <w:r w:rsidRPr="00E100D9">
        <w:rPr>
          <w:rFonts w:eastAsia="Calibri" w:cstheme="minorHAnsi"/>
          <w:bCs/>
          <w:iCs/>
        </w:rPr>
        <w:t>.</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w:t>
      </w:r>
      <w:r w:rsidRPr="00E100D9">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4332630"/>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4332631"/>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53F6E676" w:rsidR="004D3147" w:rsidRDefault="004D3147" w:rsidP="004D3147">
      <w:pPr>
        <w:pStyle w:val="Sraopastraipa"/>
        <w:numPr>
          <w:ilvl w:val="1"/>
          <w:numId w:val="19"/>
        </w:numPr>
        <w:spacing w:line="240" w:lineRule="auto"/>
        <w:ind w:left="0" w:firstLine="567"/>
        <w:rPr>
          <w:rFonts w:cs="Calibri"/>
        </w:rPr>
      </w:pPr>
      <w:r w:rsidRPr="004D3147">
        <w:rPr>
          <w:rFonts w:cs="Calibri"/>
        </w:rPr>
        <w:t>Perkančioji organizacija ekonomiškai naudingiausią pasiūlymą</w:t>
      </w:r>
      <w:r w:rsidR="00681AA6">
        <w:rPr>
          <w:rFonts w:cs="Calibri"/>
        </w:rPr>
        <w:t xml:space="preserve"> </w:t>
      </w:r>
      <w:r w:rsidR="00681AA6" w:rsidRPr="00681AA6">
        <w:rPr>
          <w:rFonts w:cs="Calibri"/>
        </w:rPr>
        <w:t xml:space="preserve">pagal tiekėjo pasiūlyme nurodytą kainą, kuri turi būti apskaičiuota ir nurodyta taip, kaip reikalaujama specialiųjų pirkimo sąlygų </w:t>
      </w:r>
      <w:r w:rsidR="00681AA6">
        <w:rPr>
          <w:rFonts w:cs="Calibri"/>
          <w:b/>
          <w:bCs/>
        </w:rPr>
        <w:t>3</w:t>
      </w:r>
      <w:r w:rsidR="00681AA6" w:rsidRPr="00681AA6">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4332632"/>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4332633"/>
      <w:r w:rsidRPr="00E100D9">
        <w:rPr>
          <w:rFonts w:asciiTheme="minorHAnsi" w:hAnsiTheme="minorHAnsi" w:cstheme="minorHAnsi"/>
          <w:color w:val="auto"/>
        </w:rPr>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4332634"/>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179">
        <w:rPr>
          <w:rFonts w:cstheme="minorHAnsi"/>
          <w:b/>
          <w:bCs/>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w:t>
      </w:r>
      <w:r w:rsidR="003F479A" w:rsidRPr="00741179">
        <w:rPr>
          <w:rFonts w:eastAsia="Times New Roman" w:cstheme="minorHAnsi"/>
          <w:b/>
          <w:bCs/>
        </w:rPr>
        <w:t>(VPĮ 46 str. 2</w:t>
      </w:r>
      <w:r w:rsidR="003F479A" w:rsidRPr="00741179">
        <w:rPr>
          <w:rFonts w:eastAsia="Times New Roman" w:cstheme="minorHAnsi"/>
          <w:b/>
          <w:bCs/>
          <w:vertAlign w:val="superscript"/>
        </w:rPr>
        <w:t>1 </w:t>
      </w:r>
      <w:r w:rsidR="003F479A" w:rsidRPr="00741179">
        <w:rPr>
          <w:rFonts w:eastAsia="Times New Roman" w:cstheme="minorHAnsi"/>
          <w:b/>
          <w:bCs/>
        </w:rPr>
        <w:t>nuostata)</w:t>
      </w:r>
      <w:r w:rsidR="003F479A" w:rsidRPr="00741179">
        <w:rPr>
          <w:rFonts w:eastAsia="Times New Roman" w:cstheme="minorHAnsi"/>
        </w:rPr>
        <w:t>.</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2"/>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4332635"/>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6EC65F3B" w14:textId="364F47CC" w:rsidR="00681AA6" w:rsidRPr="00681AA6" w:rsidRDefault="00681AA6" w:rsidP="00681AA6">
      <w:pPr>
        <w:numPr>
          <w:ilvl w:val="0"/>
          <w:numId w:val="40"/>
        </w:numPr>
        <w:tabs>
          <w:tab w:val="left" w:pos="993"/>
        </w:tabs>
        <w:spacing w:line="240" w:lineRule="auto"/>
        <w:ind w:left="0" w:firstLine="567"/>
        <w:contextualSpacing/>
        <w:rPr>
          <w:rFonts w:eastAsia="Calibri" w:cstheme="minorHAnsi"/>
        </w:rPr>
      </w:pPr>
      <w:r w:rsidRPr="00681AA6">
        <w:rPr>
          <w:rFonts w:eastAsia="Calibri" w:cstheme="minorHAnsi"/>
        </w:rPr>
        <w:t xml:space="preserve">Vadovaujantis Lietuvos Respublikos aplinkos ministro 2011 m. birželio 28 d. įsakymo Nr. D1-508 „Dėl Aplinkos apsaugos kriterijų taikymo, vykdant žaliuosius pirkimus, tvarkos aprašo patvirtinimo“ </w:t>
      </w:r>
      <w:r w:rsidRPr="00681AA6">
        <w:rPr>
          <w:rFonts w:eastAsia="Calibri" w:cstheme="minorHAnsi"/>
          <w:b/>
          <w:bCs/>
        </w:rPr>
        <w:t>4.4.4.</w:t>
      </w:r>
      <w:r w:rsidRPr="00681AA6">
        <w:rPr>
          <w:rFonts w:eastAsia="Calibri" w:cstheme="minorHAnsi"/>
          <w:b/>
          <w:bCs/>
          <w:i/>
        </w:rPr>
        <w:t xml:space="preserve"> </w:t>
      </w:r>
      <w:r w:rsidRPr="00681AA6">
        <w:rPr>
          <w:rFonts w:eastAsia="Calibri" w:cstheme="minorHAnsi"/>
          <w:b/>
          <w:bCs/>
        </w:rPr>
        <w:t xml:space="preserve"> </w:t>
      </w:r>
      <w:r w:rsidR="00475A04" w:rsidRPr="00475A04">
        <w:rPr>
          <w:rFonts w:eastAsia="Calibri" w:cstheme="minorHAnsi"/>
          <w:b/>
          <w:bCs/>
        </w:rPr>
        <w:t>punkto 4.4.4.1. – 4.4.4.3. papunkčiais</w:t>
      </w:r>
      <w:r w:rsidR="00475A04" w:rsidRPr="00475A04">
        <w:rPr>
          <w:rFonts w:eastAsia="Calibri" w:cstheme="minorHAnsi"/>
        </w:rPr>
        <w:t>,</w:t>
      </w:r>
      <w:r w:rsidR="00475A04">
        <w:rPr>
          <w:rFonts w:eastAsia="Calibri" w:cstheme="minorHAnsi"/>
          <w:b/>
          <w:bCs/>
        </w:rPr>
        <w:t xml:space="preserve"> </w:t>
      </w:r>
      <w:r w:rsidRPr="00681AA6">
        <w:rPr>
          <w:rFonts w:eastAsia="Calibri" w:cstheme="minorHAnsi"/>
        </w:rPr>
        <w:t>nustatomi tokie aplinkos apaugos kriterijai:</w:t>
      </w:r>
    </w:p>
    <w:p w14:paraId="4B404668"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w:t>
      </w:r>
      <w:bookmarkStart w:id="44" w:name="_Hlk191885539"/>
      <w:r w:rsidRPr="00681AA6">
        <w:rPr>
          <w:rFonts w:eastAsia="Calibri" w:cstheme="minorHAnsi"/>
          <w:lang w:eastAsia="en-US"/>
        </w:rPr>
        <w:t>Siūlomos prekės turi turėti efektyvaus energijos vartojimo sertifikatą arba lygiavertį dokumentą, kuris pateikiamas kartu su pasiūlymu</w:t>
      </w:r>
      <w:bookmarkEnd w:id="44"/>
      <w:r w:rsidRPr="00681AA6">
        <w:rPr>
          <w:rFonts w:eastAsia="Calibri" w:cstheme="minorHAnsi"/>
          <w:lang w:eastAsia="en-US"/>
        </w:rPr>
        <w:t>;</w:t>
      </w:r>
    </w:p>
    <w:p w14:paraId="7BD9D3E0"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Prekės turi būti pristatomos </w:t>
      </w:r>
      <w:r w:rsidRPr="00681AA6">
        <w:rPr>
          <w:rFonts w:eastAsia="Calibri" w:cstheme="minorHAnsi"/>
          <w:color w:val="000000"/>
          <w:lang w:eastAsia="en-US"/>
        </w:rPr>
        <w:t>perdirbamosiose pakuotėse pagal Lietuvos Respublikos mokesčio už aplinkos teršimą įstatymo nuostatas.</w:t>
      </w:r>
    </w:p>
    <w:p w14:paraId="6EA23F3E" w14:textId="5DB71EC5"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bCs/>
          <w:color w:val="000000"/>
          <w:lang w:eastAsia="en-US"/>
        </w:rPr>
        <w:t xml:space="preserve">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w:t>
      </w:r>
      <w:r w:rsidR="00475A04" w:rsidRPr="00475A04">
        <w:rPr>
          <w:rFonts w:eastAsia="Calibri" w:cstheme="minorHAnsi"/>
          <w:bCs/>
          <w:color w:val="000000"/>
          <w:lang w:eastAsia="en-US"/>
        </w:rPr>
        <w:t xml:space="preserve">kuris atitinka žaliojo pirkimo reikalavimus, patvirtintus </w:t>
      </w:r>
      <w:bookmarkStart w:id="45" w:name="_Hlk192663784"/>
      <w:r w:rsidR="00475A04" w:rsidRPr="00475A04">
        <w:rPr>
          <w:rFonts w:eastAsia="Calibri" w:cstheme="minorHAnsi"/>
          <w:bCs/>
          <w:color w:val="000000"/>
          <w:lang w:eastAsia="en-US"/>
        </w:rPr>
        <w:t xml:space="preserve">Lietuvos Respublikos aplinkos ministro 2011 m. birželio 28 d. įsakymu Nr. D1-508 </w:t>
      </w:r>
      <w:bookmarkEnd w:id="45"/>
      <w:r w:rsidR="00475A04" w:rsidRPr="00475A04">
        <w:rPr>
          <w:rFonts w:eastAsia="Calibri" w:cstheme="minorHAnsi"/>
          <w:bCs/>
          <w:color w:val="000000"/>
          <w:lang w:eastAsia="en-US"/>
        </w:rPr>
        <w:t>„Dėl Aplinkos apsaugos kriterijų taikymo, vykdant žaliuosius pirkimus, tvarkos aprašo patvirtinimo“ patvirtintame aplinkos apsaugos kriterijų taikymo, vykdant žaliuosius pirkimus, tvarkos apraše</w:t>
      </w:r>
      <w:r w:rsidRPr="00681AA6">
        <w:rPr>
          <w:rFonts w:eastAsia="Calibri" w:cstheme="minorHAnsi"/>
          <w:bCs/>
          <w:color w:val="000000"/>
          <w:lang w:eastAsia="en-US"/>
        </w:rPr>
        <w:t>.</w:t>
      </w:r>
    </w:p>
    <w:p w14:paraId="61612BED" w14:textId="223DA793"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 xml:space="preserve">Tiekėjas turi Prekes montuoti taip, kad būtų pasiektas kuo didesnis </w:t>
      </w:r>
      <w:r w:rsidR="00D214D8">
        <w:rPr>
          <w:rFonts w:eastAsia="Calibri" w:cstheme="minorHAnsi"/>
          <w:lang w:eastAsia="ar-SA"/>
        </w:rPr>
        <w:t xml:space="preserve"> energijos </w:t>
      </w:r>
      <w:r w:rsidRPr="00681AA6">
        <w:rPr>
          <w:rFonts w:eastAsia="Calibri" w:cstheme="minorHAnsi"/>
          <w:lang w:eastAsia="ar-SA"/>
        </w:rPr>
        <w:t xml:space="preserve">vartojimo efektyvumas. Tiekėjas prieš pradėdamas montuoti Prekes Pirkėjui turi pateikti eksploatavimo vadovą arba naudotojo poreikių vertinimą, kuriame pasiūlyti geriausi Prekių energijos vartojimo parametrai. </w:t>
      </w:r>
    </w:p>
    <w:p w14:paraId="7312B868" w14:textId="4C22F10C"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30395542" w14:textId="77777777" w:rsidR="00681AA6" w:rsidRPr="00681AA6" w:rsidRDefault="00681AA6" w:rsidP="00681AA6">
      <w:pPr>
        <w:spacing w:line="240" w:lineRule="auto"/>
        <w:ind w:firstLine="567"/>
        <w:contextualSpacing/>
        <w:rPr>
          <w:rFonts w:eastAsia="Calibri" w:cstheme="minorHAnsi"/>
        </w:rPr>
      </w:pPr>
      <w:r w:rsidRPr="00681AA6">
        <w:rPr>
          <w:rFonts w:eastAsia="Calibri" w:cstheme="minorHAnsi"/>
        </w:rPr>
        <w:t>2.Tiekėjas,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228898F9" w14:textId="77777777"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 xml:space="preserve">Pardavėjas įsipareigoja apmokyti naudotojus, kaip naudotis interaktyviu ekranu: </w:t>
      </w:r>
    </w:p>
    <w:p w14:paraId="6D6153AF" w14:textId="47D46BC9" w:rsidR="00681AA6" w:rsidRPr="00972FAA" w:rsidRDefault="00681AA6" w:rsidP="00681AA6">
      <w:pPr>
        <w:numPr>
          <w:ilvl w:val="1"/>
          <w:numId w:val="47"/>
        </w:numPr>
        <w:tabs>
          <w:tab w:val="left" w:pos="851"/>
          <w:tab w:val="left" w:pos="1276"/>
        </w:tabs>
        <w:spacing w:line="240" w:lineRule="auto"/>
        <w:ind w:left="0" w:firstLine="567"/>
        <w:contextualSpacing/>
        <w:rPr>
          <w:rFonts w:eastAsia="Calibri" w:cstheme="minorHAnsi"/>
        </w:rPr>
      </w:pPr>
      <w:r w:rsidRPr="00972FAA">
        <w:rPr>
          <w:rFonts w:eastAsia="Calibri" w:cstheme="minorHAnsi"/>
        </w:rPr>
        <w:t>Mokymų trukmė turi būti ne mažiau nei 4 akademinės valandos</w:t>
      </w:r>
      <w:r w:rsidR="002C0AF9" w:rsidRPr="00972FAA">
        <w:rPr>
          <w:rFonts w:eastAsia="Calibri" w:cstheme="minorHAnsi"/>
        </w:rPr>
        <w:t xml:space="preserve"> kiekvienoje įstaigoje</w:t>
      </w:r>
      <w:r w:rsidRPr="00972FAA">
        <w:rPr>
          <w:rFonts w:eastAsia="Calibri" w:cstheme="minorHAnsi"/>
        </w:rPr>
        <w:t>, kurių metu turi būti pademonstruotos visos funkcijos, kurios aprašytos techninėje specifikacijoje;</w:t>
      </w:r>
    </w:p>
    <w:p w14:paraId="49D44880" w14:textId="0347B18F" w:rsidR="00681AA6" w:rsidRPr="00681AA6" w:rsidRDefault="00681AA6" w:rsidP="002C0AF9">
      <w:pPr>
        <w:tabs>
          <w:tab w:val="left" w:pos="709"/>
        </w:tabs>
        <w:spacing w:line="240" w:lineRule="auto"/>
        <w:ind w:firstLine="567"/>
        <w:contextualSpacing/>
        <w:rPr>
          <w:rFonts w:eastAsia="Calibri" w:cstheme="minorHAnsi"/>
        </w:rPr>
      </w:pPr>
      <w:r w:rsidRPr="00972FAA">
        <w:rPr>
          <w:rFonts w:eastAsia="Calibri" w:cstheme="minorHAnsi"/>
        </w:rPr>
        <w:t>3.2. Mokymai privalo vykti</w:t>
      </w:r>
      <w:r w:rsidR="00465F1E" w:rsidRPr="00972FAA">
        <w:rPr>
          <w:rFonts w:eastAsia="Calibri" w:cstheme="minorHAnsi"/>
        </w:rPr>
        <w:t xml:space="preserve"> įstaigų, kurioms ir bus skirtos perkamos Prekės</w:t>
      </w:r>
      <w:r w:rsidRPr="00972FAA">
        <w:rPr>
          <w:rFonts w:eastAsia="Calibri" w:cstheme="minorHAnsi"/>
        </w:rPr>
        <w:t xml:space="preserve"> </w:t>
      </w:r>
      <w:r w:rsidR="00475A04" w:rsidRPr="00972FAA">
        <w:rPr>
          <w:rFonts w:eastAsia="Calibri" w:cstheme="minorHAnsi"/>
        </w:rPr>
        <w:t>(</w:t>
      </w:r>
      <w:r w:rsidR="00C8069D" w:rsidRPr="00972FAA">
        <w:rPr>
          <w:rFonts w:eastAsia="Calibri" w:cstheme="minorHAnsi"/>
        </w:rPr>
        <w:t xml:space="preserve">11 </w:t>
      </w:r>
      <w:r w:rsidR="00475A04" w:rsidRPr="00972FAA">
        <w:rPr>
          <w:rFonts w:eastAsia="Calibri" w:cstheme="minorHAnsi"/>
        </w:rPr>
        <w:t>įstaig</w:t>
      </w:r>
      <w:r w:rsidR="00465F1E" w:rsidRPr="00972FAA">
        <w:rPr>
          <w:rFonts w:eastAsia="Calibri" w:cstheme="minorHAnsi"/>
        </w:rPr>
        <w:t>ų</w:t>
      </w:r>
      <w:r w:rsidR="00475A04" w:rsidRPr="00972FAA">
        <w:rPr>
          <w:rFonts w:eastAsia="Calibri" w:cstheme="minorHAnsi"/>
        </w:rPr>
        <w:t>)</w:t>
      </w:r>
      <w:r w:rsidR="00465F1E" w:rsidRPr="00972FAA">
        <w:rPr>
          <w:rFonts w:eastAsia="Calibri" w:cstheme="minorHAnsi"/>
        </w:rPr>
        <w:t>,</w:t>
      </w:r>
      <w:r w:rsidR="00475A04" w:rsidRPr="00972FAA">
        <w:rPr>
          <w:rFonts w:eastAsia="Calibri" w:cstheme="minorHAnsi"/>
        </w:rPr>
        <w:t xml:space="preserve"> </w:t>
      </w:r>
      <w:r w:rsidRPr="00972FAA">
        <w:rPr>
          <w:rFonts w:eastAsia="Calibri" w:cstheme="minorHAnsi"/>
        </w:rPr>
        <w:t>patalpose naudojant pardavėjo pristatytą interaktyvų ekraną;</w:t>
      </w:r>
    </w:p>
    <w:p w14:paraId="1F654F6B" w14:textId="5BBF9FF2"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 xml:space="preserve">3.3.Mokymų tvarkaraštis turi būti derinamas su kiekviena konkrečia įstaiga, kurioje bus </w:t>
      </w:r>
      <w:r w:rsidR="00D214D8">
        <w:rPr>
          <w:rFonts w:eastAsia="Calibri" w:cstheme="minorHAnsi"/>
        </w:rPr>
        <w:t>montuojami</w:t>
      </w:r>
      <w:r w:rsidRPr="00681AA6">
        <w:rPr>
          <w:rFonts w:eastAsia="Calibri" w:cstheme="minorHAnsi"/>
        </w:rPr>
        <w:t xml:space="preserve"> ekranai. </w:t>
      </w:r>
    </w:p>
    <w:p w14:paraId="0CA47FD6" w14:textId="77777777" w:rsidR="00681AA6" w:rsidRPr="00681AA6" w:rsidRDefault="00681AA6" w:rsidP="00681AA6">
      <w:pPr>
        <w:numPr>
          <w:ilvl w:val="0"/>
          <w:numId w:val="47"/>
        </w:numPr>
        <w:spacing w:line="240" w:lineRule="auto"/>
        <w:ind w:left="0" w:firstLine="567"/>
        <w:contextualSpacing/>
        <w:rPr>
          <w:rFonts w:eastAsia="Calibri" w:cstheme="minorHAnsi"/>
        </w:rPr>
      </w:pPr>
      <w:r w:rsidRPr="00681AA6">
        <w:rPr>
          <w:rFonts w:eastAsia="Calibri" w:cstheme="minorHAnsi"/>
        </w:rPr>
        <w:t>Reikalavimai interaktyvių ekranų montavimui:</w:t>
      </w:r>
    </w:p>
    <w:p w14:paraId="1DC8DE8E"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 xml:space="preserve">Tiekėjas įsipareigoja visas prekes sumontuoti Pirkėjo nurodytose patalpose (klasėse); </w:t>
      </w:r>
    </w:p>
    <w:p w14:paraId="3E0EAEB3"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Tiekėjas turi pasirūpinti visais būtinais kabeliais, instaliacinėmis medžiagomis;</w:t>
      </w:r>
    </w:p>
    <w:p w14:paraId="5450DCF2" w14:textId="24BCF9A1"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Montavimo darbai turi būti atlikti tvarkingai, laidai kiek įmanoma paslėpti (pavyzdžiui, plastik</w:t>
      </w:r>
      <w:r w:rsidR="00D214D8">
        <w:rPr>
          <w:rFonts w:eastAsia="Calibri" w:cstheme="minorHAnsi"/>
        </w:rPr>
        <w:t xml:space="preserve">iniuose </w:t>
      </w:r>
      <w:r w:rsidRPr="00681AA6">
        <w:rPr>
          <w:rFonts w:eastAsia="Calibri" w:cstheme="minorHAnsi"/>
        </w:rPr>
        <w:t>loveliuose);</w:t>
      </w:r>
    </w:p>
    <w:p w14:paraId="52BBE5D1" w14:textId="16B59978" w:rsidR="00681AA6" w:rsidRPr="00681AA6" w:rsidRDefault="00681AA6" w:rsidP="00681AA6">
      <w:pPr>
        <w:numPr>
          <w:ilvl w:val="1"/>
          <w:numId w:val="47"/>
        </w:numPr>
        <w:spacing w:line="240" w:lineRule="auto"/>
        <w:ind w:left="0" w:firstLine="567"/>
        <w:contextualSpacing/>
        <w:rPr>
          <w:rFonts w:eastAsia="Calibri" w:cstheme="minorHAnsi"/>
        </w:rPr>
      </w:pPr>
      <w:r w:rsidRPr="00681AA6">
        <w:rPr>
          <w:rFonts w:eastAsia="Calibri" w:cstheme="minorHAnsi"/>
        </w:rPr>
        <w:t xml:space="preserve">Montavimo darbai turi būti derinami su kiekviena konkrečia įstaiga, kurioje bus </w:t>
      </w:r>
      <w:r w:rsidR="00D214D8">
        <w:rPr>
          <w:rFonts w:eastAsia="Calibri" w:cstheme="minorHAnsi"/>
        </w:rPr>
        <w:t>montuojami</w:t>
      </w:r>
      <w:r w:rsidRPr="00681AA6">
        <w:rPr>
          <w:rFonts w:eastAsia="Calibri" w:cstheme="minorHAnsi"/>
        </w:rPr>
        <w:t xml:space="preserve"> ekranai.</w:t>
      </w:r>
    </w:p>
    <w:p w14:paraId="0D6C59EC" w14:textId="12150891" w:rsidR="00681AA6" w:rsidRPr="00681AA6" w:rsidRDefault="00681AA6" w:rsidP="00681AA6">
      <w:pPr>
        <w:keepNext/>
        <w:keepLines/>
        <w:numPr>
          <w:ilvl w:val="0"/>
          <w:numId w:val="47"/>
        </w:numPr>
        <w:tabs>
          <w:tab w:val="left" w:pos="851"/>
        </w:tabs>
        <w:spacing w:line="240" w:lineRule="auto"/>
        <w:ind w:left="0" w:firstLine="567"/>
        <w:outlineLvl w:val="0"/>
        <w:rPr>
          <w:rFonts w:eastAsia="Times New Roman" w:cstheme="minorHAnsi"/>
          <w:lang w:eastAsia="en-US"/>
        </w:rPr>
      </w:pPr>
      <w:bookmarkStart w:id="46" w:name="_Toc2954912"/>
      <w:bookmarkStart w:id="47" w:name="_Toc194332636"/>
      <w:r w:rsidRPr="00681AA6">
        <w:rPr>
          <w:rFonts w:eastAsia="Times New Roman" w:cstheme="minorHAnsi"/>
          <w:lang w:eastAsia="en-US"/>
        </w:rPr>
        <w:t>Reikalavimai techninės įrangos charakteristikoms ir funkcionalumui</w:t>
      </w:r>
      <w:bookmarkEnd w:id="46"/>
      <w:bookmarkEnd w:id="47"/>
      <w:r w:rsidR="00D214D8">
        <w:rPr>
          <w:rFonts w:eastAsia="Times New Roman" w:cstheme="minorHAnsi"/>
          <w:lang w:eastAsia="en-US"/>
        </w:rPr>
        <w:t>:</w:t>
      </w:r>
    </w:p>
    <w:p w14:paraId="10C261CB" w14:textId="263B9791" w:rsidR="00681AA6" w:rsidRPr="00681AA6" w:rsidRDefault="00681AA6" w:rsidP="00681AA6">
      <w:pPr>
        <w:pStyle w:val="Sraopastraipa"/>
        <w:numPr>
          <w:ilvl w:val="1"/>
          <w:numId w:val="47"/>
        </w:numPr>
        <w:tabs>
          <w:tab w:val="left" w:pos="709"/>
        </w:tabs>
        <w:spacing w:line="240" w:lineRule="auto"/>
        <w:ind w:left="0" w:firstLine="567"/>
        <w:rPr>
          <w:rFonts w:eastAsia="Calibri" w:cstheme="minorHAnsi"/>
        </w:rPr>
      </w:pPr>
      <w:r w:rsidRPr="00681AA6">
        <w:rPr>
          <w:rFonts w:eastAsia="Calibri" w:cstheme="minorHAnsi"/>
        </w:rPr>
        <w:t>Turi būti galimybė nemokamai atsisiųsti oficialų programinės įrangos naudotojo žinyno vertimą į lietuvių kalbą.</w:t>
      </w:r>
    </w:p>
    <w:p w14:paraId="69FC43B9" w14:textId="0752501C" w:rsidR="00681AA6" w:rsidRPr="00D214D8" w:rsidRDefault="00681AA6" w:rsidP="00681AA6">
      <w:pPr>
        <w:pStyle w:val="Sraopastraipa"/>
        <w:numPr>
          <w:ilvl w:val="1"/>
          <w:numId w:val="47"/>
        </w:numPr>
        <w:tabs>
          <w:tab w:val="left" w:pos="567"/>
          <w:tab w:val="left" w:pos="709"/>
        </w:tabs>
        <w:spacing w:line="240" w:lineRule="auto"/>
        <w:ind w:left="0" w:firstLine="567"/>
        <w:rPr>
          <w:rFonts w:eastAsia="Calibri" w:cstheme="minorHAnsi"/>
        </w:rPr>
      </w:pPr>
      <w:r w:rsidRPr="00D214D8">
        <w:rPr>
          <w:rFonts w:eastAsia="Calibri" w:cstheme="minorHAnsi"/>
        </w:rPr>
        <w:t>Visa programinė įranga (įskaitant ir integruoto priedo bei nuotolinio mokymo sistemos) turi būti lietuvių kalba.</w:t>
      </w:r>
    </w:p>
    <w:p w14:paraId="70D7D803" w14:textId="15B0B9A1"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Privalomas techninės įrangos garantinės priežiūros laikotarpis  – ne mažiau 36 mėnesių gamintojo ir (arba) tiekėjo garantija nuo prekių perdavimo-priėmimo akto pasirašymo dienos.</w:t>
      </w:r>
    </w:p>
    <w:p w14:paraId="2386D185" w14:textId="77777777" w:rsidR="00681AA6" w:rsidRPr="00681AA6" w:rsidRDefault="00681AA6" w:rsidP="00681AA6">
      <w:pPr>
        <w:numPr>
          <w:ilvl w:val="0"/>
          <w:numId w:val="47"/>
        </w:numPr>
        <w:spacing w:line="240" w:lineRule="auto"/>
        <w:ind w:left="0" w:firstLine="567"/>
        <w:contextualSpacing/>
        <w:rPr>
          <w:rFonts w:eastAsia="Calibri" w:cstheme="minorHAnsi"/>
          <w:u w:val="single"/>
        </w:rPr>
      </w:pPr>
      <w:r w:rsidRPr="00681AA6">
        <w:rPr>
          <w:rFonts w:eastAsia="Calibri" w:cstheme="minorHAnsi"/>
          <w:smallCaps/>
          <w:color w:val="000000"/>
        </w:rPr>
        <w:lastRenderedPageBreak/>
        <w:t>T</w:t>
      </w:r>
      <w:r w:rsidRPr="00681AA6">
        <w:rPr>
          <w:rFonts w:eastAsia="Calibri" w:cstheme="minorHAnsi"/>
        </w:rPr>
        <w:t>iekėjas, pildydamas</w:t>
      </w:r>
      <w:r w:rsidRPr="00681AA6">
        <w:rPr>
          <w:rFonts w:eastAsia="Times New Roman" w:cstheme="minorHAnsi"/>
          <w:b/>
          <w:bCs/>
        </w:rPr>
        <w:t xml:space="preserve"> Techninės specifikacijos lentelę</w:t>
      </w:r>
      <w:r w:rsidRPr="00681AA6">
        <w:rPr>
          <w:rFonts w:eastAsia="Calibri" w:cstheme="minorHAnsi"/>
        </w:rPr>
        <w:t xml:space="preserve"> , privalo nurodyti </w:t>
      </w:r>
      <w:r w:rsidRPr="00681AA6">
        <w:rPr>
          <w:rFonts w:eastAsia="Calibri" w:cstheme="minorHAnsi"/>
          <w:b/>
          <w:bCs/>
        </w:rPr>
        <w:t>tikslius</w:t>
      </w:r>
      <w:r w:rsidRPr="00681AA6">
        <w:rPr>
          <w:rFonts w:eastAsia="Calibri" w:cstheme="minorHAnsi"/>
        </w:rPr>
        <w:t xml:space="preserve"> </w:t>
      </w:r>
      <w:r w:rsidRPr="00681AA6">
        <w:rPr>
          <w:rFonts w:eastAsia="Calibri" w:cstheme="minorHAnsi"/>
          <w:b/>
          <w:bCs/>
        </w:rPr>
        <w:t>siūlomų prekių parametrus</w:t>
      </w:r>
      <w:r w:rsidRPr="00681AA6">
        <w:rPr>
          <w:rFonts w:eastAsia="Calibri" w:cstheme="minorHAnsi"/>
        </w:rPr>
        <w:t xml:space="preserve">, kad perkančioji organizacija galėtų įsitikinti, jog tiekėjo siūlomos prekės atitinka visus prekėms keliamus reikalavimus. Pildant techninę specifikaciją </w:t>
      </w:r>
      <w:r w:rsidRPr="00681AA6">
        <w:rPr>
          <w:rFonts w:eastAsia="Calibri" w:cstheme="minorHAnsi"/>
          <w:u w:val="single"/>
        </w:rPr>
        <w:t xml:space="preserve">būtina nurodyti atitikimą būtiniems reikalavimams: tikslūs duomenys, kiekiai ir t.t. su nuoroda į pridėtą katalogą, </w:t>
      </w:r>
      <w:bookmarkStart w:id="48" w:name="_Hlk191983669"/>
      <w:r w:rsidRPr="00681AA6">
        <w:rPr>
          <w:rFonts w:eastAsia="Calibri" w:cstheme="minorHAnsi"/>
          <w:u w:val="single"/>
        </w:rPr>
        <w:t>techninius duomenų lapus, kitus lygiaverčius gamintojų dokumentus, įrodančius siūlomos prekės atitikimą techninės specifikacijos reikalavimams</w:t>
      </w:r>
      <w:bookmarkEnd w:id="48"/>
      <w:r w:rsidRPr="00681AA6">
        <w:rPr>
          <w:rFonts w:eastAsia="Calibri" w:cstheme="minorHAnsi"/>
          <w:u w:val="single"/>
        </w:rPr>
        <w:t>.</w:t>
      </w:r>
    </w:p>
    <w:p w14:paraId="06209A7C" w14:textId="77777777" w:rsidR="00681AA6" w:rsidRPr="00681AA6" w:rsidRDefault="00681AA6" w:rsidP="00681AA6">
      <w:pPr>
        <w:tabs>
          <w:tab w:val="left" w:pos="567"/>
          <w:tab w:val="left" w:pos="851"/>
        </w:tabs>
        <w:spacing w:line="240" w:lineRule="auto"/>
        <w:ind w:firstLine="0"/>
        <w:rPr>
          <w:rFonts w:eastAsia="Calibri" w:cstheme="minorHAnsi"/>
          <w:i/>
          <w:lang w:eastAsia="en-US"/>
        </w:rPr>
      </w:pPr>
      <w:bookmarkStart w:id="49" w:name="_Hlk145600966"/>
      <w:r w:rsidRPr="00681AA6">
        <w:rPr>
          <w:rFonts w:eastAsia="Calibri" w:cstheme="minorHAnsi"/>
          <w:lang w:eastAsia="en-US"/>
        </w:rPr>
        <w:tab/>
        <w:t>Nepateikus užpildytos techninės specifikacijos kartu su pasiūlymu, pasiūlymas bus atmetamas kaip neatitinkantis konkurso sąlygų reikalavimų.</w:t>
      </w:r>
      <w:bookmarkEnd w:id="49"/>
    </w:p>
    <w:p w14:paraId="2BD33F3F" w14:textId="21B0B151" w:rsidR="00681AA6" w:rsidRPr="00681AA6" w:rsidRDefault="00681AA6" w:rsidP="00681AA6">
      <w:pPr>
        <w:tabs>
          <w:tab w:val="left" w:pos="567"/>
          <w:tab w:val="left" w:pos="851"/>
        </w:tabs>
        <w:spacing w:line="240" w:lineRule="auto"/>
        <w:ind w:firstLine="0"/>
        <w:rPr>
          <w:rFonts w:eastAsia="Calibri" w:cstheme="minorHAnsi"/>
          <w:i/>
          <w:iCs/>
          <w:color w:val="FF0000"/>
          <w:lang w:eastAsia="en-US"/>
        </w:rPr>
      </w:pPr>
      <w:bookmarkStart w:id="50" w:name="_Hlk111722412"/>
      <w:r w:rsidRPr="000C3224">
        <w:rPr>
          <w:rFonts w:eastAsia="Calibri" w:cstheme="minorHAnsi"/>
          <w:i/>
          <w:iCs/>
          <w:highlight w:val="yellow"/>
          <w:lang w:eastAsia="en-US"/>
        </w:rPr>
        <w:t>55 colių  interaktyvūs ekranai</w:t>
      </w:r>
      <w:r w:rsidRPr="00681AA6">
        <w:rPr>
          <w:rFonts w:eastAsia="Calibri" w:cstheme="minorHAnsi"/>
          <w:i/>
          <w:iCs/>
          <w:lang w:eastAsia="en-US"/>
        </w:rPr>
        <w:t xml:space="preserve"> </w:t>
      </w:r>
      <w:bookmarkEnd w:id="50"/>
    </w:p>
    <w:p w14:paraId="622E1034" w14:textId="77777777" w:rsidR="00681AA6" w:rsidRPr="00681AA6" w:rsidRDefault="00681AA6" w:rsidP="00681AA6">
      <w:pPr>
        <w:tabs>
          <w:tab w:val="left" w:pos="1080"/>
        </w:tabs>
        <w:spacing w:line="240" w:lineRule="auto"/>
        <w:ind w:firstLine="0"/>
        <w:contextualSpacing/>
        <w:rPr>
          <w:rFonts w:eastAsia="Calibri" w:cstheme="minorHAnsi"/>
          <w:b/>
          <w:bCs/>
        </w:rPr>
      </w:pPr>
    </w:p>
    <w:tbl>
      <w:tblPr>
        <w:tblpPr w:leftFromText="180" w:rightFromText="180" w:bottomFromText="160" w:vertAnchor="text"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1697"/>
        <w:gridCol w:w="3539"/>
        <w:gridCol w:w="1701"/>
        <w:gridCol w:w="2552"/>
      </w:tblGrid>
      <w:tr w:rsidR="00681AA6" w:rsidRPr="00681AA6" w14:paraId="532EE28D" w14:textId="77777777" w:rsidTr="00681AA6">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C307D33" w14:textId="77777777" w:rsidR="00681AA6" w:rsidRPr="00681AA6" w:rsidRDefault="00681AA6" w:rsidP="00681AA6">
            <w:pPr>
              <w:spacing w:line="240" w:lineRule="auto"/>
              <w:ind w:firstLine="0"/>
              <w:rPr>
                <w:rFonts w:eastAsia="Calibri" w:cstheme="minorHAnsi"/>
                <w:b/>
                <w:lang w:eastAsia="en-US"/>
              </w:rPr>
            </w:pPr>
            <w:r w:rsidRPr="00681AA6">
              <w:rPr>
                <w:rFonts w:eastAsia="Calibri" w:cstheme="minorHAnsi"/>
                <w:b/>
                <w:lang w:eastAsia="en-US"/>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0B3FCCFF" w14:textId="77777777" w:rsidR="00681AA6" w:rsidRPr="00681AA6" w:rsidRDefault="00681AA6" w:rsidP="00681AA6">
            <w:pPr>
              <w:spacing w:line="240" w:lineRule="auto"/>
              <w:ind w:left="83" w:firstLine="0"/>
              <w:rPr>
                <w:rFonts w:eastAsia="Calibri" w:cstheme="minorHAnsi"/>
                <w:lang w:eastAsia="en-US"/>
              </w:rPr>
            </w:pPr>
            <w:r w:rsidRPr="00681AA6">
              <w:rPr>
                <w:rFonts w:eastAsia="Calibri" w:cstheme="minorHAnsi"/>
                <w:b/>
                <w:lang w:eastAsia="en-US"/>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29A80058" w14:textId="77777777" w:rsidR="00681AA6" w:rsidRPr="00681AA6" w:rsidRDefault="00681AA6" w:rsidP="00681AA6">
            <w:pPr>
              <w:spacing w:line="240" w:lineRule="auto"/>
              <w:ind w:left="83" w:firstLine="0"/>
              <w:rPr>
                <w:rFonts w:eastAsia="Calibri" w:cstheme="minorHAnsi"/>
                <w:b/>
                <w:lang w:eastAsia="en-US"/>
              </w:rPr>
            </w:pPr>
            <w:r w:rsidRPr="00681AA6">
              <w:rPr>
                <w:rFonts w:eastAsia="Calibri" w:cstheme="minorHAnsi"/>
                <w:b/>
                <w:lang w:eastAsia="en-US"/>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2D22022B" w14:textId="77777777" w:rsidR="00681AA6" w:rsidRPr="00681AA6" w:rsidRDefault="00681AA6" w:rsidP="00681AA6">
            <w:pPr>
              <w:spacing w:line="240" w:lineRule="auto"/>
              <w:ind w:left="83" w:firstLine="0"/>
              <w:rPr>
                <w:rFonts w:eastAsia="Calibri" w:cstheme="minorHAnsi"/>
                <w:b/>
                <w:color w:val="FF0000"/>
                <w:lang w:eastAsia="en-US"/>
              </w:rPr>
            </w:pPr>
            <w:r w:rsidRPr="00681AA6">
              <w:rPr>
                <w:rFonts w:eastAsia="Calibri" w:cstheme="minorHAnsi"/>
                <w:b/>
                <w:bCs/>
                <w:color w:val="FF0000"/>
                <w:lang w:eastAsia="en-U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0CB9E911" w14:textId="77777777" w:rsidR="00681AA6" w:rsidRPr="00681AA6" w:rsidRDefault="00681AA6" w:rsidP="00681AA6">
            <w:pPr>
              <w:spacing w:line="240" w:lineRule="auto"/>
              <w:ind w:left="83" w:right="39" w:firstLine="0"/>
              <w:rPr>
                <w:rFonts w:eastAsia="Calibri" w:cstheme="minorHAnsi"/>
                <w:b/>
                <w:color w:val="FF0000"/>
                <w:lang w:eastAsia="en-US"/>
              </w:rPr>
            </w:pPr>
            <w:r w:rsidRPr="00681AA6">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681AA6" w:rsidRPr="00681AA6" w14:paraId="4DAD083B" w14:textId="77777777" w:rsidTr="00681AA6">
        <w:trPr>
          <w:trHeight w:val="202"/>
        </w:trPr>
        <w:tc>
          <w:tcPr>
            <w:tcW w:w="348" w:type="pct"/>
            <w:tcBorders>
              <w:top w:val="single" w:sz="4" w:space="0" w:color="000000"/>
              <w:left w:val="single" w:sz="4" w:space="0" w:color="000000"/>
              <w:bottom w:val="single" w:sz="4" w:space="0" w:color="000000"/>
              <w:right w:val="single" w:sz="4" w:space="0" w:color="000000"/>
            </w:tcBorders>
          </w:tcPr>
          <w:p w14:paraId="48B62FF6" w14:textId="77777777" w:rsidR="00681AA6" w:rsidRPr="00681AA6" w:rsidRDefault="00681AA6" w:rsidP="00681AA6">
            <w:pPr>
              <w:numPr>
                <w:ilvl w:val="0"/>
                <w:numId w:val="41"/>
              </w:numPr>
              <w:suppressAutoHyphens/>
              <w:spacing w:line="240" w:lineRule="auto"/>
              <w:ind w:left="24" w:hanging="24"/>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05ACA0F"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Modelis</w:t>
            </w:r>
          </w:p>
        </w:tc>
        <w:tc>
          <w:tcPr>
            <w:tcW w:w="1735" w:type="pct"/>
            <w:tcBorders>
              <w:top w:val="single" w:sz="4" w:space="0" w:color="000000"/>
              <w:left w:val="single" w:sz="4" w:space="0" w:color="000000"/>
              <w:bottom w:val="single" w:sz="4" w:space="0" w:color="000000"/>
              <w:right w:val="single" w:sz="4" w:space="0" w:color="000000"/>
            </w:tcBorders>
          </w:tcPr>
          <w:p w14:paraId="06066530"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3E649DB5"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502F63B"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252D400" w14:textId="77777777" w:rsidTr="00681AA6">
        <w:trPr>
          <w:trHeight w:val="212"/>
        </w:trPr>
        <w:tc>
          <w:tcPr>
            <w:tcW w:w="348" w:type="pct"/>
            <w:tcBorders>
              <w:top w:val="single" w:sz="4" w:space="0" w:color="000000"/>
              <w:left w:val="single" w:sz="4" w:space="0" w:color="000000"/>
              <w:bottom w:val="single" w:sz="4" w:space="0" w:color="000000"/>
              <w:right w:val="single" w:sz="4" w:space="0" w:color="000000"/>
            </w:tcBorders>
          </w:tcPr>
          <w:p w14:paraId="02218E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5C5B57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Gamintojas</w:t>
            </w:r>
          </w:p>
        </w:tc>
        <w:tc>
          <w:tcPr>
            <w:tcW w:w="1735" w:type="pct"/>
            <w:tcBorders>
              <w:top w:val="single" w:sz="4" w:space="0" w:color="000000"/>
              <w:left w:val="single" w:sz="4" w:space="0" w:color="000000"/>
              <w:bottom w:val="single" w:sz="4" w:space="0" w:color="000000"/>
              <w:right w:val="single" w:sz="4" w:space="0" w:color="000000"/>
            </w:tcBorders>
          </w:tcPr>
          <w:p w14:paraId="3729C4E9"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5873F32A"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734467E6"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EC77494" w14:textId="77777777" w:rsidTr="00681AA6">
        <w:trPr>
          <w:trHeight w:val="699"/>
        </w:trPr>
        <w:tc>
          <w:tcPr>
            <w:tcW w:w="348" w:type="pct"/>
            <w:tcBorders>
              <w:top w:val="single" w:sz="4" w:space="0" w:color="000000"/>
              <w:left w:val="single" w:sz="4" w:space="0" w:color="000000"/>
              <w:bottom w:val="single" w:sz="4" w:space="0" w:color="000000"/>
              <w:right w:val="single" w:sz="4" w:space="0" w:color="000000"/>
            </w:tcBorders>
          </w:tcPr>
          <w:p w14:paraId="5E9BB7C6"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6E6147A"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3AC553B" w14:textId="5DCBE5F7" w:rsidR="00681AA6" w:rsidRPr="00681AA6" w:rsidRDefault="00681AA6" w:rsidP="00681AA6">
            <w:pPr>
              <w:snapToGrid w:val="0"/>
              <w:spacing w:line="240" w:lineRule="auto"/>
              <w:ind w:left="83" w:firstLine="0"/>
              <w:rPr>
                <w:rFonts w:eastAsia="Calibri" w:cstheme="minorHAnsi"/>
                <w:lang w:eastAsia="en-US"/>
              </w:rPr>
            </w:pPr>
            <w:r w:rsidRPr="00972FAA">
              <w:rPr>
                <w:rFonts w:eastAsia="Calibri" w:cstheme="minorHAnsi"/>
                <w:lang w:eastAsia="en-US"/>
              </w:rPr>
              <w:t>55 colių,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554E61CB"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B0A8CC7" w14:textId="77777777" w:rsidR="00681AA6" w:rsidRPr="00681AA6" w:rsidRDefault="00681AA6" w:rsidP="00681AA6">
            <w:pPr>
              <w:snapToGrid w:val="0"/>
              <w:spacing w:line="240" w:lineRule="auto"/>
              <w:ind w:left="83" w:right="173" w:firstLine="0"/>
              <w:rPr>
                <w:rFonts w:eastAsia="Calibri" w:cstheme="minorHAnsi"/>
                <w:lang w:eastAsia="en-US"/>
              </w:rPr>
            </w:pPr>
          </w:p>
        </w:tc>
      </w:tr>
      <w:tr w:rsidR="00681AA6" w:rsidRPr="00681AA6" w14:paraId="216D0B41" w14:textId="77777777" w:rsidTr="00681AA6">
        <w:trPr>
          <w:trHeight w:val="626"/>
        </w:trPr>
        <w:tc>
          <w:tcPr>
            <w:tcW w:w="348" w:type="pct"/>
            <w:tcBorders>
              <w:top w:val="single" w:sz="4" w:space="0" w:color="000000"/>
              <w:left w:val="single" w:sz="4" w:space="0" w:color="000000"/>
              <w:bottom w:val="single" w:sz="4" w:space="0" w:color="000000"/>
              <w:right w:val="single" w:sz="4" w:space="0" w:color="000000"/>
            </w:tcBorders>
          </w:tcPr>
          <w:p w14:paraId="64D013C7"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D9394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41A5AF58"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3 vnt. HDMI 2.0, ne mažiau 3 USB 3.0 (kiekviena dedikuota konkrečiai vaizdo įvesčiai).</w:t>
            </w:r>
            <w:r w:rsidRPr="00681AA6">
              <w:rPr>
                <w:rFonts w:eastAsia="Calibri" w:cstheme="minorHAnsi"/>
                <w:lang w:eastAsia="en-US"/>
              </w:rPr>
              <w:br/>
              <w:t>Ne mažiau nei 2 USB-C jungtys, užtikrinančios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0C448D27"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CE7BDE7"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41380F44" w14:textId="77777777" w:rsidTr="00681AA6">
        <w:trPr>
          <w:trHeight w:val="911"/>
        </w:trPr>
        <w:tc>
          <w:tcPr>
            <w:tcW w:w="348" w:type="pct"/>
            <w:tcBorders>
              <w:top w:val="single" w:sz="4" w:space="0" w:color="000000"/>
              <w:left w:val="single" w:sz="4" w:space="0" w:color="000000"/>
              <w:bottom w:val="single" w:sz="4" w:space="0" w:color="000000"/>
              <w:right w:val="single" w:sz="4" w:space="0" w:color="000000"/>
            </w:tcBorders>
          </w:tcPr>
          <w:p w14:paraId="6F5589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F7FC893"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243E8559"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atpažinti ne mažiau kaip </w:t>
            </w:r>
            <w:r w:rsidRPr="00681AA6">
              <w:rPr>
                <w:rFonts w:eastAsia="Calibri" w:cstheme="minorHAnsi"/>
                <w:lang w:val="en-US" w:eastAsia="en-US"/>
              </w:rPr>
              <w:t>2</w:t>
            </w:r>
            <w:r w:rsidRPr="00681AA6">
              <w:rPr>
                <w:rFonts w:eastAsia="Calibri" w:cstheme="minorHAnsi"/>
                <w:lang w:eastAsia="en-US"/>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8E67EC"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2B35923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5BA89F4D" w14:textId="77777777" w:rsidTr="00681AA6">
        <w:trPr>
          <w:trHeight w:val="500"/>
        </w:trPr>
        <w:tc>
          <w:tcPr>
            <w:tcW w:w="348" w:type="pct"/>
            <w:tcBorders>
              <w:top w:val="single" w:sz="4" w:space="0" w:color="000000"/>
              <w:left w:val="single" w:sz="4" w:space="0" w:color="000000"/>
              <w:bottom w:val="single" w:sz="4" w:space="0" w:color="000000"/>
              <w:right w:val="single" w:sz="4" w:space="0" w:color="000000"/>
            </w:tcBorders>
          </w:tcPr>
          <w:p w14:paraId="1EAE8D2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968F4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3A6FC7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D3C717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2DAB6E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13F8F78"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6EF43AD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A8148B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3CCF0712" w14:textId="44134B2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Integruotas priedas turi užtikrinti interaktyvaus ekrano veikimą neprijungus išorinio kompiuterio. Ne blogiau nei Android </w:t>
            </w:r>
            <w:r w:rsidR="00D214D8">
              <w:rPr>
                <w:rFonts w:eastAsia="Calibri" w:cstheme="minorHAnsi"/>
                <w:lang w:eastAsia="en-US"/>
              </w:rPr>
              <w:t>11</w:t>
            </w:r>
            <w:r w:rsidRPr="00681AA6">
              <w:rPr>
                <w:rFonts w:eastAsia="Calibri" w:cstheme="minorHAnsi"/>
                <w:lang w:eastAsia="en-US"/>
              </w:rPr>
              <w:t xml:space="preserve"> arba analogiška, ne mažiau 32 GB atminties. Turi veikti šios funkcijos:</w:t>
            </w:r>
          </w:p>
          <w:p w14:paraId="6D4F03AB"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1. baltos lentos rėžimas; </w:t>
            </w:r>
          </w:p>
          <w:p w14:paraId="0B4CB7ED"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2. turi būti galima paleisti dažniausiai naudojamus failus (*.</w:t>
            </w:r>
            <w:proofErr w:type="spellStart"/>
            <w:r w:rsidRPr="00681AA6">
              <w:rPr>
                <w:rFonts w:eastAsia="Calibri" w:cstheme="minorHAnsi"/>
                <w:lang w:eastAsia="en-US"/>
              </w:rPr>
              <w:t>xls</w:t>
            </w:r>
            <w:proofErr w:type="spellEnd"/>
            <w:r w:rsidRPr="00681AA6">
              <w:rPr>
                <w:rFonts w:eastAsia="Calibri" w:cstheme="minorHAnsi"/>
                <w:lang w:eastAsia="en-US"/>
              </w:rPr>
              <w:t>, *.</w:t>
            </w:r>
            <w:proofErr w:type="spellStart"/>
            <w:r w:rsidRPr="00681AA6">
              <w:rPr>
                <w:rFonts w:eastAsia="Calibri" w:cstheme="minorHAnsi"/>
                <w:lang w:eastAsia="en-US"/>
              </w:rPr>
              <w:t>doc</w:t>
            </w:r>
            <w:proofErr w:type="spellEnd"/>
            <w:r w:rsidRPr="00681AA6">
              <w:rPr>
                <w:rFonts w:eastAsia="Calibri" w:cstheme="minorHAnsi"/>
                <w:lang w:eastAsia="en-US"/>
              </w:rPr>
              <w:t>, *.</w:t>
            </w:r>
            <w:proofErr w:type="spellStart"/>
            <w:r w:rsidRPr="00681AA6">
              <w:rPr>
                <w:rFonts w:eastAsia="Calibri" w:cstheme="minorHAnsi"/>
                <w:lang w:eastAsia="en-US"/>
              </w:rPr>
              <w:t>ppt</w:t>
            </w:r>
            <w:proofErr w:type="spellEnd"/>
            <w:r w:rsidRPr="00681AA6">
              <w:rPr>
                <w:rFonts w:eastAsia="Calibri" w:cstheme="minorHAnsi"/>
                <w:lang w:eastAsia="en-US"/>
              </w:rPr>
              <w:t>, *.</w:t>
            </w:r>
            <w:proofErr w:type="spellStart"/>
            <w:r w:rsidRPr="00681AA6">
              <w:rPr>
                <w:rFonts w:eastAsia="Calibri" w:cstheme="minorHAnsi"/>
                <w:lang w:eastAsia="en-US"/>
              </w:rPr>
              <w:t>pdf</w:t>
            </w:r>
            <w:proofErr w:type="spellEnd"/>
            <w:r w:rsidRPr="00681AA6">
              <w:rPr>
                <w:rFonts w:eastAsia="Calibri" w:cstheme="minorHAnsi"/>
                <w:lang w:eastAsia="en-US"/>
              </w:rPr>
              <w:t xml:space="preserve"> ir naujesnius analogus) bei juos su pakeitimais išsaugoti;</w:t>
            </w:r>
          </w:p>
          <w:p w14:paraId="1938BBDE"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lastRenderedPageBreak/>
              <w:t xml:space="preserve"> 3. turi būti galima vaizdą belaidžiu ryšiu transliuoti iš bet kokio įrenginio, tam nereikia įdiegti jokių papildomų aplikacijų;</w:t>
            </w:r>
          </w:p>
          <w:p w14:paraId="308BF30A"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4. turi būti sertifikuota ir interaktyviam ekranui pritaikyta programėlių atsisiuntimo aplinka (</w:t>
            </w:r>
            <w:proofErr w:type="spellStart"/>
            <w:r w:rsidRPr="00681AA6">
              <w:rPr>
                <w:rFonts w:eastAsia="Calibri" w:cstheme="minorHAnsi"/>
                <w:lang w:eastAsia="en-US"/>
              </w:rPr>
              <w:t>apps</w:t>
            </w:r>
            <w:proofErr w:type="spellEnd"/>
            <w:r w:rsidRPr="00681AA6">
              <w:rPr>
                <w:rFonts w:eastAsia="Calibri" w:cstheme="minorHAnsi"/>
                <w:lang w:eastAsia="en-US"/>
              </w:rPr>
              <w:t xml:space="preserve"> </w:t>
            </w:r>
            <w:proofErr w:type="spellStart"/>
            <w:r w:rsidRPr="00681AA6">
              <w:rPr>
                <w:rFonts w:eastAsia="Calibri" w:cstheme="minorHAnsi"/>
                <w:lang w:eastAsia="en-US"/>
              </w:rPr>
              <w:t>store</w:t>
            </w:r>
            <w:proofErr w:type="spellEnd"/>
            <w:r w:rsidRPr="00681AA6">
              <w:rPr>
                <w:rFonts w:eastAsia="Calibri" w:cstheme="minorHAnsi"/>
                <w:lang w:eastAsia="en-US"/>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03F793B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BEB699D"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F8D2EE5"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1E6FA37F"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BDFFBC1"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Integruoto priedo atmintis</w:t>
            </w:r>
          </w:p>
        </w:tc>
        <w:tc>
          <w:tcPr>
            <w:tcW w:w="1735" w:type="pct"/>
            <w:tcBorders>
              <w:top w:val="single" w:sz="4" w:space="0" w:color="000000"/>
              <w:left w:val="single" w:sz="4" w:space="0" w:color="000000"/>
              <w:bottom w:val="single" w:sz="4" w:space="0" w:color="000000"/>
              <w:right w:val="single" w:sz="4" w:space="0" w:color="000000"/>
            </w:tcBorders>
            <w:hideMark/>
          </w:tcPr>
          <w:p w14:paraId="1AC9F2EF" w14:textId="2CDF2ED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rPr>
              <w:t>Integruoto priedo atmintis</w:t>
            </w:r>
            <w:r w:rsidR="00D214D8">
              <w:rPr>
                <w:rFonts w:eastAsia="Calibri" w:cstheme="minorHAnsi"/>
              </w:rPr>
              <w:t xml:space="preserve"> ne mažiau nei</w:t>
            </w:r>
            <w:r w:rsidRPr="00681AA6">
              <w:rPr>
                <w:rFonts w:eastAsia="Calibri" w:cstheme="minorHAnsi"/>
              </w:rPr>
              <w:t xml:space="preserve"> 4 GB RAM</w:t>
            </w:r>
          </w:p>
        </w:tc>
        <w:tc>
          <w:tcPr>
            <w:tcW w:w="834" w:type="pct"/>
            <w:tcBorders>
              <w:top w:val="single" w:sz="4" w:space="0" w:color="000000"/>
              <w:left w:val="single" w:sz="4" w:space="0" w:color="000000"/>
              <w:bottom w:val="single" w:sz="4" w:space="0" w:color="000000"/>
              <w:right w:val="single" w:sz="4" w:space="0" w:color="000000"/>
            </w:tcBorders>
          </w:tcPr>
          <w:p w14:paraId="507969CE"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5CDCD967" w14:textId="77777777" w:rsidR="00681AA6" w:rsidRPr="00681AA6" w:rsidRDefault="00681AA6" w:rsidP="00681AA6">
            <w:pPr>
              <w:snapToGrid w:val="0"/>
              <w:spacing w:line="240" w:lineRule="auto"/>
              <w:ind w:left="83" w:firstLine="0"/>
              <w:rPr>
                <w:rFonts w:eastAsia="Calibri" w:cstheme="minorHAnsi"/>
                <w:lang w:eastAsia="en-US"/>
              </w:rPr>
            </w:pPr>
          </w:p>
        </w:tc>
      </w:tr>
    </w:tbl>
    <w:p w14:paraId="064CBEF1" w14:textId="77777777" w:rsidR="00681AA6" w:rsidRPr="00681AA6" w:rsidRDefault="00681AA6" w:rsidP="00681AA6">
      <w:pPr>
        <w:spacing w:after="200" w:line="276" w:lineRule="auto"/>
        <w:ind w:firstLine="0"/>
        <w:jc w:val="left"/>
        <w:rPr>
          <w:rFonts w:ascii="Times New Roman" w:eastAsia="Calibri" w:hAnsi="Times New Roman" w:cs="Times New Roman"/>
          <w:b/>
          <w:bCs/>
          <w:sz w:val="24"/>
          <w:szCs w:val="22"/>
          <w:lang w:eastAsia="en-US"/>
        </w:rPr>
      </w:pPr>
    </w:p>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3"/>
          <w:footerReference w:type="default" r:id="rId14"/>
          <w:headerReference w:type="first" r:id="rId15"/>
          <w:footerReference w:type="first" r:id="rId16"/>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51" w:name="_Toc19433263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51"/>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0914D55C"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741179">
        <w:rPr>
          <w:rFonts w:cstheme="minorHAnsi"/>
          <w:b/>
          <w:bCs/>
          <w:iCs/>
        </w:rPr>
        <w:t>INTERAKTYVŪS EKRAN</w:t>
      </w:r>
      <w:r w:rsidR="00D214D8">
        <w:rPr>
          <w:rFonts w:cstheme="minorHAnsi"/>
          <w:b/>
          <w:bCs/>
          <w:iCs/>
        </w:rPr>
        <w:t>A</w:t>
      </w:r>
      <w:r w:rsidR="00741179">
        <w:rPr>
          <w:rFonts w:cstheme="minorHAnsi"/>
          <w:b/>
          <w:bCs/>
          <w:iCs/>
        </w:rPr>
        <w:t>I JONAVOS RAJONO ŠVIETIMO ĮSTAIGOMS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7777777" w:rsidR="00784987" w:rsidRPr="00E100D9" w:rsidRDefault="00784987" w:rsidP="00784987">
      <w:pPr>
        <w:pStyle w:val="Pagrindinistekstas"/>
        <w:jc w:val="center"/>
        <w:rPr>
          <w:b/>
          <w:bCs/>
        </w:rPr>
      </w:pPr>
      <w:bookmarkStart w:id="52" w:name="_Toc115962074"/>
      <w:bookmarkStart w:id="53" w:name="_Toc115962191"/>
      <w:bookmarkStart w:id="54" w:name="_Toc115963816"/>
      <w:bookmarkStart w:id="55" w:name="_Toc115964415"/>
      <w:bookmarkStart w:id="56" w:name="_Toc115964544"/>
      <w:bookmarkStart w:id="57" w:name="_Toc118451232"/>
      <w:bookmarkStart w:id="58" w:name="_Toc118451301"/>
      <w:bookmarkStart w:id="59" w:name="_Hlk77171628"/>
      <w:r w:rsidRPr="00E100D9">
        <w:rPr>
          <w:b/>
          <w:bCs/>
        </w:rPr>
        <w:t>II. INFORMACIJA APIE ŪKIO SUBJEKTUS, KURIŲ PAJĖGUMAIS REMIAMASI IR SUBTIEKĖJUS, KURIŲ PAJĖGUMAIS TIEKĖJAS NESIREMIA</w:t>
      </w:r>
      <w:bookmarkEnd w:id="52"/>
      <w:bookmarkEnd w:id="53"/>
      <w:bookmarkEnd w:id="54"/>
      <w:bookmarkEnd w:id="55"/>
      <w:bookmarkEnd w:id="56"/>
      <w:bookmarkEnd w:id="57"/>
      <w:bookmarkEnd w:id="5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9"/>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w:t>
            </w:r>
            <w:proofErr w:type="spellStart"/>
            <w:r w:rsidRPr="00E100D9">
              <w:rPr>
                <w:rFonts w:cstheme="minorHAnsi"/>
              </w:rPr>
              <w:t>us</w:t>
            </w:r>
            <w:proofErr w:type="spellEnd"/>
            <w:r w:rsidRPr="00E100D9">
              <w:rPr>
                <w:rFonts w:cstheme="minorHAnsi"/>
              </w:rPr>
              <w:t>)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1EA1" w14:textId="7D4CCE2E" w:rsidR="00871E26" w:rsidRPr="00681AA6" w:rsidRDefault="005954D8" w:rsidP="00681AA6">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94DB0" w14:textId="10469317" w:rsidR="008E0CBE" w:rsidRPr="00681AA6" w:rsidRDefault="00784987" w:rsidP="00681AA6">
      <w:pPr>
        <w:pStyle w:val="Pagrindinistekstas"/>
        <w:numPr>
          <w:ilvl w:val="0"/>
          <w:numId w:val="49"/>
        </w:numPr>
        <w:jc w:val="center"/>
        <w:rPr>
          <w:b/>
          <w:bCs/>
        </w:rPr>
      </w:pPr>
      <w:bookmarkStart w:id="60" w:name="_Toc115962075"/>
      <w:bookmarkStart w:id="61" w:name="_Toc115962192"/>
      <w:bookmarkStart w:id="62" w:name="_Toc115963817"/>
      <w:bookmarkStart w:id="63" w:name="_Toc115964416"/>
      <w:bookmarkStart w:id="64" w:name="_Toc115964545"/>
      <w:bookmarkStart w:id="65" w:name="_Toc118451233"/>
      <w:bookmarkStart w:id="66" w:name="_Toc118451302"/>
      <w:r w:rsidRPr="00E100D9">
        <w:rPr>
          <w:b/>
          <w:bCs/>
        </w:rPr>
        <w:t>PASIŪLYMO KAINA</w:t>
      </w:r>
      <w:bookmarkEnd w:id="60"/>
      <w:bookmarkEnd w:id="61"/>
      <w:bookmarkEnd w:id="62"/>
      <w:bookmarkEnd w:id="63"/>
      <w:bookmarkEnd w:id="64"/>
      <w:bookmarkEnd w:id="65"/>
      <w:bookmarkEnd w:id="66"/>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lastRenderedPageBreak/>
              <w:t>1</w:t>
            </w:r>
          </w:p>
        </w:tc>
        <w:tc>
          <w:tcPr>
            <w:tcW w:w="4957" w:type="dxa"/>
          </w:tcPr>
          <w:p w14:paraId="32439440" w14:textId="6946B1E5" w:rsidR="00AC4AAB" w:rsidRPr="00E100D9" w:rsidRDefault="00741179" w:rsidP="008E0CBE">
            <w:pPr>
              <w:spacing w:line="240" w:lineRule="auto"/>
              <w:jc w:val="left"/>
              <w:rPr>
                <w:rFonts w:cstheme="minorHAnsi"/>
                <w:bCs/>
              </w:rPr>
            </w:pPr>
            <w:r>
              <w:rPr>
                <w:rFonts w:cstheme="minorHAnsi"/>
              </w:rPr>
              <w:t>Interaktyvūs ekranai</w:t>
            </w:r>
            <w:r w:rsidR="002A7DF5">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7A965E4" w14:textId="5D0DA89E" w:rsidR="00AC4AAB" w:rsidRPr="00E100D9" w:rsidRDefault="00741179" w:rsidP="008E0CBE">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20</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7"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28B0FC72"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Jeigu tiekėjo siūloma kaina bus didesnė nei</w:t>
      </w:r>
      <w:r w:rsidR="00741179">
        <w:rPr>
          <w:rFonts w:ascii="Times New Roman" w:hAnsi="Times New Roman" w:cs="Times New Roman"/>
          <w:b/>
          <w:bCs/>
          <w:color w:val="000000" w:themeColor="text1"/>
          <w:sz w:val="24"/>
          <w:szCs w:val="24"/>
          <w:u w:val="single"/>
        </w:rPr>
        <w:t xml:space="preserve"> </w:t>
      </w:r>
      <w:r w:rsidR="00741179">
        <w:rPr>
          <w:rFonts w:ascii="Times New Roman" w:hAnsi="Times New Roman" w:cs="Times New Roman"/>
          <w:b/>
          <w:bCs/>
          <w:sz w:val="24"/>
          <w:szCs w:val="24"/>
          <w:u w:val="single"/>
        </w:rPr>
        <w:t>40000</w:t>
      </w:r>
      <w:r w:rsidRPr="00E100D9">
        <w:rPr>
          <w:rFonts w:ascii="Times New Roman" w:hAnsi="Times New Roman" w:cs="Times New Roman"/>
          <w:b/>
          <w:bCs/>
          <w:sz w:val="24"/>
          <w:szCs w:val="24"/>
          <w:u w:val="single"/>
        </w:rPr>
        <w:t>,00 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7"/>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lastRenderedPageBreak/>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07BA1B0E" w14:textId="04C4A151" w:rsidR="00741179" w:rsidRPr="00E100D9" w:rsidRDefault="00741179" w:rsidP="00784987">
      <w:pPr>
        <w:pStyle w:val="Sraopastraipa"/>
        <w:numPr>
          <w:ilvl w:val="0"/>
          <w:numId w:val="23"/>
        </w:numPr>
        <w:suppressAutoHyphens/>
        <w:spacing w:line="240" w:lineRule="auto"/>
        <w:ind w:left="0"/>
        <w:contextualSpacing w:val="0"/>
        <w:rPr>
          <w:rFonts w:cstheme="minorHAnsi"/>
        </w:rPr>
      </w:pPr>
      <w:r w:rsidRPr="00741179">
        <w:rPr>
          <w:rFonts w:cstheme="minorHAnsi"/>
        </w:rPr>
        <w:t>neturime šiose konkurso sąlygose nurodytų pašalinimo pagrindų</w:t>
      </w:r>
      <w:r>
        <w:rPr>
          <w:rFonts w:cstheme="minorHAnsi"/>
        </w:rPr>
        <w:t>.</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8" w:name="_Pirkimo_sąlygų_3"/>
      <w:bookmarkEnd w:id="68"/>
    </w:p>
    <w:p w14:paraId="23AB7720" w14:textId="77777777" w:rsidR="004D3147" w:rsidRDefault="004D3147" w:rsidP="005B1E41"/>
    <w:p w14:paraId="719B9F38" w14:textId="77777777" w:rsidR="00681AA6" w:rsidRDefault="00681AA6" w:rsidP="005B1E41"/>
    <w:p w14:paraId="56FBBB7C" w14:textId="77777777" w:rsidR="00681AA6" w:rsidRDefault="00681AA6" w:rsidP="005B1E41"/>
    <w:p w14:paraId="39C53A90" w14:textId="77777777" w:rsidR="00681AA6" w:rsidRDefault="00681AA6" w:rsidP="005B1E41"/>
    <w:p w14:paraId="756192D4" w14:textId="77777777" w:rsidR="00681AA6" w:rsidRDefault="00681AA6" w:rsidP="005B1E41"/>
    <w:p w14:paraId="4BCCC889" w14:textId="77777777" w:rsidR="00681AA6" w:rsidRDefault="00681AA6" w:rsidP="005B1E41"/>
    <w:p w14:paraId="5FD3289E" w14:textId="77777777" w:rsidR="00681AA6" w:rsidRDefault="00681AA6" w:rsidP="005B1E41"/>
    <w:p w14:paraId="7B7B1761" w14:textId="77777777" w:rsidR="00681AA6" w:rsidRDefault="00681AA6" w:rsidP="005B1E41"/>
    <w:p w14:paraId="0723DD26" w14:textId="77777777" w:rsidR="00681AA6" w:rsidRDefault="00681AA6" w:rsidP="005B1E41"/>
    <w:p w14:paraId="71FD83C1" w14:textId="77777777" w:rsidR="00681AA6" w:rsidRDefault="00681AA6" w:rsidP="005B1E41"/>
    <w:p w14:paraId="3071A74A" w14:textId="77777777" w:rsidR="00681AA6" w:rsidRDefault="00681AA6" w:rsidP="005B1E41"/>
    <w:p w14:paraId="6EC037FC" w14:textId="77777777" w:rsidR="00681AA6" w:rsidRDefault="00681AA6" w:rsidP="005B1E41"/>
    <w:p w14:paraId="3B759B98" w14:textId="77777777" w:rsidR="00681AA6" w:rsidRDefault="00681AA6" w:rsidP="005B1E41"/>
    <w:p w14:paraId="1F316823" w14:textId="77777777" w:rsidR="00681AA6" w:rsidRPr="005B1E41" w:rsidRDefault="00681AA6" w:rsidP="005B1E41"/>
    <w:p w14:paraId="282BAFD3" w14:textId="384FB1A5" w:rsidR="00506996" w:rsidRPr="00E100D9" w:rsidRDefault="00506996" w:rsidP="00F854E9">
      <w:pPr>
        <w:pStyle w:val="Antrat1"/>
        <w:jc w:val="right"/>
        <w:rPr>
          <w:sz w:val="21"/>
          <w:szCs w:val="21"/>
        </w:rPr>
      </w:pPr>
      <w:bookmarkStart w:id="69" w:name="_Toc19433263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9"/>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70" w:name="_Hlk172728007"/>
      <w:r w:rsidRPr="00E100D9">
        <w:rPr>
          <w:rFonts w:eastAsiaTheme="minorHAnsi" w:cstheme="minorHAnsi"/>
          <w:bCs/>
          <w:iCs/>
        </w:rPr>
        <w:t>Pateikiamas atskiru failu CVP IS</w:t>
      </w:r>
    </w:p>
    <w:bookmarkEnd w:id="70"/>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7C602CD6" w14:textId="77777777" w:rsidR="00624BEB" w:rsidRPr="00624BEB" w:rsidRDefault="00624BEB" w:rsidP="00681AA6">
      <w:pPr>
        <w:spacing w:line="240" w:lineRule="auto"/>
        <w:ind w:firstLine="0"/>
        <w:rPr>
          <w:rFonts w:cstheme="minorHAnsi"/>
        </w:rPr>
      </w:pPr>
    </w:p>
    <w:p w14:paraId="163D66E3" w14:textId="3C8EBC28" w:rsidR="009B4090" w:rsidRPr="00E100D9" w:rsidRDefault="005110A6" w:rsidP="00F854E9">
      <w:pPr>
        <w:pStyle w:val="Antrat1"/>
        <w:jc w:val="right"/>
        <w:rPr>
          <w:rFonts w:asciiTheme="minorHAnsi" w:eastAsiaTheme="minorHAnsi" w:hAnsiTheme="minorHAnsi" w:cstheme="minorHAnsi"/>
          <w:bCs/>
          <w:iCs/>
          <w:sz w:val="21"/>
          <w:szCs w:val="21"/>
        </w:rPr>
      </w:pPr>
      <w:bookmarkStart w:id="71" w:name="_Toc194332639"/>
      <w:r w:rsidRPr="00E100D9">
        <w:rPr>
          <w:rFonts w:asciiTheme="minorHAnsi" w:hAnsiTheme="minorHAnsi" w:cstheme="minorHAnsi"/>
          <w:sz w:val="21"/>
          <w:szCs w:val="21"/>
        </w:rPr>
        <w:t xml:space="preserve">Pirkimo sąlygų </w:t>
      </w:r>
      <w:r w:rsidR="00681AA6">
        <w:rPr>
          <w:rFonts w:asciiTheme="minorHAnsi" w:hAnsiTheme="minorHAnsi" w:cstheme="minorHAnsi"/>
          <w:sz w:val="21"/>
          <w:szCs w:val="21"/>
        </w:rPr>
        <w:t>5</w:t>
      </w:r>
      <w:r w:rsidRPr="00E100D9">
        <w:rPr>
          <w:rFonts w:asciiTheme="minorHAnsi" w:hAnsiTheme="minorHAnsi" w:cstheme="minorHAnsi"/>
          <w:sz w:val="21"/>
          <w:szCs w:val="21"/>
        </w:rPr>
        <w:t xml:space="preserve"> priedas „Terminai“</w:t>
      </w:r>
      <w:bookmarkEnd w:id="71"/>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w:t>
            </w:r>
            <w:r w:rsidR="009B4090" w:rsidRPr="00E100D9">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6"/>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9272" w14:textId="77777777" w:rsidR="009A4709" w:rsidRDefault="009A4709" w:rsidP="00D05666">
      <w:r>
        <w:separator/>
      </w:r>
    </w:p>
  </w:endnote>
  <w:endnote w:type="continuationSeparator" w:id="0">
    <w:p w14:paraId="399BD5CE" w14:textId="77777777" w:rsidR="009A4709" w:rsidRDefault="009A4709" w:rsidP="00D05666">
      <w:r>
        <w:continuationSeparator/>
      </w:r>
    </w:p>
  </w:endnote>
  <w:endnote w:type="continuationNotice" w:id="1">
    <w:p w14:paraId="271114C2" w14:textId="77777777" w:rsidR="009A4709" w:rsidRDefault="009A47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4D60" w14:textId="77777777" w:rsidR="009A4709" w:rsidRDefault="009A4709" w:rsidP="00D05666">
      <w:r>
        <w:separator/>
      </w:r>
    </w:p>
  </w:footnote>
  <w:footnote w:type="continuationSeparator" w:id="0">
    <w:p w14:paraId="574ECBF0" w14:textId="77777777" w:rsidR="009A4709" w:rsidRDefault="009A4709" w:rsidP="00D05666">
      <w:r>
        <w:continuationSeparator/>
      </w:r>
    </w:p>
  </w:footnote>
  <w:footnote w:type="continuationNotice" w:id="1">
    <w:p w14:paraId="6B215078" w14:textId="77777777" w:rsidR="009A4709" w:rsidRDefault="009A47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A41EF7"/>
    <w:multiLevelType w:val="hybridMultilevel"/>
    <w:tmpl w:val="835AB5E4"/>
    <w:lvl w:ilvl="0" w:tplc="CCCC3DF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1B086C"/>
    <w:multiLevelType w:val="multilevel"/>
    <w:tmpl w:val="5632573E"/>
    <w:lvl w:ilvl="0">
      <w:start w:val="1"/>
      <w:numFmt w:val="decimal"/>
      <w:lvlText w:val="%1."/>
      <w:lvlJc w:val="left"/>
      <w:pPr>
        <w:ind w:left="7023" w:hanging="360"/>
      </w:pPr>
      <w:rPr>
        <w:rFonts w:asciiTheme="minorHAnsi" w:eastAsia="Calibri" w:hAnsiTheme="minorHAnsi" w:cstheme="minorHAnsi" w:hint="default"/>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0"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4"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364BB"/>
    <w:multiLevelType w:val="multilevel"/>
    <w:tmpl w:val="616CD4E6"/>
    <w:lvl w:ilvl="0">
      <w:start w:val="3"/>
      <w:numFmt w:val="decimal"/>
      <w:lvlText w:val="%1."/>
      <w:lvlJc w:val="left"/>
      <w:pPr>
        <w:ind w:left="7383" w:hanging="360"/>
      </w:pPr>
    </w:lvl>
    <w:lvl w:ilvl="1">
      <w:start w:val="1"/>
      <w:numFmt w:val="decimal"/>
      <w:isLgl/>
      <w:lvlText w:val="%1.%2."/>
      <w:lvlJc w:val="left"/>
      <w:pPr>
        <w:ind w:left="7383" w:hanging="360"/>
      </w:pPr>
      <w:rPr>
        <w:b w:val="0"/>
        <w:bCs w:val="0"/>
      </w:rPr>
    </w:lvl>
    <w:lvl w:ilvl="2">
      <w:start w:val="1"/>
      <w:numFmt w:val="decimal"/>
      <w:isLgl/>
      <w:lvlText w:val="%1.%2.%3."/>
      <w:lvlJc w:val="left"/>
      <w:pPr>
        <w:ind w:left="7743" w:hanging="720"/>
      </w:pPr>
    </w:lvl>
    <w:lvl w:ilvl="3">
      <w:start w:val="1"/>
      <w:numFmt w:val="decimal"/>
      <w:isLgl/>
      <w:lvlText w:val="%1.%2.%3.%4."/>
      <w:lvlJc w:val="left"/>
      <w:pPr>
        <w:ind w:left="7743" w:hanging="720"/>
      </w:pPr>
    </w:lvl>
    <w:lvl w:ilvl="4">
      <w:start w:val="1"/>
      <w:numFmt w:val="decimal"/>
      <w:isLgl/>
      <w:lvlText w:val="%1.%2.%3.%4.%5."/>
      <w:lvlJc w:val="left"/>
      <w:pPr>
        <w:ind w:left="8103" w:hanging="1080"/>
      </w:pPr>
    </w:lvl>
    <w:lvl w:ilvl="5">
      <w:start w:val="1"/>
      <w:numFmt w:val="decimal"/>
      <w:isLgl/>
      <w:lvlText w:val="%1.%2.%3.%4.%5.%6."/>
      <w:lvlJc w:val="left"/>
      <w:pPr>
        <w:ind w:left="8103" w:hanging="1080"/>
      </w:pPr>
    </w:lvl>
    <w:lvl w:ilvl="6">
      <w:start w:val="1"/>
      <w:numFmt w:val="decimal"/>
      <w:isLgl/>
      <w:lvlText w:val="%1.%2.%3.%4.%5.%6.%7."/>
      <w:lvlJc w:val="left"/>
      <w:pPr>
        <w:ind w:left="8463" w:hanging="1440"/>
      </w:pPr>
    </w:lvl>
    <w:lvl w:ilvl="7">
      <w:start w:val="1"/>
      <w:numFmt w:val="decimal"/>
      <w:isLgl/>
      <w:lvlText w:val="%1.%2.%3.%4.%5.%6.%7.%8."/>
      <w:lvlJc w:val="left"/>
      <w:pPr>
        <w:ind w:left="8463" w:hanging="1440"/>
      </w:pPr>
    </w:lvl>
    <w:lvl w:ilvl="8">
      <w:start w:val="1"/>
      <w:numFmt w:val="decimal"/>
      <w:isLgl/>
      <w:lvlText w:val="%1.%2.%3.%4.%5.%6.%7.%8.%9."/>
      <w:lvlJc w:val="left"/>
      <w:pPr>
        <w:ind w:left="8823" w:hanging="1800"/>
      </w:pPr>
    </w:lvl>
  </w:abstractNum>
  <w:abstractNum w:abstractNumId="28"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3"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6"/>
  </w:num>
  <w:num w:numId="3" w16cid:durableId="138770985">
    <w:abstractNumId w:val="26"/>
  </w:num>
  <w:num w:numId="4" w16cid:durableId="219707255">
    <w:abstractNumId w:val="45"/>
  </w:num>
  <w:num w:numId="5" w16cid:durableId="1652252092">
    <w:abstractNumId w:val="14"/>
  </w:num>
  <w:num w:numId="6" w16cid:durableId="963148996">
    <w:abstractNumId w:val="4"/>
  </w:num>
  <w:num w:numId="7" w16cid:durableId="817724215">
    <w:abstractNumId w:val="28"/>
  </w:num>
  <w:num w:numId="8" w16cid:durableId="1250694197">
    <w:abstractNumId w:val="1"/>
  </w:num>
  <w:num w:numId="9" w16cid:durableId="1476410157">
    <w:abstractNumId w:val="39"/>
  </w:num>
  <w:num w:numId="10" w16cid:durableId="1624074669">
    <w:abstractNumId w:val="34"/>
  </w:num>
  <w:num w:numId="11" w16cid:durableId="1415740606">
    <w:abstractNumId w:val="38"/>
  </w:num>
  <w:num w:numId="12" w16cid:durableId="1985550182">
    <w:abstractNumId w:val="17"/>
  </w:num>
  <w:num w:numId="13" w16cid:durableId="1602447514">
    <w:abstractNumId w:val="10"/>
  </w:num>
  <w:num w:numId="14" w16cid:durableId="848905669">
    <w:abstractNumId w:val="7"/>
  </w:num>
  <w:num w:numId="15" w16cid:durableId="968318089">
    <w:abstractNumId w:val="23"/>
  </w:num>
  <w:num w:numId="16" w16cid:durableId="393234389">
    <w:abstractNumId w:val="2"/>
  </w:num>
  <w:num w:numId="17" w16cid:durableId="2086415070">
    <w:abstractNumId w:val="20"/>
  </w:num>
  <w:num w:numId="18" w16cid:durableId="358506465">
    <w:abstractNumId w:val="42"/>
  </w:num>
  <w:num w:numId="19" w16cid:durableId="1692147203">
    <w:abstractNumId w:val="40"/>
  </w:num>
  <w:num w:numId="20" w16cid:durableId="149686303">
    <w:abstractNumId w:val="37"/>
  </w:num>
  <w:num w:numId="21" w16cid:durableId="78646096">
    <w:abstractNumId w:val="11"/>
  </w:num>
  <w:num w:numId="22" w16cid:durableId="850492776">
    <w:abstractNumId w:val="13"/>
  </w:num>
  <w:num w:numId="23" w16cid:durableId="1130898226">
    <w:abstractNumId w:val="18"/>
  </w:num>
  <w:num w:numId="24" w16cid:durableId="473717276">
    <w:abstractNumId w:val="0"/>
  </w:num>
  <w:num w:numId="25" w16cid:durableId="939335935">
    <w:abstractNumId w:val="9"/>
  </w:num>
  <w:num w:numId="26" w16cid:durableId="908537220">
    <w:abstractNumId w:val="44"/>
  </w:num>
  <w:num w:numId="27" w16cid:durableId="623075930">
    <w:abstractNumId w:val="31"/>
  </w:num>
  <w:num w:numId="28" w16cid:durableId="1790707452">
    <w:abstractNumId w:val="6"/>
  </w:num>
  <w:num w:numId="29" w16cid:durableId="1004477506">
    <w:abstractNumId w:val="24"/>
  </w:num>
  <w:num w:numId="30" w16cid:durableId="160119845">
    <w:abstractNumId w:val="15"/>
  </w:num>
  <w:num w:numId="31" w16cid:durableId="635649124">
    <w:abstractNumId w:val="3"/>
  </w:num>
  <w:num w:numId="32" w16cid:durableId="1360468501">
    <w:abstractNumId w:val="30"/>
  </w:num>
  <w:num w:numId="33" w16cid:durableId="1000500080">
    <w:abstractNumId w:val="46"/>
  </w:num>
  <w:num w:numId="34" w16cid:durableId="1423910178">
    <w:abstractNumId w:val="21"/>
  </w:num>
  <w:num w:numId="35" w16cid:durableId="1433863240">
    <w:abstractNumId w:val="41"/>
  </w:num>
  <w:num w:numId="36" w16cid:durableId="215120792">
    <w:abstractNumId w:val="32"/>
  </w:num>
  <w:num w:numId="37" w16cid:durableId="12870072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2"/>
  </w:num>
  <w:num w:numId="39" w16cid:durableId="931284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5"/>
  </w:num>
  <w:num w:numId="43" w16cid:durableId="1026907779">
    <w:abstractNumId w:val="19"/>
  </w:num>
  <w:num w:numId="44" w16cid:durableId="533076200">
    <w:abstractNumId w:val="43"/>
  </w:num>
  <w:num w:numId="45" w16cid:durableId="2128312803">
    <w:abstractNumId w:val="35"/>
  </w:num>
  <w:num w:numId="46" w16cid:durableId="564217855">
    <w:abstractNumId w:val="33"/>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577376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758523">
    <w:abstractNumId w:val="16"/>
  </w:num>
  <w:num w:numId="49" w16cid:durableId="105003005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654"/>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4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224"/>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49"/>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34D"/>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3EE"/>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0AF9"/>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368"/>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270D8"/>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3AA0"/>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AC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809"/>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43DD"/>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1E"/>
    <w:rsid w:val="00467B1D"/>
    <w:rsid w:val="00471043"/>
    <w:rsid w:val="004713B5"/>
    <w:rsid w:val="004726A6"/>
    <w:rsid w:val="00472F7A"/>
    <w:rsid w:val="00472F8C"/>
    <w:rsid w:val="004730BE"/>
    <w:rsid w:val="0047509D"/>
    <w:rsid w:val="0047554A"/>
    <w:rsid w:val="004758C1"/>
    <w:rsid w:val="00475A04"/>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4B6A"/>
    <w:rsid w:val="0049538A"/>
    <w:rsid w:val="00495F71"/>
    <w:rsid w:val="004962BC"/>
    <w:rsid w:val="0049662D"/>
    <w:rsid w:val="00496EFB"/>
    <w:rsid w:val="00497DF3"/>
    <w:rsid w:val="004A01F5"/>
    <w:rsid w:val="004A0305"/>
    <w:rsid w:val="004A0401"/>
    <w:rsid w:val="004A0417"/>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637"/>
    <w:rsid w:val="00503748"/>
    <w:rsid w:val="00503A5B"/>
    <w:rsid w:val="00503E5F"/>
    <w:rsid w:val="005047B8"/>
    <w:rsid w:val="00504AD9"/>
    <w:rsid w:val="0050534C"/>
    <w:rsid w:val="00506996"/>
    <w:rsid w:val="005070CC"/>
    <w:rsid w:val="005070F4"/>
    <w:rsid w:val="005107DF"/>
    <w:rsid w:val="00510A47"/>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4F"/>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16FA"/>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7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430"/>
    <w:rsid w:val="006727BF"/>
    <w:rsid w:val="0067281B"/>
    <w:rsid w:val="00672985"/>
    <w:rsid w:val="00673538"/>
    <w:rsid w:val="00676A9D"/>
    <w:rsid w:val="00677B00"/>
    <w:rsid w:val="00677F40"/>
    <w:rsid w:val="00680281"/>
    <w:rsid w:val="00681AA6"/>
    <w:rsid w:val="00681CDE"/>
    <w:rsid w:val="006824FC"/>
    <w:rsid w:val="0068448B"/>
    <w:rsid w:val="00685C49"/>
    <w:rsid w:val="00687997"/>
    <w:rsid w:val="00687E47"/>
    <w:rsid w:val="0069058D"/>
    <w:rsid w:val="006912EA"/>
    <w:rsid w:val="00692635"/>
    <w:rsid w:val="00693428"/>
    <w:rsid w:val="00693C7B"/>
    <w:rsid w:val="00694911"/>
    <w:rsid w:val="006966D7"/>
    <w:rsid w:val="00696CB6"/>
    <w:rsid w:val="00696EED"/>
    <w:rsid w:val="006A02C4"/>
    <w:rsid w:val="006A0320"/>
    <w:rsid w:val="006A0559"/>
    <w:rsid w:val="006A19E0"/>
    <w:rsid w:val="006A1A30"/>
    <w:rsid w:val="006A24E5"/>
    <w:rsid w:val="006A2889"/>
    <w:rsid w:val="006A2DF5"/>
    <w:rsid w:val="006A3415"/>
    <w:rsid w:val="006A39B7"/>
    <w:rsid w:val="006A3D7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FB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79"/>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5AE0"/>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98E"/>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B8"/>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552"/>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3F1"/>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D6"/>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2FAA"/>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709"/>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2C1F"/>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C"/>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9E"/>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127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0A68"/>
    <w:rsid w:val="00BF1959"/>
    <w:rsid w:val="00BF22F5"/>
    <w:rsid w:val="00BF27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CFD"/>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3B3"/>
    <w:rsid w:val="00C757EB"/>
    <w:rsid w:val="00C75E83"/>
    <w:rsid w:val="00C7706C"/>
    <w:rsid w:val="00C77938"/>
    <w:rsid w:val="00C779A4"/>
    <w:rsid w:val="00C80519"/>
    <w:rsid w:val="00C8069D"/>
    <w:rsid w:val="00C8106D"/>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8C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7C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25"/>
    <w:rsid w:val="00D14B5D"/>
    <w:rsid w:val="00D1581F"/>
    <w:rsid w:val="00D159D2"/>
    <w:rsid w:val="00D1609F"/>
    <w:rsid w:val="00D16DF2"/>
    <w:rsid w:val="00D17439"/>
    <w:rsid w:val="00D20B5F"/>
    <w:rsid w:val="00D214D8"/>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2B2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A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65B1"/>
    <w:rsid w:val="00DD691F"/>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95A"/>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1DD1"/>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4CE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4B8"/>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4182"/>
    <w:rsid w:val="00FD5736"/>
    <w:rsid w:val="00FD6FC4"/>
    <w:rsid w:val="00FD75A0"/>
    <w:rsid w:val="00FE0385"/>
    <w:rsid w:val="00FE0A33"/>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97316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80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17514</Words>
  <Characters>9983</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9</cp:revision>
  <cp:lastPrinted>2023-06-23T08:12:00Z</cp:lastPrinted>
  <dcterms:created xsi:type="dcterms:W3CDTF">2025-04-18T07:09:00Z</dcterms:created>
  <dcterms:modified xsi:type="dcterms:W3CDTF">2025-05-07T09:55:00Z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