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8DA66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226CF" w:rsidRPr="009552C8">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C4AC2A1"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4C5C26">
            <w:rPr>
              <w:rFonts w:ascii="Times New Roman" w:eastAsia="Times New Roman" w:hAnsi="Times New Roman" w:cs="Times New Roman"/>
              <w:noProof/>
              <w:sz w:val="24"/>
              <w:szCs w:val="24"/>
            </w:rPr>
            <w:t>4-</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739EB3D" w:rsidR="00DA4A04" w:rsidRPr="004C5C26" w:rsidRDefault="00DA4A04" w:rsidP="004C5C26">
          <w:pPr>
            <w:spacing w:line="259" w:lineRule="auto"/>
            <w:jc w:val="center"/>
            <w:rPr>
              <w:rFonts w:ascii="Times New Roman" w:hAnsi="Times New Roman" w:cs="Times New Roman"/>
              <w:b/>
              <w:bCs/>
              <w:sz w:val="28"/>
              <w:szCs w:val="28"/>
            </w:rPr>
          </w:pPr>
          <w:r w:rsidRPr="004C5C26">
            <w:rPr>
              <w:rFonts w:ascii="Times New Roman" w:hAnsi="Times New Roman" w:cs="Times New Roman"/>
              <w:b/>
              <w:bCs/>
              <w:sz w:val="28"/>
              <w:szCs w:val="28"/>
            </w:rPr>
            <w:t>TARPTAUTINIO VIEŠOJO PIRKIMO „</w:t>
          </w:r>
          <w:r w:rsidR="00EC69DD">
            <w:rPr>
              <w:rFonts w:ascii="Times New Roman" w:hAnsi="Times New Roman" w:cs="Times New Roman"/>
              <w:b/>
              <w:caps/>
              <w:sz w:val="28"/>
              <w:szCs w:val="28"/>
            </w:rPr>
            <w:t>KOMPIUTERINIO TOMOGRAFO CANON AQUILION ONE PRISM EDITION IŠPLĖSTINĖS GARANTIJOS PRATĘSIMAS</w:t>
          </w:r>
          <w:r w:rsidRPr="004C5C26">
            <w:rPr>
              <w:rFonts w:ascii="Times New Roman" w:hAnsi="Times New Roman" w:cs="Times New Roman"/>
              <w:b/>
              <w:bCs/>
              <w:sz w:val="28"/>
              <w:szCs w:val="28"/>
            </w:rPr>
            <w:t>“</w:t>
          </w:r>
        </w:p>
        <w:p w14:paraId="522C3D22" w14:textId="77777777" w:rsidR="00DA4A04" w:rsidRPr="004C5C26" w:rsidRDefault="00DA4A04" w:rsidP="00DA4A04">
          <w:pPr>
            <w:spacing w:after="120" w:line="20" w:lineRule="atLeast"/>
            <w:contextualSpacing/>
            <w:jc w:val="center"/>
            <w:rPr>
              <w:rFonts w:ascii="Times New Roman" w:hAnsi="Times New Roman" w:cs="Times New Roman"/>
              <w:b/>
              <w:bCs/>
              <w:sz w:val="28"/>
              <w:szCs w:val="28"/>
            </w:rPr>
          </w:pPr>
          <w:r w:rsidRPr="004C5C26">
            <w:rPr>
              <w:rFonts w:ascii="Times New Roman" w:hAnsi="Times New Roman" w:cs="Times New Roman"/>
              <w:b/>
              <w:bCs/>
              <w:sz w:val="28"/>
              <w:szCs w:val="28"/>
            </w:rPr>
            <w:t>ATVIRO KONKURSO SPECIALIOSIOS SĄLYGOS</w:t>
          </w:r>
        </w:p>
        <w:p w14:paraId="67D34D7E" w14:textId="0632159D" w:rsidR="00D53BF4" w:rsidRPr="004C5C26" w:rsidRDefault="00DA4A04" w:rsidP="00DA4A04">
          <w:pPr>
            <w:spacing w:after="120" w:line="20" w:lineRule="atLeast"/>
            <w:contextualSpacing/>
            <w:jc w:val="center"/>
            <w:rPr>
              <w:rFonts w:ascii="Times New Roman" w:hAnsi="Times New Roman" w:cs="Times New Roman"/>
              <w:b/>
              <w:bCs/>
              <w:i/>
              <w:iCs/>
              <w:sz w:val="28"/>
              <w:szCs w:val="28"/>
            </w:rPr>
          </w:pPr>
          <w:r w:rsidRPr="004C5C26">
            <w:rPr>
              <w:rFonts w:ascii="Times New Roman" w:hAnsi="Times New Roman" w:cs="Times New Roman"/>
              <w:b/>
              <w:bCs/>
              <w:sz w:val="28"/>
              <w:szCs w:val="28"/>
            </w:rPr>
            <w:t>Versija Nr.1</w:t>
          </w:r>
          <w:r w:rsidR="00D53BF4" w:rsidRPr="004C5C26">
            <w:rPr>
              <w:rFonts w:ascii="Times New Roman" w:hAnsi="Times New Roman" w:cs="Times New Roman"/>
              <w:b/>
              <w:bCs/>
              <w:i/>
              <w:iCs/>
              <w:sz w:val="28"/>
              <w:szCs w:val="28"/>
            </w:rPr>
            <w:t>.</w:t>
          </w:r>
          <w:r w:rsidR="00D53BF4" w:rsidRPr="004C5C26">
            <w:rPr>
              <w:rFonts w:ascii="Times New Roman" w:hAnsi="Times New Roman" w:cs="Times New Roman"/>
              <w:i/>
              <w:iCs/>
              <w:sz w:val="28"/>
              <w:szCs w:val="28"/>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6FC65041" w:rsidR="001C24BC" w:rsidRPr="00F0499F" w:rsidRDefault="00992214" w:rsidP="004C5C26">
              <w:pPr>
                <w:pStyle w:val="TOC2"/>
                <w:rPr>
                  <w:rFonts w:cstheme="minorHAnsi"/>
                </w:rPr>
              </w:pP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5839580"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966563">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0C0A3F6" w:rsidR="00B41C66" w:rsidRPr="00044B68" w:rsidRDefault="00FD5BD9" w:rsidP="00FD5BD9">
      <w:pPr>
        <w:pStyle w:val="NoSpacing"/>
        <w:spacing w:after="120"/>
        <w:ind w:firstLine="567"/>
        <w:contextualSpacing/>
        <w:jc w:val="both"/>
        <w:rPr>
          <w:rFonts w:ascii="Times New Roman" w:hAnsi="Times New Roman" w:cs="Times New Roman"/>
          <w:color w:val="FF0000"/>
          <w:sz w:val="22"/>
          <w:szCs w:val="22"/>
        </w:rPr>
      </w:pPr>
      <w:r w:rsidRPr="00044B68">
        <w:rPr>
          <w:rFonts w:ascii="Times New Roman" w:eastAsia="Calibri" w:hAnsi="Times New Roman" w:cs="Times New Roman"/>
          <w:color w:val="000000" w:themeColor="text1"/>
          <w:sz w:val="22"/>
          <w:szCs w:val="22"/>
        </w:rPr>
        <w:t>2.1.</w:t>
      </w:r>
      <w:r w:rsidR="007329DA" w:rsidRPr="00044B68">
        <w:rPr>
          <w:rFonts w:ascii="Times New Roman" w:eastAsia="Calibri" w:hAnsi="Times New Roman" w:cs="Times New Roman"/>
          <w:color w:val="000000" w:themeColor="text1"/>
          <w:sz w:val="22"/>
          <w:szCs w:val="22"/>
        </w:rPr>
        <w:t xml:space="preserve"> </w:t>
      </w:r>
      <w:r w:rsidR="00B41C66" w:rsidRPr="00044B68">
        <w:rPr>
          <w:rFonts w:ascii="Times New Roman" w:eastAsia="Calibri" w:hAnsi="Times New Roman" w:cs="Times New Roman"/>
          <w:color w:val="000000" w:themeColor="text1"/>
          <w:sz w:val="22"/>
          <w:szCs w:val="22"/>
        </w:rPr>
        <w:t xml:space="preserve">Perkančioji organizacija numato </w:t>
      </w:r>
      <w:r w:rsidRPr="00044B68">
        <w:rPr>
          <w:rFonts w:ascii="Times New Roman" w:eastAsia="Calibri" w:hAnsi="Times New Roman" w:cs="Times New Roman"/>
          <w:color w:val="000000" w:themeColor="text1"/>
          <w:sz w:val="22"/>
          <w:szCs w:val="22"/>
        </w:rPr>
        <w:t xml:space="preserve">įsigyti </w:t>
      </w:r>
      <w:r w:rsidR="00044B68" w:rsidRPr="00044B68">
        <w:rPr>
          <w:rFonts w:ascii="Times New Roman" w:hAnsi="Times New Roman" w:cs="Times New Roman"/>
          <w:sz w:val="22"/>
          <w:szCs w:val="22"/>
        </w:rPr>
        <w:t>Kompiuterinio tomografo CANON „Aquilion One  Prism Edition“  išplėstinės garantijos pratęsimo</w:t>
      </w:r>
      <w:r w:rsidR="00044B68">
        <w:rPr>
          <w:rFonts w:ascii="Times New Roman" w:hAnsi="Times New Roman" w:cs="Times New Roman"/>
          <w:sz w:val="22"/>
          <w:szCs w:val="22"/>
        </w:rPr>
        <w:t xml:space="preserve"> paslaugą</w:t>
      </w:r>
      <w:r w:rsidR="00B41C66" w:rsidRPr="00044B68">
        <w:rPr>
          <w:rFonts w:ascii="Times New Roman" w:eastAsia="Calibri" w:hAnsi="Times New Roman" w:cs="Times New Roman"/>
          <w:color w:val="00B050"/>
          <w:sz w:val="22"/>
          <w:szCs w:val="22"/>
        </w:rPr>
        <w:t>.</w:t>
      </w:r>
      <w:r w:rsidR="00B41C66" w:rsidRPr="00044B68">
        <w:rPr>
          <w:rFonts w:ascii="Times New Roman" w:hAnsi="Times New Roman" w:cs="Times New Roman"/>
          <w:sz w:val="22"/>
          <w:szCs w:val="22"/>
        </w:rPr>
        <w:t xml:space="preserve"> </w:t>
      </w:r>
      <w:r w:rsidRPr="00044B68">
        <w:rPr>
          <w:rFonts w:ascii="Times New Roman" w:hAnsi="Times New Roman" w:cs="Times New Roman"/>
          <w:sz w:val="22"/>
          <w:szCs w:val="22"/>
        </w:rPr>
        <w:t xml:space="preserve">Reikalavimai pirkimo objektui nustatyti specialiųjų pirkimo sąlygų 2 priede – </w:t>
      </w:r>
      <w:r w:rsidR="0004023F" w:rsidRPr="00044B68">
        <w:rPr>
          <w:rFonts w:ascii="Times New Roman" w:hAnsi="Times New Roman" w:cs="Times New Roman"/>
          <w:sz w:val="22"/>
          <w:szCs w:val="22"/>
        </w:rPr>
        <w:t>Pasiūlymo forma, t</w:t>
      </w:r>
      <w:r w:rsidRPr="00044B68">
        <w:rPr>
          <w:rFonts w:ascii="Times New Roman" w:hAnsi="Times New Roman" w:cs="Times New Roman"/>
          <w:sz w:val="22"/>
          <w:szCs w:val="22"/>
        </w:rPr>
        <w:t>echninė specifikacija</w:t>
      </w:r>
      <w:r w:rsidR="00B41C66" w:rsidRPr="00044B68">
        <w:rPr>
          <w:rFonts w:ascii="Times New Roman" w:hAnsi="Times New Roman" w:cs="Times New Roman"/>
          <w:sz w:val="22"/>
          <w:szCs w:val="22"/>
        </w:rPr>
        <w:t>.</w:t>
      </w:r>
    </w:p>
    <w:p w14:paraId="5FDBA253" w14:textId="53B91EF3"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044B68">
        <w:rPr>
          <w:rFonts w:ascii="Times New Roman" w:hAnsi="Times New Roman" w:cs="Times New Roman"/>
          <w:sz w:val="22"/>
          <w:szCs w:val="22"/>
        </w:rPr>
        <w:t>ne</w:t>
      </w:r>
      <w:r w:rsidR="009C20C9">
        <w:rPr>
          <w:rFonts w:ascii="Times New Roman" w:hAnsi="Times New Roman" w:cs="Times New Roman"/>
          <w:sz w:val="22"/>
          <w:szCs w:val="22"/>
        </w:rPr>
        <w:t>skaidomas į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FE5282A"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FC35ADC"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4B68">
        <w:rPr>
          <w:rFonts w:ascii="Times New Roman" w:hAnsi="Times New Roman" w:cs="Times New Roman"/>
          <w:color w:val="000000"/>
          <w:sz w:val="22"/>
          <w:szCs w:val="22"/>
        </w:rPr>
        <w:t>paslaugų</w:t>
      </w:r>
      <w:r w:rsidR="00046522" w:rsidRPr="00FD5BD9">
        <w:rPr>
          <w:rFonts w:ascii="Times New Roman" w:hAnsi="Times New Roman" w:cs="Times New Roman"/>
          <w:color w:val="000000"/>
          <w:sz w:val="22"/>
          <w:szCs w:val="22"/>
        </w:rPr>
        <w:t xml:space="preserve">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45E7017" w14:textId="208BA310" w:rsidR="00966563" w:rsidRPr="00A50A27" w:rsidRDefault="00966563"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Pr>
          <w:rFonts w:ascii="Times New Roman" w:hAnsi="Times New Roman" w:cs="Times New Roman"/>
          <w:sz w:val="22"/>
          <w:szCs w:val="22"/>
          <w:shd w:val="clear" w:color="auto" w:fill="FFFFFF"/>
        </w:rPr>
        <w:t>2</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 xml:space="preserve">priede pateiktą pasiūlymo </w:t>
      </w:r>
      <w:r w:rsidRPr="00A50A27">
        <w:rPr>
          <w:rFonts w:ascii="Times New Roman" w:hAnsi="Times New Roman" w:cs="Times New Roman"/>
          <w:sz w:val="22"/>
          <w:szCs w:val="22"/>
        </w:rPr>
        <w:t>formą</w:t>
      </w:r>
      <w:r w:rsidR="006801D6">
        <w:rPr>
          <w:rFonts w:ascii="Times New Roman" w:hAnsi="Times New Roman" w:cs="Times New Roman"/>
          <w:sz w:val="22"/>
          <w:szCs w:val="22"/>
        </w:rPr>
        <w:t>.</w:t>
      </w:r>
    </w:p>
    <w:p w14:paraId="13DFC6E6" w14:textId="77777777" w:rsidR="00966563" w:rsidRPr="00FD5BD9" w:rsidRDefault="00966563" w:rsidP="00966563">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021CA68F" w14:textId="0ADE2EC3" w:rsidR="007C1C57" w:rsidRPr="00FD5BD9" w:rsidRDefault="006805F1"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4C25209F" w14:textId="525D1211" w:rsidR="00966563" w:rsidRPr="007D4E08" w:rsidRDefault="00966563" w:rsidP="00966563">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w:t>
      </w:r>
      <w:r>
        <w:rPr>
          <w:rFonts w:ascii="Times New Roman" w:hAnsi="Times New Roman" w:cs="Times New Roman"/>
          <w:sz w:val="24"/>
          <w:szCs w:val="24"/>
        </w:rPr>
        <w:t xml:space="preserve">2 </w:t>
      </w:r>
      <w:r w:rsidRPr="00E22C80">
        <w:rPr>
          <w:rFonts w:ascii="Times New Roman" w:hAnsi="Times New Roman" w:cs="Times New Roman"/>
          <w:sz w:val="24"/>
          <w:szCs w:val="24"/>
        </w:rPr>
        <w:t xml:space="preserve">priedą </w:t>
      </w:r>
      <w:r>
        <w:rPr>
          <w:rFonts w:ascii="Times New Roman" w:hAnsi="Times New Roman" w:cs="Times New Roman"/>
          <w:sz w:val="24"/>
          <w:szCs w:val="24"/>
        </w:rPr>
        <w:t>„</w:t>
      </w:r>
      <w:r w:rsidR="006801D6">
        <w:rPr>
          <w:rFonts w:ascii="Times New Roman" w:hAnsi="Times New Roman" w:cs="Times New Roman"/>
          <w:sz w:val="24"/>
          <w:szCs w:val="24"/>
        </w:rPr>
        <w:t>T</w:t>
      </w:r>
      <w:r>
        <w:rPr>
          <w:rFonts w:ascii="Times New Roman" w:hAnsi="Times New Roman" w:cs="Times New Roman"/>
          <w:sz w:val="24"/>
          <w:szCs w:val="24"/>
        </w:rPr>
        <w:t>echninė specifikacija“</w:t>
      </w:r>
      <w:r w:rsidR="006801D6">
        <w:rPr>
          <w:rFonts w:ascii="Times New Roman" w:hAnsi="Times New Roman" w:cs="Times New Roman"/>
          <w:sz w:val="24"/>
          <w:szCs w:val="24"/>
        </w:rPr>
        <w:t>.</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2674AF78" w:rsidR="00B250A1" w:rsidRPr="00336BE6" w:rsidRDefault="00044B68" w:rsidP="00336BE6">
      <w:pPr>
        <w:pStyle w:val="Body2"/>
        <w:tabs>
          <w:tab w:val="left" w:pos="851"/>
        </w:tabs>
        <w:rPr>
          <w:rFonts w:cs="Times New Roman"/>
          <w:sz w:val="22"/>
          <w:szCs w:val="22"/>
        </w:rPr>
      </w:pPr>
      <w:r>
        <w:rPr>
          <w:rFonts w:cs="Times New Roman"/>
          <w:sz w:val="22"/>
          <w:szCs w:val="22"/>
        </w:rPr>
        <w:t>________________________</w:t>
      </w: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2EA2CD9F" w:rsidR="008E6993"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w:t>
      </w:r>
      <w:r w:rsidR="00044B68">
        <w:rPr>
          <w:rFonts w:ascii="Times New Roman" w:eastAsiaTheme="minorHAnsi" w:hAnsi="Times New Roman" w:cs="Times New Roman"/>
          <w:iCs/>
          <w:sz w:val="24"/>
          <w:szCs w:val="24"/>
          <w:lang w:eastAsia="en-US"/>
        </w:rPr>
        <w:t>:</w:t>
      </w:r>
    </w:p>
    <w:p w14:paraId="27C17C9E" w14:textId="77777777" w:rsidR="00044B68"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4586"/>
        <w:gridCol w:w="4443"/>
      </w:tblGrid>
      <w:tr w:rsidR="00044B68" w:rsidRPr="00044B68" w14:paraId="62E3582B" w14:textId="77777777" w:rsidTr="00247042">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BEAC9C" w14:textId="0093ABEE"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1F093E4" w14:textId="77777777" w:rsidR="00044B68" w:rsidRPr="00044B68" w:rsidRDefault="00044B68" w:rsidP="00247042">
            <w:pPr>
              <w:jc w:val="both"/>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Teikėjas turi turėti gamintojo įgaliojimą techniškai aptarnauti ir remontuoti medicinos prietaisą arba turi turėti rašytinį susitarimą su kitu ūkio subjektu, kuris yra gamintojo įgaliotas atlikti medicinos prietaiso techninį aptarnavimą.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5668D03"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z w:val="22"/>
                <w:szCs w:val="22"/>
              </w:rPr>
              <w:t>Pateikti:</w:t>
            </w:r>
          </w:p>
          <w:p w14:paraId="3A3C773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Dokumentą patvirtinantį, kad teikėjas yra gamintojo įgaliotas techniškai aptarnauti ir remontuoti medicinos prietaisą, arba yra sudaręs rašytinį susitarimą su kitu ūkio subjektu, kuris yra gamintojo įgaliotas atlikti šių medicinos prietaiso aptarnavimą ir remontą. </w:t>
            </w:r>
          </w:p>
          <w:p w14:paraId="3CB7667B" w14:textId="77777777" w:rsidR="00044B68" w:rsidRPr="00044B68" w:rsidRDefault="00044B68" w:rsidP="00247042">
            <w:pPr>
              <w:ind w:right="72"/>
              <w:jc w:val="both"/>
              <w:rPr>
                <w:rFonts w:ascii="Times New Roman" w:eastAsia="Calibri" w:hAnsi="Times New Roman" w:cs="Times New Roman"/>
                <w:b/>
                <w:i/>
                <w:sz w:val="22"/>
                <w:szCs w:val="22"/>
              </w:rPr>
            </w:pPr>
            <w:r w:rsidRPr="00044B68">
              <w:rPr>
                <w:rFonts w:ascii="Times New Roman" w:hAnsi="Times New Roman" w:cs="Times New Roman"/>
                <w:spacing w:val="-4"/>
                <w:sz w:val="22"/>
                <w:szCs w:val="22"/>
              </w:rPr>
              <w:t>Pateikiamos skaitmeninės dokumentų kopijos.</w:t>
            </w:r>
          </w:p>
        </w:tc>
      </w:tr>
      <w:tr w:rsidR="00044B68" w:rsidRPr="00044B68" w14:paraId="3646B283" w14:textId="77777777" w:rsidTr="00247042">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A6182" w14:textId="0E65633F"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3B83AD" w14:textId="77777777" w:rsidR="00044B68" w:rsidRPr="00044B68" w:rsidRDefault="00044B68" w:rsidP="00247042">
            <w:pPr>
              <w:jc w:val="both"/>
              <w:rPr>
                <w:rFonts w:ascii="Times New Roman" w:hAnsi="Times New Roman" w:cs="Times New Roman"/>
                <w:sz w:val="22"/>
                <w:szCs w:val="22"/>
                <w:lang w:bidi="lo-LA"/>
              </w:rPr>
            </w:pPr>
            <w:r w:rsidRPr="00044B68">
              <w:rPr>
                <w:rFonts w:ascii="Times New Roman" w:eastAsia="Calibri" w:hAnsi="Times New Roman" w:cs="Times New Roman"/>
                <w:sz w:val="22"/>
                <w:szCs w:val="22"/>
              </w:rPr>
              <w:t>Teikėjas turi turėti kvalifikuotus specialistus, turinčius teisę atlikti medicinos prietaisų techninės priežiūros, ir remonto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780A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Specialistų (bent 1 specialisto), vykdančių medicinos prietaisų techninę priežiūrą, kvalifikacijos pažymėjimas arba lygiavertis dokumentas. </w:t>
            </w:r>
          </w:p>
          <w:p w14:paraId="09505E5E"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pacing w:val="-4"/>
                <w:sz w:val="22"/>
                <w:szCs w:val="22"/>
              </w:rPr>
              <w:t>Pateikiamos skaitmeninės dokumentų kopijos.</w:t>
            </w:r>
          </w:p>
          <w:p w14:paraId="6B40F6BD" w14:textId="77777777" w:rsidR="00044B68" w:rsidRPr="00044B68" w:rsidRDefault="00044B68" w:rsidP="00247042">
            <w:pPr>
              <w:pStyle w:val="Header"/>
              <w:rPr>
                <w:rFonts w:ascii="Times New Roman" w:hAnsi="Times New Roman" w:cs="Times New Roman"/>
                <w:sz w:val="22"/>
                <w:szCs w:val="22"/>
              </w:rPr>
            </w:pPr>
          </w:p>
        </w:tc>
      </w:tr>
    </w:tbl>
    <w:p w14:paraId="7157FC54" w14:textId="77777777" w:rsidR="00044B68" w:rsidRPr="00EE1132"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B6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6F95"/>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1D6"/>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63"/>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6CF"/>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18F3"/>
    <w:rsid w:val="00E32664"/>
    <w:rsid w:val="00E32C8E"/>
    <w:rsid w:val="00E33261"/>
    <w:rsid w:val="00E345D2"/>
    <w:rsid w:val="00E347D3"/>
    <w:rsid w:val="00E355F1"/>
    <w:rsid w:val="00E3566E"/>
    <w:rsid w:val="00E3567D"/>
    <w:rsid w:val="00E357B2"/>
    <w:rsid w:val="00E359A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9DD"/>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29132</Words>
  <Characters>16606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14</cp:revision>
  <cp:lastPrinted>2024-04-30T06:37:00Z</cp:lastPrinted>
  <dcterms:created xsi:type="dcterms:W3CDTF">2025-03-13T07:13:00Z</dcterms:created>
  <dcterms:modified xsi:type="dcterms:W3CDTF">2025-04-23T11:24:00Z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