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3AB7FD13" w:rsidR="00104A6B" w:rsidRPr="00F548E4" w:rsidRDefault="006E5629" w:rsidP="00104A6B">
      <w:pPr>
        <w:jc w:val="center"/>
        <w:rPr>
          <w:b/>
          <w:color w:val="000000"/>
        </w:rPr>
      </w:pPr>
      <w:bookmarkStart w:id="0" w:name="_GoBack"/>
      <w:r>
        <w:rPr>
          <w:b/>
        </w:rPr>
        <w:t>PEDAGOGŲ</w:t>
      </w:r>
      <w:r w:rsidR="00401A7C" w:rsidRPr="00B22CE3">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bookmarkEnd w:id="0"/>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7DC1F16A" w:rsidR="00104A6B" w:rsidRPr="009A0C8F" w:rsidRDefault="006E5629" w:rsidP="00104A6B">
      <w:pPr>
        <w:pStyle w:val="Numeravimas"/>
        <w:numPr>
          <w:ilvl w:val="0"/>
          <w:numId w:val="26"/>
        </w:numPr>
        <w:tabs>
          <w:tab w:val="left" w:pos="993"/>
        </w:tabs>
        <w:ind w:firstLine="736"/>
        <w:jc w:val="both"/>
      </w:pPr>
      <w:bookmarkStart w:id="1" w:name="_Hlk109222738"/>
      <w:r>
        <w:t>Pedagogų</w:t>
      </w:r>
      <w:r w:rsidR="00E6696F">
        <w:t xml:space="preserve"> </w:t>
      </w:r>
      <w:r w:rsidR="000B18F3" w:rsidRPr="000B18F3">
        <w:t xml:space="preserve">registro </w:t>
      </w:r>
      <w:bookmarkEnd w:id="1"/>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Pedagogų</w:t>
      </w:r>
      <w:r w:rsidR="00E6696F">
        <w:t xml:space="preserve"> </w:t>
      </w:r>
      <w:r w:rsidR="00F47D9E" w:rsidRPr="00F47D9E">
        <w:t>registro (</w:t>
      </w:r>
      <w:r w:rsidR="00F47D9E">
        <w:t xml:space="preserve">toliau </w:t>
      </w:r>
      <w:r w:rsidR="009649BB">
        <w:t>PR</w:t>
      </w:r>
      <w:r w:rsidR="00F47D9E" w:rsidRPr="00F47D9E">
        <w:t xml:space="preserve">) </w:t>
      </w:r>
      <w:r w:rsidR="00104A6B" w:rsidRPr="009A0C8F">
        <w:t>realizavimo ir veikimo aprašymas.</w:t>
      </w:r>
    </w:p>
    <w:p w14:paraId="5DCDAD9B" w14:textId="76ED0750" w:rsidR="00104A6B" w:rsidRPr="009A0C8F" w:rsidRDefault="009649BB" w:rsidP="00104A6B">
      <w:pPr>
        <w:pStyle w:val="Numeravimas"/>
        <w:numPr>
          <w:ilvl w:val="0"/>
          <w:numId w:val="26"/>
        </w:numPr>
        <w:tabs>
          <w:tab w:val="left" w:pos="993"/>
        </w:tabs>
        <w:ind w:firstLine="736"/>
        <w:jc w:val="both"/>
      </w:pPr>
      <w:r>
        <w:t>PR</w:t>
      </w:r>
      <w:r w:rsidR="00104A6B" w:rsidRPr="009A0C8F">
        <w:t xml:space="preserve"> programinės įrangos priežiūros ir vystymo paslaugas sudaro:</w:t>
      </w:r>
    </w:p>
    <w:p w14:paraId="3689EBE0" w14:textId="451082C0" w:rsidR="00104A6B" w:rsidRPr="009A0C8F" w:rsidRDefault="009649BB" w:rsidP="00104A6B">
      <w:pPr>
        <w:pStyle w:val="Numeravimas"/>
        <w:numPr>
          <w:ilvl w:val="1"/>
          <w:numId w:val="26"/>
        </w:numPr>
        <w:tabs>
          <w:tab w:val="clear" w:pos="1"/>
          <w:tab w:val="left" w:pos="1134"/>
        </w:tabs>
        <w:ind w:firstLine="709"/>
        <w:jc w:val="both"/>
        <w:rPr>
          <w:color w:val="000000"/>
        </w:rPr>
      </w:pPr>
      <w:r>
        <w:t>PR</w:t>
      </w:r>
      <w:r w:rsidR="00104A6B" w:rsidRPr="009A0C8F">
        <w:t xml:space="preserve"> </w:t>
      </w:r>
      <w:r w:rsidR="00104A6B" w:rsidRPr="009A0C8F">
        <w:rPr>
          <w:color w:val="000000"/>
        </w:rPr>
        <w:t xml:space="preserve">priežiūros paslauga (toliau –priežiūros paslauga) – tai paslauga, apimanti su </w:t>
      </w:r>
      <w:r>
        <w:t>PR</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2574C656" w:rsidR="00104A6B" w:rsidRPr="009A0C8F" w:rsidRDefault="009649BB" w:rsidP="00104A6B">
      <w:pPr>
        <w:pStyle w:val="Numeravimas"/>
        <w:numPr>
          <w:ilvl w:val="1"/>
          <w:numId w:val="26"/>
        </w:numPr>
        <w:tabs>
          <w:tab w:val="clear" w:pos="1"/>
          <w:tab w:val="left" w:pos="1134"/>
        </w:tabs>
        <w:ind w:firstLine="709"/>
        <w:jc w:val="both"/>
      </w:pPr>
      <w:r>
        <w:t>PR</w:t>
      </w:r>
      <w:r w:rsidR="00104A6B" w:rsidRPr="009A0C8F">
        <w:t xml:space="preserve"> vystymo paslauga </w:t>
      </w:r>
      <w:r w:rsidR="00104A6B" w:rsidRPr="009A0C8F">
        <w:rPr>
          <w:color w:val="000000"/>
        </w:rPr>
        <w:t>(toliau –vystymo paslauga)</w:t>
      </w:r>
      <w:r w:rsidR="00104A6B" w:rsidRPr="009A0C8F">
        <w:t xml:space="preserve">– tai paslauga, apimanti </w:t>
      </w:r>
      <w:r>
        <w:t>PR</w:t>
      </w:r>
      <w:r w:rsidR="005D7336" w:rsidRPr="009A0C8F">
        <w:rPr>
          <w:color w:val="000000"/>
        </w:rPr>
        <w:t xml:space="preserve">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7A4B168C"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r w:rsidR="009A3473" w:rsidRPr="009A3473">
        <w:rPr>
          <w:rFonts w:eastAsia="Times New Roman"/>
        </w:rPr>
        <w:t>Preliminari paslaugų apimtis 2</w:t>
      </w:r>
      <w:r w:rsidR="009A3473">
        <w:rPr>
          <w:rFonts w:eastAsia="Times New Roman"/>
        </w:rPr>
        <w:t>3</w:t>
      </w:r>
      <w:r w:rsidR="009A3473" w:rsidRPr="009A3473">
        <w:rPr>
          <w:rFonts w:eastAsia="Times New Roman"/>
        </w:rPr>
        <w:t xml:space="preserve"> mėn. laikotarpiui valandomis yra 3000</w:t>
      </w:r>
      <w:r w:rsidR="009A3473">
        <w:rPr>
          <w:rFonts w:eastAsia="Times New Roman"/>
        </w:rPr>
        <w:t>.</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7B8D0A61" w:rsidR="00104A6B" w:rsidRPr="009A0C8F" w:rsidRDefault="00104A6B" w:rsidP="00104A6B">
      <w:pPr>
        <w:jc w:val="center"/>
        <w:rPr>
          <w:b/>
        </w:rPr>
      </w:pPr>
      <w:r w:rsidRPr="009A0C8F">
        <w:rPr>
          <w:b/>
        </w:rPr>
        <w:t xml:space="preserve">II. </w:t>
      </w:r>
      <w:r w:rsidR="009649BB">
        <w:rPr>
          <w:b/>
        </w:rPr>
        <w:t>PR</w:t>
      </w:r>
      <w:r w:rsidRPr="009A0C8F">
        <w:rPr>
          <w:b/>
        </w:rPr>
        <w:t xml:space="preserve"> APRAŠYMAS</w:t>
      </w:r>
    </w:p>
    <w:p w14:paraId="48C87D22" w14:textId="203D7AB3" w:rsidR="00104A6B" w:rsidRPr="009A0C8F" w:rsidRDefault="009649BB" w:rsidP="00136557">
      <w:pPr>
        <w:numPr>
          <w:ilvl w:val="0"/>
          <w:numId w:val="26"/>
        </w:numPr>
        <w:shd w:val="clear" w:color="auto" w:fill="FFFFFF"/>
        <w:tabs>
          <w:tab w:val="left" w:pos="993"/>
        </w:tabs>
        <w:ind w:firstLine="736"/>
        <w:jc w:val="both"/>
      </w:pPr>
      <w:r>
        <w:t>PR</w:t>
      </w:r>
      <w:r w:rsidR="00104A6B" w:rsidRPr="009A0C8F">
        <w:t xml:space="preserve"> turi automatines duomenų mainų sąsajas su registrais:</w:t>
      </w:r>
    </w:p>
    <w:p w14:paraId="4E75677A" w14:textId="319CDD87" w:rsidR="00104A6B" w:rsidRDefault="00884DDA" w:rsidP="00136557">
      <w:pPr>
        <w:numPr>
          <w:ilvl w:val="1"/>
          <w:numId w:val="26"/>
        </w:numPr>
        <w:shd w:val="clear" w:color="auto" w:fill="FFFFFF"/>
        <w:tabs>
          <w:tab w:val="left" w:pos="1134"/>
        </w:tabs>
        <w:ind w:firstLine="736"/>
        <w:jc w:val="both"/>
      </w:pPr>
      <w:r w:rsidRPr="00884DDA">
        <w:t xml:space="preserve">Lietuvos Respublikos gyventojų </w:t>
      </w:r>
      <w:r w:rsidR="00EF6B41">
        <w:t>registras</w:t>
      </w:r>
      <w:r w:rsidR="006A1F66">
        <w:t>;</w:t>
      </w:r>
      <w:r w:rsidR="00104A6B" w:rsidRPr="009A0C8F">
        <w:t xml:space="preserve"> </w:t>
      </w:r>
    </w:p>
    <w:p w14:paraId="4FF0474E" w14:textId="77777777" w:rsidR="00884DDA" w:rsidRDefault="00EF6B41" w:rsidP="00EF6B41">
      <w:pPr>
        <w:numPr>
          <w:ilvl w:val="1"/>
          <w:numId w:val="26"/>
        </w:numPr>
        <w:shd w:val="clear" w:color="auto" w:fill="FFFFFF"/>
        <w:tabs>
          <w:tab w:val="left" w:pos="1134"/>
        </w:tabs>
        <w:ind w:firstLine="736"/>
        <w:jc w:val="both"/>
      </w:pPr>
      <w:r w:rsidRPr="00EF6B41">
        <w:t>Švietimo</w:t>
      </w:r>
      <w:r>
        <w:t xml:space="preserve">, </w:t>
      </w:r>
      <w:r w:rsidRPr="00EF6B41">
        <w:t>mokslo</w:t>
      </w:r>
      <w:r>
        <w:t xml:space="preserve"> ir sporto</w:t>
      </w:r>
      <w:r w:rsidRPr="00EF6B41">
        <w:t xml:space="preserve"> institucijų </w:t>
      </w:r>
      <w:r w:rsidR="00133B4F" w:rsidRPr="00133B4F">
        <w:t>registr</w:t>
      </w:r>
      <w:r w:rsidR="00133B4F">
        <w:t>as</w:t>
      </w:r>
      <w:r w:rsidR="00884DDA">
        <w:t>;</w:t>
      </w:r>
    </w:p>
    <w:p w14:paraId="35118A8E" w14:textId="77777777" w:rsidR="00AF0E28" w:rsidRDefault="00AF0E28" w:rsidP="00EF6B41">
      <w:pPr>
        <w:numPr>
          <w:ilvl w:val="1"/>
          <w:numId w:val="26"/>
        </w:numPr>
        <w:shd w:val="clear" w:color="auto" w:fill="FFFFFF"/>
        <w:tabs>
          <w:tab w:val="left" w:pos="1134"/>
        </w:tabs>
        <w:ind w:firstLine="736"/>
        <w:jc w:val="both"/>
      </w:pPr>
      <w:r w:rsidRPr="00AF0E28">
        <w:t>Studijų, mokymo programų ir kvalifikacijų registr</w:t>
      </w:r>
      <w:r>
        <w:t>as;</w:t>
      </w:r>
    </w:p>
    <w:p w14:paraId="06FF010E" w14:textId="77777777" w:rsidR="009043AE" w:rsidRDefault="009043AE" w:rsidP="00EF6B41">
      <w:pPr>
        <w:numPr>
          <w:ilvl w:val="1"/>
          <w:numId w:val="26"/>
        </w:numPr>
        <w:shd w:val="clear" w:color="auto" w:fill="FFFFFF"/>
        <w:tabs>
          <w:tab w:val="left" w:pos="1134"/>
        </w:tabs>
        <w:ind w:firstLine="736"/>
        <w:jc w:val="both"/>
      </w:pPr>
      <w:r w:rsidRPr="009043AE">
        <w:t>Diplomų ir atestatų registr</w:t>
      </w:r>
      <w:r>
        <w:t>as;</w:t>
      </w:r>
    </w:p>
    <w:p w14:paraId="090FA344" w14:textId="54EFD3BE" w:rsidR="00104A6B" w:rsidRPr="009A0C8F" w:rsidRDefault="00217CCF" w:rsidP="00EF6B41">
      <w:pPr>
        <w:numPr>
          <w:ilvl w:val="1"/>
          <w:numId w:val="26"/>
        </w:numPr>
        <w:shd w:val="clear" w:color="auto" w:fill="FFFFFF"/>
        <w:tabs>
          <w:tab w:val="left" w:pos="1134"/>
        </w:tabs>
        <w:ind w:firstLine="736"/>
        <w:jc w:val="both"/>
      </w:pPr>
      <w:r w:rsidRPr="00217CCF">
        <w:t>Įtariamųjų, kaltinamųjų ir nuteistųjų registr</w:t>
      </w:r>
      <w:r>
        <w:t>as</w:t>
      </w:r>
      <w:r w:rsidR="006A1F66">
        <w:t>.</w:t>
      </w:r>
    </w:p>
    <w:p w14:paraId="7520D95C" w14:textId="2986DA25"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9649BB">
        <w:t>PR</w:t>
      </w:r>
      <w:r w:rsidRPr="009A0C8F">
        <w:t xml:space="preserve"> aprašyta</w:t>
      </w:r>
      <w:r w:rsidR="001C6BB2">
        <w:t>s</w:t>
      </w:r>
      <w:r w:rsidRPr="009A0C8F">
        <w:t xml:space="preserve"> teisės aktuose ir dokumentuose, paminėtuose techninės specifikacijos </w:t>
      </w:r>
      <w:r w:rsidR="00D349FA">
        <w:rPr>
          <w:color w:val="000000"/>
        </w:rPr>
        <w:t>3</w:t>
      </w:r>
      <w:r w:rsidR="00267782">
        <w:rPr>
          <w:color w:val="000000"/>
        </w:rPr>
        <w:t>0</w:t>
      </w:r>
      <w:r w:rsidRPr="00785056">
        <w:rPr>
          <w:color w:val="000000"/>
        </w:rPr>
        <w:t>.1–</w:t>
      </w:r>
      <w:r w:rsidR="00D349FA">
        <w:rPr>
          <w:color w:val="000000"/>
        </w:rPr>
        <w:t>3</w:t>
      </w:r>
      <w:r w:rsidR="00267782">
        <w:rPr>
          <w:color w:val="000000"/>
        </w:rPr>
        <w:t>0</w:t>
      </w:r>
      <w:r w:rsidRPr="00785056">
        <w:rPr>
          <w:color w:val="000000"/>
        </w:rPr>
        <w:t>.4</w:t>
      </w:r>
      <w:r w:rsidRPr="009A0C8F">
        <w:rPr>
          <w:color w:val="000000"/>
        </w:rPr>
        <w:t xml:space="preserve"> punktuose.</w:t>
      </w:r>
    </w:p>
    <w:p w14:paraId="083F8EE5" w14:textId="5F96C022" w:rsidR="00104A6B" w:rsidRPr="009A0C8F" w:rsidRDefault="009649BB" w:rsidP="00136557">
      <w:pPr>
        <w:numPr>
          <w:ilvl w:val="0"/>
          <w:numId w:val="26"/>
        </w:numPr>
        <w:shd w:val="clear" w:color="auto" w:fill="FFFFFF"/>
        <w:tabs>
          <w:tab w:val="left" w:pos="993"/>
        </w:tabs>
        <w:ind w:firstLine="736"/>
        <w:jc w:val="both"/>
      </w:pPr>
      <w:r>
        <w:t>PR</w:t>
      </w:r>
      <w:r w:rsidR="00104A6B" w:rsidRPr="009A0C8F">
        <w:t xml:space="preserve"> realizuoti trijų lygių architektūros – duomenų bazių, programinės įrangos valdymo (</w:t>
      </w:r>
      <w:proofErr w:type="spellStart"/>
      <w:r w:rsidR="00104A6B" w:rsidRPr="009A0C8F">
        <w:t>ang</w:t>
      </w:r>
      <w:proofErr w:type="spellEnd"/>
      <w:r w:rsidR="00104A6B" w:rsidRPr="009A0C8F">
        <w:t xml:space="preserve">. </w:t>
      </w:r>
      <w:proofErr w:type="spellStart"/>
      <w:r w:rsidR="00104A6B" w:rsidRPr="009A0C8F">
        <w:rPr>
          <w:i/>
        </w:rPr>
        <w:t>application</w:t>
      </w:r>
      <w:proofErr w:type="spellEnd"/>
      <w:r w:rsidR="00104A6B" w:rsidRPr="009A0C8F">
        <w:rPr>
          <w:i/>
        </w:rPr>
        <w:t xml:space="preserve"> </w:t>
      </w:r>
      <w:proofErr w:type="spellStart"/>
      <w:r w:rsidR="00104A6B" w:rsidRPr="009A0C8F">
        <w:rPr>
          <w:i/>
        </w:rPr>
        <w:t>server</w:t>
      </w:r>
      <w:proofErr w:type="spellEnd"/>
      <w:r w:rsidR="00104A6B" w:rsidRPr="009A0C8F">
        <w:t xml:space="preserve">) ir naudotojo sąsajos – pagrindu. </w:t>
      </w:r>
    </w:p>
    <w:p w14:paraId="09598D09" w14:textId="6E7063B8" w:rsidR="00104A6B" w:rsidRPr="009A0C8F" w:rsidRDefault="009649BB" w:rsidP="00136557">
      <w:pPr>
        <w:numPr>
          <w:ilvl w:val="0"/>
          <w:numId w:val="26"/>
        </w:numPr>
        <w:shd w:val="clear" w:color="auto" w:fill="FFFFFF"/>
        <w:tabs>
          <w:tab w:val="left" w:pos="993"/>
        </w:tabs>
        <w:ind w:firstLine="736"/>
        <w:jc w:val="both"/>
      </w:pPr>
      <w:r>
        <w:t>PR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w:t>
      </w:r>
    </w:p>
    <w:p w14:paraId="4B843B54" w14:textId="5E61DB04" w:rsidR="00104A6B" w:rsidRPr="009A0C8F" w:rsidRDefault="009649BB" w:rsidP="00136557">
      <w:pPr>
        <w:numPr>
          <w:ilvl w:val="0"/>
          <w:numId w:val="26"/>
        </w:numPr>
        <w:shd w:val="clear" w:color="auto" w:fill="FFFFFF"/>
        <w:tabs>
          <w:tab w:val="clear" w:pos="-27"/>
          <w:tab w:val="left" w:pos="1134"/>
        </w:tabs>
        <w:ind w:firstLine="736"/>
        <w:jc w:val="both"/>
      </w:pPr>
      <w:r>
        <w:t>PR</w:t>
      </w:r>
      <w:r w:rsidR="00104A6B" w:rsidRPr="009A0C8F">
        <w:t xml:space="preserve"> realizavimo priemonės: </w:t>
      </w:r>
    </w:p>
    <w:p w14:paraId="6899EB7F" w14:textId="078DF820" w:rsidR="00120D5E" w:rsidRPr="00120D5E" w:rsidRDefault="00120D5E" w:rsidP="00120D5E">
      <w:pPr>
        <w:pStyle w:val="Sraopastraipa"/>
        <w:numPr>
          <w:ilvl w:val="1"/>
          <w:numId w:val="26"/>
        </w:numPr>
        <w:jc w:val="both"/>
      </w:pPr>
      <w:r w:rsidRPr="00120D5E">
        <w:t>Aplikacijų tarnybinė stotis</w:t>
      </w:r>
    </w:p>
    <w:p w14:paraId="219C8AD4" w14:textId="77777777" w:rsidR="00104A6B" w:rsidRDefault="00104A6B" w:rsidP="00104A6B">
      <w:pPr>
        <w:ind w:firstLine="540"/>
        <w:jc w:val="both"/>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3"/>
        <w:gridCol w:w="4647"/>
      </w:tblGrid>
      <w:tr w:rsidR="008B45D9" w:rsidRPr="008B45D9" w14:paraId="64B0564E"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6DF702D8" w14:textId="77777777" w:rsidR="008B45D9" w:rsidRPr="008B45D9" w:rsidRDefault="008B45D9" w:rsidP="008B45D9">
            <w:pPr>
              <w:ind w:firstLine="540"/>
              <w:jc w:val="both"/>
            </w:pPr>
            <w:r w:rsidRPr="008B45D9">
              <w:t>Programavimo kalbos:</w:t>
            </w:r>
          </w:p>
        </w:tc>
        <w:tc>
          <w:tcPr>
            <w:tcW w:w="4649" w:type="dxa"/>
            <w:tcBorders>
              <w:top w:val="single" w:sz="4" w:space="0" w:color="000000"/>
              <w:left w:val="single" w:sz="4" w:space="0" w:color="000000"/>
              <w:bottom w:val="single" w:sz="4" w:space="0" w:color="000000"/>
              <w:right w:val="single" w:sz="4" w:space="0" w:color="000000"/>
            </w:tcBorders>
            <w:hideMark/>
          </w:tcPr>
          <w:p w14:paraId="38350291" w14:textId="77777777" w:rsidR="008B45D9" w:rsidRPr="008B45D9" w:rsidRDefault="008B45D9" w:rsidP="008B45D9">
            <w:pPr>
              <w:ind w:firstLine="540"/>
              <w:jc w:val="both"/>
            </w:pPr>
            <w:r w:rsidRPr="008B45D9">
              <w:t>C#, HTML, CSS, JavaScript</w:t>
            </w:r>
          </w:p>
        </w:tc>
      </w:tr>
      <w:tr w:rsidR="008B45D9" w:rsidRPr="008B45D9" w14:paraId="48C27944"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5BEBE22C" w14:textId="77777777" w:rsidR="008B45D9" w:rsidRPr="008B45D9" w:rsidRDefault="008B45D9" w:rsidP="008B45D9">
            <w:pPr>
              <w:ind w:firstLine="540"/>
              <w:jc w:val="both"/>
            </w:pPr>
            <w:r w:rsidRPr="008B45D9">
              <w:t>Technologinės platformos bei karkasai:</w:t>
            </w:r>
          </w:p>
        </w:tc>
        <w:tc>
          <w:tcPr>
            <w:tcW w:w="4649" w:type="dxa"/>
            <w:tcBorders>
              <w:top w:val="single" w:sz="4" w:space="0" w:color="000000"/>
              <w:left w:val="single" w:sz="4" w:space="0" w:color="000000"/>
              <w:bottom w:val="single" w:sz="4" w:space="0" w:color="000000"/>
              <w:right w:val="single" w:sz="4" w:space="0" w:color="000000"/>
            </w:tcBorders>
            <w:hideMark/>
          </w:tcPr>
          <w:p w14:paraId="0350AB26" w14:textId="77777777" w:rsidR="008B45D9" w:rsidRPr="008B45D9" w:rsidRDefault="008B45D9" w:rsidP="008B45D9">
            <w:pPr>
              <w:ind w:firstLine="540"/>
              <w:jc w:val="both"/>
            </w:pPr>
            <w:r w:rsidRPr="008B45D9">
              <w:t xml:space="preserve">MVC, </w:t>
            </w:r>
            <w:proofErr w:type="spellStart"/>
            <w:r w:rsidRPr="008B45D9">
              <w:t>Linq</w:t>
            </w:r>
            <w:proofErr w:type="spellEnd"/>
            <w:r w:rsidRPr="008B45D9">
              <w:t xml:space="preserve">, </w:t>
            </w:r>
            <w:proofErr w:type="spellStart"/>
            <w:r w:rsidRPr="008B45D9">
              <w:t>WebAPI</w:t>
            </w:r>
            <w:proofErr w:type="spellEnd"/>
            <w:r w:rsidRPr="008B45D9">
              <w:t xml:space="preserve">, </w:t>
            </w:r>
            <w:proofErr w:type="spellStart"/>
            <w:r w:rsidRPr="008B45D9">
              <w:t>WebService</w:t>
            </w:r>
            <w:proofErr w:type="spellEnd"/>
          </w:p>
        </w:tc>
      </w:tr>
      <w:tr w:rsidR="008B45D9" w:rsidRPr="008B45D9" w14:paraId="25510EAA"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67B302D7" w14:textId="77777777" w:rsidR="008B45D9" w:rsidRPr="008B45D9" w:rsidRDefault="008B45D9" w:rsidP="008B45D9">
            <w:pPr>
              <w:ind w:firstLine="540"/>
              <w:jc w:val="both"/>
            </w:pPr>
            <w:r w:rsidRPr="008B45D9">
              <w:t>Standartai:</w:t>
            </w:r>
          </w:p>
        </w:tc>
        <w:tc>
          <w:tcPr>
            <w:tcW w:w="4649" w:type="dxa"/>
            <w:tcBorders>
              <w:top w:val="single" w:sz="4" w:space="0" w:color="000000"/>
              <w:left w:val="single" w:sz="4" w:space="0" w:color="000000"/>
              <w:bottom w:val="single" w:sz="4" w:space="0" w:color="000000"/>
              <w:right w:val="single" w:sz="4" w:space="0" w:color="000000"/>
            </w:tcBorders>
            <w:hideMark/>
          </w:tcPr>
          <w:p w14:paraId="5980DA7B" w14:textId="77777777" w:rsidR="008B45D9" w:rsidRPr="008B45D9" w:rsidRDefault="008B45D9" w:rsidP="008B45D9">
            <w:pPr>
              <w:ind w:firstLine="540"/>
              <w:jc w:val="both"/>
            </w:pPr>
            <w:r w:rsidRPr="008B45D9">
              <w:t>W3C HTML ir CSS specifikacijos ir rekomendacijos</w:t>
            </w:r>
          </w:p>
          <w:p w14:paraId="3F4A7B7F" w14:textId="77777777" w:rsidR="008B45D9" w:rsidRPr="008B45D9" w:rsidRDefault="008B45D9" w:rsidP="008B45D9">
            <w:pPr>
              <w:ind w:firstLine="540"/>
              <w:jc w:val="both"/>
            </w:pPr>
            <w:r w:rsidRPr="008B45D9">
              <w:t>W3C (SOAP, WSDL, WS-*)</w:t>
            </w:r>
          </w:p>
          <w:p w14:paraId="277096AC" w14:textId="77777777" w:rsidR="008B45D9" w:rsidRPr="008B45D9" w:rsidRDefault="008B45D9" w:rsidP="008B45D9">
            <w:pPr>
              <w:ind w:firstLine="540"/>
              <w:jc w:val="both"/>
            </w:pPr>
            <w:proofErr w:type="spellStart"/>
            <w:r w:rsidRPr="008B45D9">
              <w:lastRenderedPageBreak/>
              <w:t>Unicode</w:t>
            </w:r>
            <w:proofErr w:type="spellEnd"/>
            <w:r w:rsidRPr="008B45D9">
              <w:t>, UTF-8 simbolių kodavimo standartas</w:t>
            </w:r>
          </w:p>
        </w:tc>
      </w:tr>
      <w:tr w:rsidR="008B45D9" w:rsidRPr="008B45D9" w14:paraId="218F30D8"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31AC62DB" w14:textId="77777777" w:rsidR="008B45D9" w:rsidRPr="008B45D9" w:rsidRDefault="008B45D9" w:rsidP="008B45D9">
            <w:pPr>
              <w:ind w:firstLine="540"/>
              <w:jc w:val="both"/>
            </w:pPr>
            <w:r w:rsidRPr="008B45D9">
              <w:lastRenderedPageBreak/>
              <w:t>Protokolai:</w:t>
            </w:r>
          </w:p>
        </w:tc>
        <w:tc>
          <w:tcPr>
            <w:tcW w:w="4649" w:type="dxa"/>
            <w:tcBorders>
              <w:top w:val="single" w:sz="4" w:space="0" w:color="000000"/>
              <w:left w:val="single" w:sz="4" w:space="0" w:color="000000"/>
              <w:bottom w:val="single" w:sz="4" w:space="0" w:color="000000"/>
              <w:right w:val="single" w:sz="4" w:space="0" w:color="000000"/>
            </w:tcBorders>
            <w:hideMark/>
          </w:tcPr>
          <w:p w14:paraId="3D592FE5" w14:textId="77777777" w:rsidR="008B45D9" w:rsidRPr="008B45D9" w:rsidRDefault="008B45D9" w:rsidP="008B45D9">
            <w:pPr>
              <w:ind w:firstLine="540"/>
              <w:jc w:val="both"/>
            </w:pPr>
            <w:r w:rsidRPr="008B45D9">
              <w:t>HTTP, HTTPS</w:t>
            </w:r>
          </w:p>
        </w:tc>
      </w:tr>
      <w:tr w:rsidR="008B45D9" w:rsidRPr="008B45D9" w14:paraId="22908E12"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0D51A158" w14:textId="77777777" w:rsidR="008B45D9" w:rsidRPr="008B45D9" w:rsidRDefault="008B45D9" w:rsidP="008B45D9">
            <w:pPr>
              <w:ind w:firstLine="540"/>
              <w:jc w:val="both"/>
            </w:pPr>
            <w:r w:rsidRPr="008B45D9">
              <w:t>Aplikacijų serveriai:</w:t>
            </w:r>
          </w:p>
        </w:tc>
        <w:tc>
          <w:tcPr>
            <w:tcW w:w="4649" w:type="dxa"/>
            <w:tcBorders>
              <w:top w:val="single" w:sz="4" w:space="0" w:color="000000"/>
              <w:left w:val="single" w:sz="4" w:space="0" w:color="000000"/>
              <w:bottom w:val="single" w:sz="4" w:space="0" w:color="000000"/>
              <w:right w:val="single" w:sz="4" w:space="0" w:color="000000"/>
            </w:tcBorders>
            <w:hideMark/>
          </w:tcPr>
          <w:p w14:paraId="0FA75C67" w14:textId="77777777" w:rsidR="008B45D9" w:rsidRPr="008B45D9" w:rsidRDefault="008B45D9" w:rsidP="008B45D9">
            <w:pPr>
              <w:ind w:firstLine="540"/>
              <w:jc w:val="both"/>
            </w:pPr>
            <w:r w:rsidRPr="008B45D9">
              <w:t xml:space="preserve">Internet </w:t>
            </w:r>
            <w:proofErr w:type="spellStart"/>
            <w:r w:rsidRPr="008B45D9">
              <w:t>Information</w:t>
            </w:r>
            <w:proofErr w:type="spellEnd"/>
            <w:r w:rsidRPr="008B45D9">
              <w:t xml:space="preserve"> </w:t>
            </w:r>
            <w:proofErr w:type="spellStart"/>
            <w:r w:rsidRPr="008B45D9">
              <w:t>Services</w:t>
            </w:r>
            <w:proofErr w:type="spellEnd"/>
          </w:p>
        </w:tc>
      </w:tr>
      <w:tr w:rsidR="008B45D9" w:rsidRPr="008B45D9" w14:paraId="511A7BD7"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1EA71A4A" w14:textId="77777777" w:rsidR="008B45D9" w:rsidRPr="008B45D9" w:rsidRDefault="008B45D9" w:rsidP="008B45D9">
            <w:pPr>
              <w:ind w:firstLine="540"/>
              <w:jc w:val="both"/>
            </w:pPr>
            <w:r w:rsidRPr="008B45D9">
              <w:t>Programinės įrangos kūrimo įrankiai:</w:t>
            </w:r>
          </w:p>
        </w:tc>
        <w:tc>
          <w:tcPr>
            <w:tcW w:w="4649" w:type="dxa"/>
            <w:tcBorders>
              <w:top w:val="single" w:sz="4" w:space="0" w:color="000000"/>
              <w:left w:val="single" w:sz="4" w:space="0" w:color="000000"/>
              <w:bottom w:val="single" w:sz="4" w:space="0" w:color="000000"/>
              <w:right w:val="single" w:sz="4" w:space="0" w:color="000000"/>
            </w:tcBorders>
            <w:hideMark/>
          </w:tcPr>
          <w:p w14:paraId="0BA842E1" w14:textId="77777777" w:rsidR="008B45D9" w:rsidRPr="008B45D9" w:rsidRDefault="008B45D9" w:rsidP="008B45D9">
            <w:pPr>
              <w:ind w:firstLine="540"/>
              <w:jc w:val="both"/>
            </w:pPr>
            <w:r w:rsidRPr="008B45D9">
              <w:t>Microsoft Visual Studio</w:t>
            </w:r>
          </w:p>
        </w:tc>
      </w:tr>
    </w:tbl>
    <w:p w14:paraId="000DD99A" w14:textId="77777777" w:rsidR="008B45D9" w:rsidRPr="008B45D9" w:rsidRDefault="008B45D9" w:rsidP="00120D5E">
      <w:pPr>
        <w:numPr>
          <w:ilvl w:val="1"/>
          <w:numId w:val="26"/>
        </w:numPr>
        <w:jc w:val="both"/>
      </w:pPr>
      <w:r w:rsidRPr="008B45D9">
        <w:t>Duomenų bazės tarnybinė stotis</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3"/>
        <w:gridCol w:w="4647"/>
      </w:tblGrid>
      <w:tr w:rsidR="008B45D9" w:rsidRPr="008B45D9" w14:paraId="31B830AD"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2E618B0A" w14:textId="77777777" w:rsidR="008B45D9" w:rsidRPr="008B45D9" w:rsidRDefault="008B45D9" w:rsidP="008B45D9">
            <w:pPr>
              <w:ind w:firstLine="540"/>
              <w:jc w:val="both"/>
            </w:pPr>
            <w:r w:rsidRPr="008B45D9">
              <w:t>Programavimo kalbos:</w:t>
            </w:r>
          </w:p>
        </w:tc>
        <w:tc>
          <w:tcPr>
            <w:tcW w:w="4649" w:type="dxa"/>
            <w:tcBorders>
              <w:top w:val="single" w:sz="4" w:space="0" w:color="000000"/>
              <w:left w:val="single" w:sz="4" w:space="0" w:color="000000"/>
              <w:bottom w:val="single" w:sz="4" w:space="0" w:color="000000"/>
              <w:right w:val="single" w:sz="4" w:space="0" w:color="000000"/>
            </w:tcBorders>
            <w:hideMark/>
          </w:tcPr>
          <w:p w14:paraId="6F1FCAE9" w14:textId="77777777" w:rsidR="008B45D9" w:rsidRPr="008B45D9" w:rsidRDefault="008B45D9" w:rsidP="008B45D9">
            <w:pPr>
              <w:ind w:firstLine="540"/>
              <w:jc w:val="both"/>
            </w:pPr>
            <w:r w:rsidRPr="008B45D9">
              <w:t>SQL</w:t>
            </w:r>
          </w:p>
        </w:tc>
      </w:tr>
      <w:tr w:rsidR="008B45D9" w:rsidRPr="008B45D9" w14:paraId="63DBE17D"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02302336" w14:textId="77777777" w:rsidR="008B45D9" w:rsidRPr="008B45D9" w:rsidRDefault="008B45D9" w:rsidP="008B45D9">
            <w:pPr>
              <w:ind w:firstLine="540"/>
              <w:jc w:val="both"/>
            </w:pPr>
            <w:r w:rsidRPr="008B45D9">
              <w:t>Standartai:</w:t>
            </w:r>
          </w:p>
        </w:tc>
        <w:tc>
          <w:tcPr>
            <w:tcW w:w="4649" w:type="dxa"/>
            <w:tcBorders>
              <w:top w:val="single" w:sz="4" w:space="0" w:color="000000"/>
              <w:left w:val="single" w:sz="4" w:space="0" w:color="000000"/>
              <w:bottom w:val="single" w:sz="4" w:space="0" w:color="000000"/>
              <w:right w:val="single" w:sz="4" w:space="0" w:color="000000"/>
            </w:tcBorders>
            <w:hideMark/>
          </w:tcPr>
          <w:p w14:paraId="0BC3713D" w14:textId="77777777" w:rsidR="008B45D9" w:rsidRPr="008B45D9" w:rsidRDefault="008B45D9" w:rsidP="008B45D9">
            <w:pPr>
              <w:ind w:firstLine="540"/>
              <w:jc w:val="both"/>
            </w:pPr>
            <w:r w:rsidRPr="008B45D9">
              <w:t>T-SQL</w:t>
            </w:r>
          </w:p>
        </w:tc>
      </w:tr>
      <w:tr w:rsidR="008B45D9" w:rsidRPr="008B45D9" w14:paraId="5092FD83"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05666F51" w14:textId="77777777" w:rsidR="008B45D9" w:rsidRPr="008B45D9" w:rsidRDefault="008B45D9" w:rsidP="008B45D9">
            <w:pPr>
              <w:ind w:firstLine="540"/>
              <w:jc w:val="both"/>
            </w:pPr>
            <w:r w:rsidRPr="008B45D9">
              <w:t>Protokolai:</w:t>
            </w:r>
          </w:p>
        </w:tc>
        <w:tc>
          <w:tcPr>
            <w:tcW w:w="4649" w:type="dxa"/>
            <w:tcBorders>
              <w:top w:val="single" w:sz="4" w:space="0" w:color="000000"/>
              <w:left w:val="single" w:sz="4" w:space="0" w:color="000000"/>
              <w:bottom w:val="single" w:sz="4" w:space="0" w:color="000000"/>
              <w:right w:val="single" w:sz="4" w:space="0" w:color="000000"/>
            </w:tcBorders>
            <w:hideMark/>
          </w:tcPr>
          <w:p w14:paraId="45C924BB" w14:textId="77777777" w:rsidR="008B45D9" w:rsidRPr="008B45D9" w:rsidRDefault="008B45D9" w:rsidP="008B45D9">
            <w:pPr>
              <w:ind w:firstLine="540"/>
              <w:jc w:val="both"/>
            </w:pPr>
            <w:r w:rsidRPr="008B45D9">
              <w:t>HTTP, HTTPS</w:t>
            </w:r>
          </w:p>
        </w:tc>
      </w:tr>
      <w:tr w:rsidR="008B45D9" w:rsidRPr="008B45D9" w14:paraId="187168D4"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321473CA" w14:textId="77777777" w:rsidR="008B45D9" w:rsidRPr="008B45D9" w:rsidRDefault="008B45D9" w:rsidP="008B45D9">
            <w:pPr>
              <w:ind w:firstLine="540"/>
              <w:jc w:val="both"/>
            </w:pPr>
            <w:r w:rsidRPr="008B45D9">
              <w:t>Duomenų bazių valdymo sistemos:</w:t>
            </w:r>
          </w:p>
        </w:tc>
        <w:tc>
          <w:tcPr>
            <w:tcW w:w="4649" w:type="dxa"/>
            <w:tcBorders>
              <w:top w:val="single" w:sz="4" w:space="0" w:color="000000"/>
              <w:left w:val="single" w:sz="4" w:space="0" w:color="000000"/>
              <w:bottom w:val="single" w:sz="4" w:space="0" w:color="000000"/>
              <w:right w:val="single" w:sz="4" w:space="0" w:color="000000"/>
            </w:tcBorders>
            <w:hideMark/>
          </w:tcPr>
          <w:p w14:paraId="55AAE71F" w14:textId="77777777" w:rsidR="008B45D9" w:rsidRPr="008B45D9" w:rsidRDefault="008B45D9" w:rsidP="008B45D9">
            <w:pPr>
              <w:ind w:firstLine="540"/>
              <w:jc w:val="both"/>
            </w:pPr>
            <w:r w:rsidRPr="008B45D9">
              <w:t>MS SQL Server</w:t>
            </w:r>
          </w:p>
        </w:tc>
      </w:tr>
      <w:tr w:rsidR="008B45D9" w:rsidRPr="008B45D9" w14:paraId="3127D5AB" w14:textId="77777777" w:rsidTr="008B45D9">
        <w:tc>
          <w:tcPr>
            <w:tcW w:w="4985" w:type="dxa"/>
            <w:tcBorders>
              <w:top w:val="single" w:sz="4" w:space="0" w:color="000000"/>
              <w:left w:val="single" w:sz="4" w:space="0" w:color="000000"/>
              <w:bottom w:val="single" w:sz="4" w:space="0" w:color="000000"/>
              <w:right w:val="single" w:sz="4" w:space="0" w:color="000000"/>
            </w:tcBorders>
            <w:hideMark/>
          </w:tcPr>
          <w:p w14:paraId="51CF5B51" w14:textId="77777777" w:rsidR="008B45D9" w:rsidRPr="008B45D9" w:rsidRDefault="008B45D9" w:rsidP="008B45D9">
            <w:pPr>
              <w:ind w:firstLine="540"/>
              <w:jc w:val="both"/>
            </w:pPr>
            <w:r w:rsidRPr="008B45D9">
              <w:t>Duomenų bazės:</w:t>
            </w:r>
          </w:p>
        </w:tc>
        <w:tc>
          <w:tcPr>
            <w:tcW w:w="4649" w:type="dxa"/>
            <w:tcBorders>
              <w:top w:val="single" w:sz="4" w:space="0" w:color="000000"/>
              <w:left w:val="single" w:sz="4" w:space="0" w:color="000000"/>
              <w:bottom w:val="single" w:sz="4" w:space="0" w:color="000000"/>
              <w:right w:val="single" w:sz="4" w:space="0" w:color="000000"/>
            </w:tcBorders>
            <w:hideMark/>
          </w:tcPr>
          <w:p w14:paraId="1AEF0526" w14:textId="77777777" w:rsidR="008B45D9" w:rsidRPr="008B45D9" w:rsidRDefault="008B45D9" w:rsidP="008B45D9">
            <w:pPr>
              <w:ind w:firstLine="540"/>
              <w:jc w:val="both"/>
            </w:pPr>
            <w:proofErr w:type="spellStart"/>
            <w:r w:rsidRPr="008B45D9">
              <w:t>PedagoguRegistras</w:t>
            </w:r>
            <w:proofErr w:type="spellEnd"/>
          </w:p>
          <w:p w14:paraId="5EA54AA9" w14:textId="77777777" w:rsidR="008B45D9" w:rsidRPr="008B45D9" w:rsidRDefault="008B45D9" w:rsidP="008B45D9">
            <w:pPr>
              <w:ind w:firstLine="540"/>
              <w:jc w:val="both"/>
            </w:pPr>
            <w:proofErr w:type="spellStart"/>
            <w:r w:rsidRPr="008B45D9">
              <w:t>SmmKlasifikatoriai</w:t>
            </w:r>
            <w:proofErr w:type="spellEnd"/>
          </w:p>
          <w:p w14:paraId="062E16A8" w14:textId="77777777" w:rsidR="008B45D9" w:rsidRPr="008B45D9" w:rsidRDefault="008B45D9" w:rsidP="008B45D9">
            <w:pPr>
              <w:ind w:firstLine="540"/>
              <w:jc w:val="both"/>
            </w:pPr>
            <w:proofErr w:type="spellStart"/>
            <w:r w:rsidRPr="008B45D9">
              <w:t>NLog</w:t>
            </w:r>
            <w:proofErr w:type="spellEnd"/>
          </w:p>
        </w:tc>
      </w:tr>
    </w:tbl>
    <w:p w14:paraId="649C4A55" w14:textId="77777777" w:rsidR="008B45D9" w:rsidRDefault="008B45D9" w:rsidP="00104A6B">
      <w:pPr>
        <w:ind w:firstLine="540"/>
        <w:jc w:val="both"/>
      </w:pPr>
    </w:p>
    <w:p w14:paraId="599C7F28" w14:textId="77777777" w:rsidR="008B45D9" w:rsidRPr="009A0C8F" w:rsidRDefault="008B45D9" w:rsidP="00104A6B">
      <w:pPr>
        <w:ind w:firstLine="540"/>
        <w:jc w:val="both"/>
      </w:pPr>
    </w:p>
    <w:p w14:paraId="0D86B7B8" w14:textId="310315B5" w:rsidR="00104A6B" w:rsidRPr="009A0C8F" w:rsidRDefault="00104A6B" w:rsidP="00104A6B">
      <w:pPr>
        <w:jc w:val="center"/>
        <w:rPr>
          <w:b/>
        </w:rPr>
      </w:pPr>
      <w:r w:rsidRPr="009A0C8F">
        <w:rPr>
          <w:b/>
        </w:rPr>
        <w:t xml:space="preserve">III. </w:t>
      </w:r>
      <w:r w:rsidR="009649BB">
        <w:rPr>
          <w:b/>
        </w:rPr>
        <w:t>PR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61ABF5EC" w:rsidR="00104A6B" w:rsidRPr="009A0C8F" w:rsidRDefault="009649BB" w:rsidP="00136557">
      <w:pPr>
        <w:numPr>
          <w:ilvl w:val="1"/>
          <w:numId w:val="26"/>
        </w:numPr>
        <w:shd w:val="clear" w:color="auto" w:fill="FFFFFF"/>
        <w:tabs>
          <w:tab w:val="left" w:pos="1134"/>
        </w:tabs>
        <w:ind w:firstLine="736"/>
        <w:jc w:val="both"/>
        <w:rPr>
          <w:color w:val="000000"/>
        </w:rPr>
      </w:pPr>
      <w:r>
        <w:t>PR</w:t>
      </w:r>
      <w:r w:rsidR="006118BD">
        <w:t xml:space="preserve">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PR</w:t>
      </w:r>
      <w:r w:rsidR="00104A6B" w:rsidRPr="009A0C8F">
        <w:t xml:space="preserve"> </w:t>
      </w:r>
      <w:r w:rsidR="00104A6B" w:rsidRPr="009A0C8F">
        <w:rPr>
          <w:color w:val="000000"/>
        </w:rPr>
        <w:t xml:space="preserve">darbinėje ir </w:t>
      </w:r>
      <w:r>
        <w:rPr>
          <w:color w:val="000000"/>
        </w:rPr>
        <w:t>PR</w:t>
      </w:r>
      <w:r w:rsidR="00F55A10">
        <w:rPr>
          <w:color w:val="000000"/>
        </w:rPr>
        <w:t xml:space="preserve"> </w:t>
      </w:r>
      <w:r w:rsidR="00104A6B" w:rsidRPr="009A0C8F">
        <w:rPr>
          <w:color w:val="000000"/>
        </w:rPr>
        <w:t xml:space="preserve">testavimo aplinkose užtikrinimas; </w:t>
      </w:r>
    </w:p>
    <w:p w14:paraId="4B293B79" w14:textId="335951E2" w:rsidR="00104A6B" w:rsidRPr="009A0C8F" w:rsidRDefault="009649BB" w:rsidP="00136557">
      <w:pPr>
        <w:numPr>
          <w:ilvl w:val="1"/>
          <w:numId w:val="26"/>
        </w:numPr>
        <w:shd w:val="clear" w:color="auto" w:fill="FFFFFF"/>
        <w:tabs>
          <w:tab w:val="left" w:pos="1134"/>
        </w:tabs>
        <w:ind w:firstLine="736"/>
        <w:jc w:val="both"/>
        <w:rPr>
          <w:color w:val="000000"/>
        </w:rPr>
      </w:pPr>
      <w:r>
        <w:t>PR</w:t>
      </w:r>
      <w:r w:rsidR="006118BD">
        <w:t xml:space="preserve"> </w:t>
      </w:r>
      <w:r w:rsidR="00104A6B" w:rsidRPr="009A0C8F">
        <w:rPr>
          <w:color w:val="000000"/>
        </w:rPr>
        <w:t>programinės įrangos veikimo klaidų ir problemų, atsiradusių ne dėl perkančiosios organizacijos kaltės, šalinimas;</w:t>
      </w:r>
    </w:p>
    <w:p w14:paraId="07DB712B" w14:textId="04A712D0" w:rsidR="00104A6B" w:rsidRPr="009A0C8F" w:rsidRDefault="009649BB" w:rsidP="00136557">
      <w:pPr>
        <w:numPr>
          <w:ilvl w:val="1"/>
          <w:numId w:val="26"/>
        </w:numPr>
        <w:shd w:val="clear" w:color="auto" w:fill="FFFFFF"/>
        <w:tabs>
          <w:tab w:val="left" w:pos="1134"/>
        </w:tabs>
        <w:ind w:firstLine="709"/>
        <w:jc w:val="both"/>
        <w:rPr>
          <w:color w:val="000000"/>
        </w:rPr>
      </w:pPr>
      <w:r>
        <w:t>PR</w:t>
      </w:r>
      <w:r w:rsidR="006118BD">
        <w:t xml:space="preserve">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18896286" w:rsidR="00104A6B" w:rsidRPr="009A0C8F" w:rsidRDefault="009649BB" w:rsidP="00136557">
      <w:pPr>
        <w:numPr>
          <w:ilvl w:val="1"/>
          <w:numId w:val="26"/>
        </w:numPr>
        <w:shd w:val="clear" w:color="auto" w:fill="FFFFFF"/>
        <w:tabs>
          <w:tab w:val="left" w:pos="1134"/>
        </w:tabs>
        <w:ind w:firstLine="709"/>
        <w:jc w:val="both"/>
        <w:rPr>
          <w:color w:val="000000"/>
        </w:rPr>
      </w:pPr>
      <w:r>
        <w:t>PR</w:t>
      </w:r>
      <w:r w:rsidR="00104A6B" w:rsidRPr="009A0C8F">
        <w:t xml:space="preserve"> </w:t>
      </w:r>
      <w:r w:rsidR="00104A6B" w:rsidRPr="009A0C8F">
        <w:rPr>
          <w:color w:val="000000"/>
        </w:rPr>
        <w:t>programinės įrangos ir jos veikimui reikalingos techninės įrangos sąsajų tvarkymas;</w:t>
      </w:r>
    </w:p>
    <w:p w14:paraId="46892BC1" w14:textId="6995618E" w:rsidR="00104A6B" w:rsidRPr="009A0C8F" w:rsidRDefault="009649BB" w:rsidP="00136557">
      <w:pPr>
        <w:numPr>
          <w:ilvl w:val="1"/>
          <w:numId w:val="26"/>
        </w:numPr>
        <w:shd w:val="clear" w:color="auto" w:fill="FFFFFF"/>
        <w:tabs>
          <w:tab w:val="left" w:pos="1134"/>
        </w:tabs>
        <w:ind w:firstLine="709"/>
        <w:jc w:val="both"/>
      </w:pPr>
      <w:r>
        <w:t>PR</w:t>
      </w:r>
      <w:r w:rsidR="00104A6B" w:rsidRPr="009A0C8F">
        <w:t xml:space="preserve">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22CC6B3D" w:rsidR="00104A6B" w:rsidRPr="009A0C8F" w:rsidRDefault="009649BB" w:rsidP="00136557">
      <w:pPr>
        <w:numPr>
          <w:ilvl w:val="2"/>
          <w:numId w:val="26"/>
        </w:numPr>
        <w:tabs>
          <w:tab w:val="left" w:pos="1418"/>
        </w:tabs>
        <w:ind w:firstLine="709"/>
        <w:jc w:val="both"/>
      </w:pPr>
      <w:r>
        <w:t>PR</w:t>
      </w:r>
      <w:r w:rsidR="00104A6B" w:rsidRPr="009A0C8F">
        <w:t xml:space="preserve">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74945434" w14:textId="77777777" w:rsidR="0011795D" w:rsidRPr="0011795D" w:rsidRDefault="00104A6B" w:rsidP="0011795D">
      <w:pPr>
        <w:pStyle w:val="Sraopastraipa"/>
        <w:numPr>
          <w:ilvl w:val="1"/>
          <w:numId w:val="26"/>
        </w:numPr>
        <w:rPr>
          <w:rFonts w:eastAsia="Times New Roman"/>
          <w:color w:val="000000"/>
          <w:szCs w:val="20"/>
          <w:lang w:eastAsia="en-US"/>
        </w:rPr>
      </w:pPr>
      <w:r w:rsidRPr="0011795D">
        <w:rPr>
          <w:color w:val="000000"/>
        </w:rPr>
        <w:t>su perkančiąja organizacija suderinta tvarka atnaujintos programinės įrangos išeities kodų ir jų sukompiliuotų variantų bylų (failų</w:t>
      </w:r>
      <w:r w:rsidR="00311E4B" w:rsidRPr="0011795D">
        <w:rPr>
          <w:color w:val="000000"/>
        </w:rPr>
        <w:t>)</w:t>
      </w:r>
      <w:r w:rsidRPr="0011795D">
        <w:rPr>
          <w:color w:val="000000"/>
        </w:rPr>
        <w:t xml:space="preserve"> perdavimas (1 </w:t>
      </w:r>
      <w:proofErr w:type="spellStart"/>
      <w:r w:rsidRPr="0011795D">
        <w:rPr>
          <w:color w:val="000000"/>
        </w:rPr>
        <w:t>egz</w:t>
      </w:r>
      <w:proofErr w:type="spellEnd"/>
      <w:r w:rsidRPr="0011795D">
        <w:rPr>
          <w:color w:val="000000"/>
        </w:rPr>
        <w:t>).</w:t>
      </w:r>
      <w:r w:rsidR="0011795D" w:rsidRPr="0011795D">
        <w:rPr>
          <w:color w:val="000000"/>
        </w:rPr>
        <w:t xml:space="preserve"> </w:t>
      </w:r>
      <w:r w:rsidR="0011795D" w:rsidRPr="0011795D">
        <w:rPr>
          <w:rFonts w:eastAsia="Times New Roman"/>
          <w:color w:val="000000"/>
          <w:szCs w:val="20"/>
          <w:lang w:eastAsia="en-US"/>
        </w:rPr>
        <w:t>Išeities kodai pateikiami aiškiai struktūrizuotame formate su būtinomis instrukcijomis ir komentarais. Perduodami kodai ir vykdomieji failai yra laikomi perkančiosios organizacijos nuosavybe, o paslaugų teikėjas užtikrina, kad neturi jokių intelektinės nuosavybės pretenzijų dėl perduodamo turinio, įskaitant trečiųjų šalių intelektinės nuosavybės teises.</w:t>
      </w:r>
    </w:p>
    <w:p w14:paraId="33194E9B" w14:textId="796F3B3C" w:rsidR="00104A6B" w:rsidRPr="009A0C8F" w:rsidRDefault="00104A6B" w:rsidP="0011795D">
      <w:pPr>
        <w:shd w:val="clear" w:color="auto" w:fill="FFFFFF"/>
        <w:tabs>
          <w:tab w:val="left" w:pos="1134"/>
        </w:tabs>
        <w:ind w:left="710"/>
        <w:jc w:val="both"/>
        <w:rPr>
          <w:color w:val="000000"/>
        </w:rPr>
      </w:pPr>
    </w:p>
    <w:p w14:paraId="6CE95B89" w14:textId="77777777" w:rsidR="00104A6B" w:rsidRPr="009A0C8F" w:rsidRDefault="00104A6B" w:rsidP="00104A6B">
      <w:pPr>
        <w:tabs>
          <w:tab w:val="left" w:pos="1176"/>
        </w:tabs>
        <w:jc w:val="both"/>
      </w:pPr>
    </w:p>
    <w:p w14:paraId="12D34C0D" w14:textId="271FC06E" w:rsidR="0025179A" w:rsidRPr="009A0C8F" w:rsidRDefault="00104A6B" w:rsidP="0025179A">
      <w:pPr>
        <w:jc w:val="center"/>
        <w:rPr>
          <w:b/>
        </w:rPr>
      </w:pPr>
      <w:r w:rsidRPr="009A0C8F">
        <w:rPr>
          <w:b/>
        </w:rPr>
        <w:t xml:space="preserve">IV. </w:t>
      </w:r>
      <w:r w:rsidR="009649BB">
        <w:rPr>
          <w:b/>
        </w:rPr>
        <w:t>PR</w:t>
      </w:r>
      <w:r w:rsidR="0025179A" w:rsidRPr="009A0C8F">
        <w:rPr>
          <w:b/>
        </w:rPr>
        <w:t xml:space="preserve"> VYSTYMO PASLAUGOS APRAŠYMAS</w:t>
      </w:r>
    </w:p>
    <w:p w14:paraId="4F193F33" w14:textId="3384A02B" w:rsidR="0025179A" w:rsidRPr="009A0C8F" w:rsidRDefault="009649BB" w:rsidP="00A51FF9">
      <w:pPr>
        <w:pStyle w:val="Sraopastraipa"/>
        <w:numPr>
          <w:ilvl w:val="0"/>
          <w:numId w:val="26"/>
        </w:numPr>
        <w:shd w:val="clear" w:color="auto" w:fill="FFFFFF"/>
        <w:tabs>
          <w:tab w:val="left" w:pos="1134"/>
        </w:tabs>
        <w:jc w:val="both"/>
      </w:pPr>
      <w:r>
        <w:t>PR</w:t>
      </w:r>
      <w:r w:rsidR="0025179A" w:rsidRPr="009A0C8F">
        <w:t xml:space="preserve"> vystymo paslauga apima šiuos perkančiosios organizacijos užsakomuosius darbus:</w:t>
      </w:r>
    </w:p>
    <w:p w14:paraId="169A7560" w14:textId="0BB25D79"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9649BB">
        <w:t>PR</w:t>
      </w:r>
      <w:r w:rsidRPr="009A0C8F">
        <w:t xml:space="preserve"> </w:t>
      </w:r>
      <w:r w:rsidRPr="009A0C8F">
        <w:rPr>
          <w:color w:val="000000"/>
        </w:rPr>
        <w:t>funkcionalumo aprašo (poreikių specifikacijos) parengimas;</w:t>
      </w:r>
    </w:p>
    <w:p w14:paraId="3E95A24A" w14:textId="4B2F9F24" w:rsidR="0025179A" w:rsidRPr="009A0C8F" w:rsidRDefault="009649B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specifikacijos patikslinimo parengimas;</w:t>
      </w:r>
    </w:p>
    <w:p w14:paraId="0D7FD67D" w14:textId="7AD662FE" w:rsidR="0025179A" w:rsidRPr="009A0C8F" w:rsidRDefault="009649B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 xml:space="preserve">projekto patikslinimo parengimas;  </w:t>
      </w:r>
    </w:p>
    <w:p w14:paraId="7C543892" w14:textId="6706A415" w:rsidR="0025179A" w:rsidRPr="009A0C8F" w:rsidRDefault="009649B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pokyčių konstravimas (programavimas, programinės įrangos išbandymas) ir realizavimas;</w:t>
      </w:r>
    </w:p>
    <w:p w14:paraId="460B3DF6" w14:textId="7BD8DD4C" w:rsidR="0025179A" w:rsidRPr="009A0C8F" w:rsidRDefault="009649B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 xml:space="preserve">naudotojų mokymas (modifikuotos programinės įrangos pristatymas naudotojams); </w:t>
      </w:r>
    </w:p>
    <w:p w14:paraId="3854E933" w14:textId="5CF70F6C" w:rsidR="0025179A" w:rsidRPr="009A0C8F" w:rsidRDefault="009649B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techninių dokumentų atnaujinimas ir (arba) naujų parengimas</w:t>
      </w:r>
      <w:r w:rsidR="00BD274A" w:rsidRPr="00BD274A">
        <w:rPr>
          <w:color w:val="000000"/>
        </w:rPr>
        <w:t xml:space="preserve">, kurie tampa perkančiosios organizacijos nuosavybe. Paslaugų teikėjas užtikrina, kad dokumentų turinys </w:t>
      </w:r>
      <w:r w:rsidR="00BD274A" w:rsidRPr="00BD274A">
        <w:rPr>
          <w:color w:val="000000"/>
        </w:rPr>
        <w:lastRenderedPageBreak/>
        <w:t>nepažeidžia trečiųjų šalių intelektinės nuosavybės teisių ir kad jis turi teisę perduoti šiuos dokumentus perkančiajai organizacijai</w:t>
      </w:r>
      <w:r w:rsidR="0025179A" w:rsidRPr="009A0C8F">
        <w:rPr>
          <w:color w:val="000000"/>
        </w:rPr>
        <w:t>;</w:t>
      </w:r>
    </w:p>
    <w:p w14:paraId="2C831368" w14:textId="1F0FA6D4" w:rsidR="0025179A" w:rsidRPr="009A0C8F" w:rsidRDefault="009649B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programinės įrangos vystymas diegiant didesnį duomenų saugumą atitinkančias duomenų keitimosi su kitais registrais ir informacinėmis sistemomis technologijas</w:t>
      </w:r>
      <w:r w:rsidR="005B5E93" w:rsidRPr="005B5E93">
        <w:rPr>
          <w:color w:val="000000"/>
        </w:rPr>
        <w:t>, laikantis galiojančių saugumo standartų, tokių kaip GDPR, ISO 27001 ir kitų nacionalinių bei tarptautinių teisės aktų reikalavimų. Įrangos diegimo ir testavimo procesas turi būti atliktas pagal aukštus kokybės ir saugumo standartus. Įrangos ir jos diegimo procesas, testavimo rezultatai gali būti vertinami vidiniu arba nepriklausomu auditu, siekiant užtikrinti atitiktį nustatytiems saugumo ir funkcionalumo standartams</w:t>
      </w:r>
      <w:r w:rsidR="0025179A" w:rsidRPr="009A0C8F">
        <w:rPr>
          <w:color w:val="000000"/>
        </w:rPr>
        <w:t>;</w:t>
      </w:r>
    </w:p>
    <w:p w14:paraId="3B8C5A5E" w14:textId="1F0809F3" w:rsidR="0025179A" w:rsidRPr="009A0C8F" w:rsidRDefault="009649BB" w:rsidP="00A51FF9">
      <w:pPr>
        <w:numPr>
          <w:ilvl w:val="1"/>
          <w:numId w:val="26"/>
        </w:numPr>
        <w:shd w:val="clear" w:color="auto" w:fill="FFFFFF"/>
        <w:tabs>
          <w:tab w:val="left" w:pos="1078"/>
          <w:tab w:val="left" w:pos="1134"/>
        </w:tabs>
        <w:ind w:firstLine="736"/>
        <w:jc w:val="both"/>
        <w:rPr>
          <w:color w:val="000000"/>
        </w:rPr>
      </w:pPr>
      <w:r>
        <w:t>PR</w:t>
      </w:r>
      <w:r w:rsidR="0025179A" w:rsidRPr="009A0C8F">
        <w:t xml:space="preserve"> </w:t>
      </w:r>
      <w:r w:rsidR="0025179A" w:rsidRPr="009A0C8F">
        <w:rPr>
          <w:color w:val="000000"/>
        </w:rPr>
        <w:t xml:space="preserve">suderinamumo darbų atlikimas, </w:t>
      </w:r>
      <w:r w:rsidR="00066D25" w:rsidRPr="00066D25">
        <w:rPr>
          <w:color w:val="000000"/>
        </w:rPr>
        <w:t xml:space="preserve">įskaitant bet neapsiribojant duomenų migravimu, testavimu, naudotojų apmokymu, </w:t>
      </w:r>
      <w:r w:rsidR="0025179A" w:rsidRPr="009A0C8F">
        <w:rPr>
          <w:color w:val="000000"/>
        </w:rPr>
        <w:t>keičiant tarnybines stotis ir pereinant prie aukštesnių duomenų bazių valdymo sistemos, operacinių sistemų, aplikacijų serverio programinės įrangos versijų;</w:t>
      </w:r>
    </w:p>
    <w:p w14:paraId="12739CF8" w14:textId="51C68785"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9649BB">
        <w:t>PR</w:t>
      </w:r>
      <w:r w:rsidRPr="009A0C8F">
        <w:t xml:space="preserve"> modifikuotos programinės įrangos išeities kodų ir jų sukompiliuotų variantų bylų (failų) bei parengtų </w:t>
      </w:r>
      <w:r w:rsidR="009649BB">
        <w:t>PR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r w:rsidR="006815AD">
        <w:t>.</w:t>
      </w:r>
      <w:r w:rsidR="006548DD" w:rsidRPr="006548DD">
        <w:t xml:space="preserve"> *.</w:t>
      </w:r>
      <w:proofErr w:type="spellStart"/>
      <w:r w:rsidR="006548DD" w:rsidRPr="006548DD">
        <w:t>pdf</w:t>
      </w:r>
      <w:proofErr w:type="spellEnd"/>
      <w:r w:rsidR="006548DD" w:rsidRPr="006548DD">
        <w:t xml:space="preserve"> formato failai gali būti perduodami tik papildomai. Perduodami duomenys turi būti aiškiai dokumentuoti (pvz., su komentarais, „</w:t>
      </w:r>
      <w:proofErr w:type="spellStart"/>
      <w:r w:rsidR="006548DD" w:rsidRPr="006548DD">
        <w:t>Markdown</w:t>
      </w:r>
      <w:proofErr w:type="spellEnd"/>
      <w:r w:rsidR="006548DD" w:rsidRPr="006548DD">
        <w:t>“ dokumentacija, HTML/CSS statinės svetainės), struktūrizuoti ir organizuoti, o jų turinys – atitikti perkančiosios organizacijos reikalavimus. Visi perduoti duomenys ir dokumentai tampa perkančiosios organizacijos nuosavybe</w:t>
      </w:r>
      <w:r w:rsidRPr="009A0C8F">
        <w:t>;</w:t>
      </w:r>
    </w:p>
    <w:p w14:paraId="7B65FE22" w14:textId="77777777" w:rsidR="0025179A" w:rsidRDefault="0025179A" w:rsidP="00104A6B">
      <w:pPr>
        <w:tabs>
          <w:tab w:val="left" w:pos="924"/>
        </w:tabs>
        <w:jc w:val="center"/>
        <w:rPr>
          <w:b/>
        </w:rPr>
      </w:pPr>
    </w:p>
    <w:p w14:paraId="4F697EB2" w14:textId="10C700AE" w:rsidR="00104A6B" w:rsidRPr="009A0C8F" w:rsidRDefault="009C716D" w:rsidP="00104A6B">
      <w:pPr>
        <w:tabs>
          <w:tab w:val="left" w:pos="924"/>
        </w:tabs>
        <w:jc w:val="center"/>
        <w:rPr>
          <w:b/>
        </w:rPr>
      </w:pPr>
      <w:r>
        <w:rPr>
          <w:b/>
        </w:rPr>
        <w:t xml:space="preserve">V. </w:t>
      </w:r>
      <w:r w:rsidR="009649BB">
        <w:rPr>
          <w:b/>
        </w:rPr>
        <w:t>PR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2D21CF57"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w:t>
      </w:r>
      <w:r w:rsidR="00105318" w:rsidRPr="00105318">
        <w:t>, nurodo jų kontaktinius duomenis</w:t>
      </w:r>
      <w:r w:rsidRPr="009A0C8F">
        <w:t xml:space="preserve"> ir apie tai raštu per 5 darbo dienas nuo sutarties įsigaliojimo datos  informuoja vienas kitą.</w:t>
      </w:r>
    </w:p>
    <w:p w14:paraId="13DDC6AD" w14:textId="032DEE43"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9649BB">
        <w:t>PR</w:t>
      </w:r>
      <w:r w:rsidRPr="009A0C8F">
        <w:t xml:space="preserve"> aprašančių dokumentų bylas (failus). </w:t>
      </w:r>
    </w:p>
    <w:p w14:paraId="3E1B9EA9" w14:textId="3540A59B" w:rsidR="00104A6B" w:rsidRPr="009A0C8F" w:rsidRDefault="009649BB" w:rsidP="00A51FF9">
      <w:pPr>
        <w:numPr>
          <w:ilvl w:val="0"/>
          <w:numId w:val="26"/>
        </w:numPr>
        <w:shd w:val="clear" w:color="auto" w:fill="FFFFFF"/>
        <w:tabs>
          <w:tab w:val="left" w:pos="1134"/>
        </w:tabs>
        <w:ind w:firstLine="736"/>
        <w:jc w:val="both"/>
        <w:rPr>
          <w:color w:val="000000"/>
        </w:rPr>
      </w:pPr>
      <w:r>
        <w:t>PR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w:t>
      </w:r>
      <w:r w:rsidR="005D7EEF" w:rsidRPr="005D7EEF">
        <w:rPr>
          <w:color w:val="000000"/>
        </w:rPr>
        <w:t>atitinkanti duomenų saugos ir kibernetinio saugumo reikalavimus</w:t>
      </w:r>
      <w:r w:rsidR="005D7EEF">
        <w:rPr>
          <w:color w:val="000000"/>
        </w:rPr>
        <w:t>,</w:t>
      </w:r>
      <w:r w:rsidR="005D7EEF" w:rsidRPr="005D7EEF">
        <w:rPr>
          <w:color w:val="000000"/>
        </w:rPr>
        <w:t xml:space="preserve"> </w:t>
      </w:r>
      <w:r w:rsidR="00104A6B" w:rsidRPr="009A0C8F">
        <w:rPr>
          <w:color w:val="000000"/>
        </w:rPr>
        <w:t>kurioje:</w:t>
      </w:r>
    </w:p>
    <w:p w14:paraId="44A27BA2" w14:textId="0B7C3E90"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w:t>
      </w:r>
      <w:r w:rsidR="00264D46">
        <w:rPr>
          <w:color w:val="000000"/>
        </w:rPr>
        <w:t>5</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26C3BBEC"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9649BB">
        <w:t>PR</w:t>
      </w:r>
      <w:r w:rsidRPr="009A0C8F">
        <w:t xml:space="preserve"> neveikimą, Paslaugos teikėjas perkančiosios organizacijos atsakingus asmenis apie tai informuoja nedelsiant bet kuriuo techninės specifikacijos </w:t>
      </w:r>
      <w:r w:rsidR="0022590F">
        <w:t>2</w:t>
      </w:r>
      <w:r w:rsidR="00DD1708">
        <w:t>0</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1D06575F"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9649BB">
        <w:t>PR</w:t>
      </w:r>
      <w:r w:rsidRPr="009A0C8F">
        <w:t xml:space="preserve">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17529BED" w:rsidR="00104A6B" w:rsidRPr="009A0C8F" w:rsidRDefault="009649BB" w:rsidP="00A51FF9">
      <w:pPr>
        <w:numPr>
          <w:ilvl w:val="0"/>
          <w:numId w:val="26"/>
        </w:numPr>
        <w:shd w:val="clear" w:color="auto" w:fill="FFFFFF"/>
        <w:tabs>
          <w:tab w:val="left" w:pos="1134"/>
        </w:tabs>
        <w:ind w:firstLine="736"/>
        <w:jc w:val="both"/>
      </w:pPr>
      <w:r>
        <w:t>PR</w:t>
      </w:r>
      <w:r w:rsidR="00104A6B" w:rsidRPr="009A0C8F">
        <w:t xml:space="preserve">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PR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PR</w:t>
      </w:r>
      <w:r w:rsidR="00104A6B" w:rsidRPr="009A0C8F">
        <w:t xml:space="preserve"> </w:t>
      </w:r>
      <w:r w:rsidR="00104A6B" w:rsidRPr="009A0C8F">
        <w:rPr>
          <w:color w:val="000000"/>
        </w:rPr>
        <w:t xml:space="preserve">neveikimas sukelia grėsmę perkančiosios organizacijos funkcijų </w:t>
      </w:r>
      <w:r w:rsidR="00104A6B" w:rsidRPr="009A0C8F">
        <w:rPr>
          <w:color w:val="000000"/>
        </w:rPr>
        <w:lastRenderedPageBreak/>
        <w:t>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3E1B0171" w:rsidR="00104A6B" w:rsidRDefault="00104A6B" w:rsidP="00A51FF9">
      <w:pPr>
        <w:numPr>
          <w:ilvl w:val="0"/>
          <w:numId w:val="26"/>
        </w:numPr>
        <w:shd w:val="clear" w:color="auto" w:fill="FFFFFF"/>
        <w:tabs>
          <w:tab w:val="left" w:pos="1134"/>
        </w:tabs>
        <w:ind w:firstLine="736"/>
        <w:jc w:val="both"/>
      </w:pPr>
      <w:r w:rsidRPr="009A0C8F">
        <w:t>Paslaugos teikėjas per einamojo ketvirčio pirmąją darbo savaitę</w:t>
      </w:r>
      <w:r w:rsidR="00D0113A">
        <w:t xml:space="preserve"> </w:t>
      </w:r>
      <w:r w:rsidRPr="009A0C8F">
        <w:t xml:space="preserve">pateikia </w:t>
      </w:r>
      <w:r w:rsidR="009649BB">
        <w:t>PR</w:t>
      </w:r>
      <w:r w:rsidRPr="009A0C8F">
        <w:t xml:space="preserve"> paslaugos teikimo už praeitą ketvirtį ataskaitą </w:t>
      </w:r>
      <w:r w:rsidR="00D0113A">
        <w:t>arba po įvykdyto užsakymo</w:t>
      </w:r>
      <w:r w:rsidR="00D0113A" w:rsidRPr="009A0C8F">
        <w:t xml:space="preserve"> </w:t>
      </w:r>
      <w:r w:rsidR="00D0113A">
        <w:t xml:space="preserve"> pateikia </w:t>
      </w:r>
      <w:r w:rsidR="008A73D5">
        <w:t>darbų įvykdymo ataskaitą</w:t>
      </w:r>
      <w:r w:rsidR="00D0113A">
        <w:t xml:space="preserve"> </w:t>
      </w:r>
      <w:r w:rsidRPr="009A0C8F">
        <w:t>(forma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lastRenderedPageBreak/>
              <w:t>I</w:t>
            </w:r>
          </w:p>
        </w:tc>
        <w:tc>
          <w:tcPr>
            <w:tcW w:w="3822" w:type="dxa"/>
            <w:shd w:val="clear" w:color="auto" w:fill="auto"/>
          </w:tcPr>
          <w:p w14:paraId="05863775" w14:textId="008CF691" w:rsidR="00104A6B" w:rsidRPr="009A0C8F" w:rsidRDefault="009649BB" w:rsidP="00104A6B">
            <w:r>
              <w:t>PR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t xml:space="preserve">II </w:t>
            </w:r>
          </w:p>
        </w:tc>
        <w:tc>
          <w:tcPr>
            <w:tcW w:w="3822" w:type="dxa"/>
            <w:shd w:val="clear" w:color="auto" w:fill="auto"/>
          </w:tcPr>
          <w:p w14:paraId="35EDBBF6" w14:textId="1F786BB8" w:rsidR="00104A6B" w:rsidRPr="009A0C8F" w:rsidRDefault="00104A6B" w:rsidP="00104A6B">
            <w:r w:rsidRPr="009A0C8F">
              <w:t xml:space="preserve">Nuolat pasikartojantys </w:t>
            </w:r>
            <w:r w:rsidR="009649BB">
              <w:t>PR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0793533D" w:rsidR="00104A6B" w:rsidRPr="009A0C8F" w:rsidRDefault="009649BB" w:rsidP="00104A6B">
            <w:r>
              <w:t>PR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PR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xml:space="preserve">) datos. Konkretų konsultacijos </w:t>
            </w:r>
            <w:r w:rsidRPr="009A0C8F">
              <w:lastRenderedPageBreak/>
              <w:t>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lastRenderedPageBreak/>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53F47322" w:rsidR="00F519B1" w:rsidRDefault="000F4F08" w:rsidP="00104A6B">
            <w:pPr>
              <w:jc w:val="both"/>
            </w:pPr>
            <w:r>
              <w:t xml:space="preserve">Perkančioji organizacija </w:t>
            </w:r>
            <w:r w:rsidR="009649BB">
              <w:t>PR</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6D8476A9" w:rsidR="00B16E43" w:rsidRPr="009A0C8F" w:rsidRDefault="009649BB" w:rsidP="00104A6B">
            <w:pPr>
              <w:jc w:val="both"/>
            </w:pPr>
            <w:r>
              <w:t>PR</w:t>
            </w:r>
            <w:r w:rsidR="00B16E43" w:rsidRPr="00B16E43">
              <w:t xml:space="preserve"> modifikuota programinė įranga, pasibaigus jos garantijos laikui, tampa </w:t>
            </w:r>
            <w:r>
              <w:t>PR</w:t>
            </w:r>
            <w:r w:rsidR="00B16E43" w:rsidRPr="00B16E43">
              <w:t xml:space="preserve"> eksploatavimo priežiūros objektu</w:t>
            </w:r>
          </w:p>
        </w:tc>
      </w:tr>
    </w:tbl>
    <w:p w14:paraId="44767A4D" w14:textId="798C3765"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9649BB">
        <w:t>PR</w:t>
      </w:r>
      <w:r w:rsidRPr="009A0C8F">
        <w:t xml:space="preserve"> tvarkomų fizinio asmens duomenų tvarkytojas ir vadovaujasi teisės aktų, reglamentuojančių fizinio asmens duomenų tvarkymą, reikalavimais.</w:t>
      </w:r>
    </w:p>
    <w:p w14:paraId="103EBE0F" w14:textId="1B2BEE49" w:rsidR="00104A6B" w:rsidRPr="009A0C8F" w:rsidRDefault="009649BB" w:rsidP="00A51FF9">
      <w:pPr>
        <w:numPr>
          <w:ilvl w:val="0"/>
          <w:numId w:val="26"/>
        </w:numPr>
        <w:shd w:val="clear" w:color="auto" w:fill="FFFFFF"/>
        <w:tabs>
          <w:tab w:val="left" w:pos="1134"/>
        </w:tabs>
        <w:ind w:firstLine="736"/>
        <w:jc w:val="both"/>
      </w:pPr>
      <w:r>
        <w:t>PR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5734805A"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9649BB">
        <w:t>PR</w:t>
      </w:r>
      <w:r w:rsidRPr="009A0C8F">
        <w:t xml:space="preserve"> </w:t>
      </w:r>
      <w:r w:rsidRPr="009A0C8F">
        <w:rPr>
          <w:color w:val="000000"/>
        </w:rPr>
        <w:t>programinę įrangą;</w:t>
      </w:r>
    </w:p>
    <w:p w14:paraId="7BBD5D28" w14:textId="142CF1D0"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9649BB">
        <w:t>PR</w:t>
      </w:r>
      <w:r w:rsidRPr="009A0C8F">
        <w:t xml:space="preserve"> </w:t>
      </w:r>
      <w:r w:rsidRPr="009A0C8F">
        <w:rPr>
          <w:color w:val="000000"/>
        </w:rPr>
        <w:t>veikimui;</w:t>
      </w:r>
    </w:p>
    <w:p w14:paraId="2AABBEF8" w14:textId="78CC8D18"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9649BB">
        <w:t>PR</w:t>
      </w:r>
      <w:r w:rsidRPr="009A0C8F">
        <w:t xml:space="preserve"> </w:t>
      </w:r>
      <w:r w:rsidRPr="009A0C8F">
        <w:rPr>
          <w:color w:val="000000"/>
        </w:rPr>
        <w:t xml:space="preserve">realizavimo priemones kitomis, nei nurodyta šios techninės specifikacijos </w:t>
      </w:r>
      <w:r w:rsidR="00A533F9" w:rsidRPr="00A533F9">
        <w:rPr>
          <w:color w:val="000000"/>
        </w:rPr>
        <w:t>1</w:t>
      </w:r>
      <w:r w:rsidR="00DD1708">
        <w:rPr>
          <w:color w:val="000000"/>
        </w:rPr>
        <w:t>0</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50C1B3A4" w:rsidR="00104A6B" w:rsidRPr="009A0C8F" w:rsidRDefault="009649BB" w:rsidP="00A51FF9">
      <w:pPr>
        <w:numPr>
          <w:ilvl w:val="0"/>
          <w:numId w:val="26"/>
        </w:numPr>
        <w:shd w:val="clear" w:color="auto" w:fill="FFFFFF"/>
        <w:tabs>
          <w:tab w:val="left" w:pos="1134"/>
        </w:tabs>
        <w:ind w:firstLine="736"/>
        <w:jc w:val="both"/>
      </w:pPr>
      <w:r>
        <w:t>PR</w:t>
      </w:r>
      <w:r w:rsidR="00104A6B" w:rsidRPr="009A0C8F">
        <w:t xml:space="preserve">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32157E16"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9649BB">
        <w:t>PR</w:t>
      </w:r>
      <w:r w:rsidRPr="009A0C8F">
        <w:t xml:space="preserve"> sistemos</w:t>
      </w:r>
      <w:r w:rsidRPr="009A0C8F">
        <w:rPr>
          <w:color w:val="000000"/>
          <w:spacing w:val="-2"/>
        </w:rPr>
        <w:t xml:space="preserve"> programinę įrangą;</w:t>
      </w:r>
    </w:p>
    <w:p w14:paraId="0885357E" w14:textId="7D92CDDB"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9649BB">
        <w:t>PR</w:t>
      </w:r>
      <w:r w:rsidRPr="009A0C8F">
        <w:t xml:space="preserve">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03F04FC9"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9649BB">
        <w:t>PR</w:t>
      </w:r>
      <w:r w:rsidRPr="009A0C8F">
        <w:t xml:space="preserve">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23A9008B" w:rsidR="00104A6B" w:rsidRPr="009A0C8F" w:rsidRDefault="00104A6B" w:rsidP="00104A6B">
      <w:pPr>
        <w:tabs>
          <w:tab w:val="left" w:pos="924"/>
        </w:tabs>
        <w:jc w:val="center"/>
        <w:rPr>
          <w:b/>
        </w:rPr>
      </w:pPr>
      <w:r w:rsidRPr="009A0C8F">
        <w:rPr>
          <w:b/>
        </w:rPr>
        <w:t xml:space="preserve">VI. REIKALAVIMAI </w:t>
      </w:r>
      <w:r w:rsidR="009649BB">
        <w:rPr>
          <w:b/>
        </w:rPr>
        <w:t>PR</w:t>
      </w:r>
      <w:r w:rsidRPr="009A0C8F">
        <w:rPr>
          <w:b/>
        </w:rPr>
        <w:t xml:space="preserve"> PRIEŽIŪROS IR VYSTYMO PASLAUGŲ TEIKIMUI</w:t>
      </w:r>
    </w:p>
    <w:p w14:paraId="0B7E5591" w14:textId="36689E21" w:rsidR="00104A6B" w:rsidRPr="009A0C8F" w:rsidRDefault="009649BB" w:rsidP="00A51FF9">
      <w:pPr>
        <w:numPr>
          <w:ilvl w:val="0"/>
          <w:numId w:val="26"/>
        </w:numPr>
        <w:shd w:val="clear" w:color="auto" w:fill="FFFFFF"/>
        <w:tabs>
          <w:tab w:val="left" w:pos="1134"/>
        </w:tabs>
        <w:ind w:firstLine="736"/>
        <w:jc w:val="both"/>
      </w:pPr>
      <w:r>
        <w:t>PR</w:t>
      </w:r>
      <w:r w:rsidR="00104A6B" w:rsidRPr="009A0C8F">
        <w:t xml:space="preserve"> priežiūros ir vystymo paslaugų teikimo metu turi būti laikomasi reikalavimų, nurodytų šiuose teisės aktuose ir dokumentuose:</w:t>
      </w:r>
    </w:p>
    <w:p w14:paraId="08A54A49" w14:textId="68D7C2FB"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9649BB">
        <w:t>PR</w:t>
      </w:r>
      <w:r w:rsidRPr="009A0C8F">
        <w:t xml:space="preserve"> nuostatuose;</w:t>
      </w:r>
    </w:p>
    <w:p w14:paraId="481F853F" w14:textId="595703AC" w:rsidR="00104A6B" w:rsidRPr="009A0C8F" w:rsidRDefault="009649BB" w:rsidP="00A51FF9">
      <w:pPr>
        <w:numPr>
          <w:ilvl w:val="1"/>
          <w:numId w:val="26"/>
        </w:numPr>
        <w:shd w:val="clear" w:color="auto" w:fill="FFFFFF"/>
        <w:tabs>
          <w:tab w:val="left" w:pos="1134"/>
        </w:tabs>
        <w:ind w:firstLine="709"/>
        <w:jc w:val="both"/>
      </w:pPr>
      <w:r>
        <w:t>PR</w:t>
      </w:r>
      <w:r w:rsidR="00104A6B" w:rsidRPr="009A0C8F">
        <w:t xml:space="preserve"> saugos nuostatuose;</w:t>
      </w:r>
    </w:p>
    <w:p w14:paraId="7C479A99" w14:textId="528986E9"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9649BB">
        <w:t>PR</w:t>
      </w:r>
      <w:r w:rsidRPr="009A0C8F">
        <w:t xml:space="preserve"> specifikacijose;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2"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2"/>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550C499B" w:rsidR="00104A6B" w:rsidRPr="009A0C8F" w:rsidRDefault="009649BB" w:rsidP="00A51FF9">
      <w:pPr>
        <w:numPr>
          <w:ilvl w:val="1"/>
          <w:numId w:val="26"/>
        </w:numPr>
        <w:shd w:val="clear" w:color="auto" w:fill="FFFFFF"/>
        <w:tabs>
          <w:tab w:val="left" w:pos="1418"/>
        </w:tabs>
        <w:ind w:firstLine="708"/>
        <w:jc w:val="both"/>
      </w:pPr>
      <w:r>
        <w:t>PR</w:t>
      </w:r>
      <w:r w:rsidR="00104A6B" w:rsidRPr="009A0C8F">
        <w:t xml:space="preserve"> dokumentuose (techniniame apraše, duomenų bazių lentelių ir jų struktūros aprašuose, naudotojų ir administratorių vadovuose ir kt. dokumentuose);</w:t>
      </w:r>
    </w:p>
    <w:p w14:paraId="2E597ABA" w14:textId="22A74D5B" w:rsidR="00104A6B" w:rsidRPr="009A0C8F" w:rsidRDefault="009649BB" w:rsidP="00A51FF9">
      <w:pPr>
        <w:numPr>
          <w:ilvl w:val="1"/>
          <w:numId w:val="26"/>
        </w:numPr>
        <w:shd w:val="clear" w:color="auto" w:fill="FFFFFF"/>
        <w:tabs>
          <w:tab w:val="left" w:pos="1418"/>
        </w:tabs>
        <w:ind w:firstLine="709"/>
        <w:jc w:val="both"/>
      </w:pPr>
      <w:r>
        <w:t>PR</w:t>
      </w:r>
      <w:r w:rsidR="00104A6B" w:rsidRPr="009A0C8F">
        <w:t xml:space="preserve"> eksploatavimo priežiūros ir programinė įrangos vystymo paslaugų pirkimo</w:t>
      </w:r>
      <w:r w:rsidR="00A226F1">
        <w:t xml:space="preserve"> techninėje specifikacijoje;</w:t>
      </w:r>
    </w:p>
    <w:p w14:paraId="39C5EDBD" w14:textId="77777777" w:rsidR="00104A6B" w:rsidRPr="009A0C8F" w:rsidRDefault="00104A6B" w:rsidP="00A51FF9">
      <w:pPr>
        <w:numPr>
          <w:ilvl w:val="1"/>
          <w:numId w:val="26"/>
        </w:numPr>
        <w:shd w:val="clear" w:color="auto" w:fill="FFFFFF"/>
        <w:tabs>
          <w:tab w:val="left" w:pos="1418"/>
        </w:tabs>
        <w:ind w:firstLine="709"/>
        <w:jc w:val="both"/>
      </w:pPr>
      <w:r w:rsidRPr="009A0C8F">
        <w:lastRenderedPageBreak/>
        <w:t>kituose informacinių technologijų panaudojimą ir duomenų saugą reglamentuojančiuose teisės aktuose ir dokumentuose.</w:t>
      </w: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59C9C8AE" w:rsidR="00104A6B" w:rsidRPr="00572114" w:rsidRDefault="006E5629" w:rsidP="00104A6B">
      <w:pPr>
        <w:jc w:val="center"/>
        <w:rPr>
          <w:b/>
        </w:rPr>
      </w:pPr>
      <w:r>
        <w:rPr>
          <w:b/>
        </w:rPr>
        <w:t>PEDAGOGŲ</w:t>
      </w:r>
      <w:r w:rsidR="00E6696F">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7284C237" w:rsidR="00104A6B" w:rsidRPr="005D56A5" w:rsidRDefault="00104A6B" w:rsidP="00104A6B">
      <w:pPr>
        <w:jc w:val="both"/>
      </w:pPr>
      <w:r w:rsidRPr="005D56A5">
        <w:t>*Vadovaujantis darbų, išvardytų 20__ m. ____________  d. sutarties Nr.  _____________________  __ priedo „</w:t>
      </w:r>
      <w:r w:rsidR="006E5629">
        <w:t>Pedagogų</w:t>
      </w:r>
      <w:r w:rsidR="00E6696F">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FA7B" w14:textId="77777777" w:rsidR="0023240E" w:rsidRDefault="0023240E">
      <w:r>
        <w:separator/>
      </w:r>
    </w:p>
  </w:endnote>
  <w:endnote w:type="continuationSeparator" w:id="0">
    <w:p w14:paraId="347AED81" w14:textId="77777777" w:rsidR="0023240E" w:rsidRDefault="0023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D093" w14:textId="77777777" w:rsidR="0023240E" w:rsidRDefault="0023240E">
      <w:r>
        <w:separator/>
      </w:r>
    </w:p>
  </w:footnote>
  <w:footnote w:type="continuationSeparator" w:id="0">
    <w:p w14:paraId="3E8F3C06" w14:textId="77777777" w:rsidR="0023240E" w:rsidRDefault="0023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4C95FE2"/>
    <w:multiLevelType w:val="multilevel"/>
    <w:tmpl w:val="41E41DEC"/>
    <w:lvl w:ilvl="0">
      <w:start w:val="5"/>
      <w:numFmt w:val="decimal"/>
      <w:lvlText w:val="%1."/>
      <w:lvlJc w:val="left"/>
      <w:pPr>
        <w:ind w:left="720" w:hanging="360"/>
      </w:pPr>
    </w:lvl>
    <w:lvl w:ilvl="1">
      <w:start w:val="1"/>
      <w:numFmt w:val="decimal"/>
      <w:isLgl/>
      <w:lvlText w:val="%1.%2."/>
      <w:lvlJc w:val="left"/>
      <w:pPr>
        <w:ind w:left="720" w:hanging="360"/>
      </w:pPr>
      <w:rPr>
        <w:rFonts w:eastAsia="Arial Unicode MS"/>
      </w:rPr>
    </w:lvl>
    <w:lvl w:ilvl="2">
      <w:start w:val="1"/>
      <w:numFmt w:val="decimal"/>
      <w:isLgl/>
      <w:lvlText w:val="%1.%2.%3."/>
      <w:lvlJc w:val="left"/>
      <w:pPr>
        <w:ind w:left="1080" w:hanging="720"/>
      </w:pPr>
      <w:rPr>
        <w:rFonts w:eastAsia="Arial Unicode MS"/>
      </w:rPr>
    </w:lvl>
    <w:lvl w:ilvl="3">
      <w:start w:val="1"/>
      <w:numFmt w:val="decimal"/>
      <w:isLgl/>
      <w:lvlText w:val="%1.%2.%3.%4."/>
      <w:lvlJc w:val="left"/>
      <w:pPr>
        <w:ind w:left="1080" w:hanging="720"/>
      </w:pPr>
      <w:rPr>
        <w:rFonts w:eastAsia="Arial Unicode MS"/>
      </w:rPr>
    </w:lvl>
    <w:lvl w:ilvl="4">
      <w:start w:val="1"/>
      <w:numFmt w:val="decimal"/>
      <w:isLgl/>
      <w:lvlText w:val="%1.%2.%3.%4.%5."/>
      <w:lvlJc w:val="left"/>
      <w:pPr>
        <w:ind w:left="1440" w:hanging="1080"/>
      </w:pPr>
      <w:rPr>
        <w:rFonts w:eastAsia="Arial Unicode MS"/>
      </w:rPr>
    </w:lvl>
    <w:lvl w:ilvl="5">
      <w:start w:val="1"/>
      <w:numFmt w:val="decimal"/>
      <w:isLgl/>
      <w:lvlText w:val="%1.%2.%3.%4.%5.%6."/>
      <w:lvlJc w:val="left"/>
      <w:pPr>
        <w:ind w:left="1440" w:hanging="1080"/>
      </w:pPr>
      <w:rPr>
        <w:rFonts w:eastAsia="Arial Unicode MS"/>
      </w:rPr>
    </w:lvl>
    <w:lvl w:ilvl="6">
      <w:start w:val="1"/>
      <w:numFmt w:val="decimal"/>
      <w:isLgl/>
      <w:lvlText w:val="%1.%2.%3.%4.%5.%6.%7."/>
      <w:lvlJc w:val="left"/>
      <w:pPr>
        <w:ind w:left="1800" w:hanging="1440"/>
      </w:pPr>
      <w:rPr>
        <w:rFonts w:eastAsia="Arial Unicode MS"/>
      </w:rPr>
    </w:lvl>
    <w:lvl w:ilvl="7">
      <w:start w:val="1"/>
      <w:numFmt w:val="decimal"/>
      <w:isLgl/>
      <w:lvlText w:val="%1.%2.%3.%4.%5.%6.%7.%8."/>
      <w:lvlJc w:val="left"/>
      <w:pPr>
        <w:ind w:left="1800" w:hanging="1440"/>
      </w:pPr>
      <w:rPr>
        <w:rFonts w:eastAsia="Arial Unicode MS"/>
      </w:rPr>
    </w:lvl>
    <w:lvl w:ilvl="8">
      <w:start w:val="1"/>
      <w:numFmt w:val="decimal"/>
      <w:isLgl/>
      <w:lvlText w:val="%1.%2.%3.%4.%5.%6.%7.%8.%9."/>
      <w:lvlJc w:val="left"/>
      <w:pPr>
        <w:ind w:left="2160" w:hanging="1800"/>
      </w:pPr>
      <w:rPr>
        <w:rFonts w:eastAsia="Arial Unicode MS"/>
      </w:rPr>
    </w:lvl>
  </w:abstractNum>
  <w:abstractNum w:abstractNumId="34"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5"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9"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20"/>
  </w:num>
  <w:num w:numId="3">
    <w:abstractNumId w:val="17"/>
  </w:num>
  <w:num w:numId="4">
    <w:abstractNumId w:val="38"/>
  </w:num>
  <w:num w:numId="5">
    <w:abstractNumId w:val="15"/>
  </w:num>
  <w:num w:numId="6">
    <w:abstractNumId w:val="28"/>
  </w:num>
  <w:num w:numId="7">
    <w:abstractNumId w:val="13"/>
  </w:num>
  <w:num w:numId="8">
    <w:abstractNumId w:val="29"/>
  </w:num>
  <w:num w:numId="9">
    <w:abstractNumId w:val="35"/>
  </w:num>
  <w:num w:numId="10">
    <w:abstractNumId w:val="12"/>
  </w:num>
  <w:num w:numId="11">
    <w:abstractNumId w:val="23"/>
  </w:num>
  <w:num w:numId="12">
    <w:abstractNumId w:val="22"/>
  </w:num>
  <w:num w:numId="13">
    <w:abstractNumId w:val="36"/>
  </w:num>
  <w:num w:numId="14">
    <w:abstractNumId w:val="26"/>
  </w:num>
  <w:num w:numId="15">
    <w:abstractNumId w:val="19"/>
  </w:num>
  <w:num w:numId="16">
    <w:abstractNumId w:val="25"/>
  </w:num>
  <w:num w:numId="17">
    <w:abstractNumId w:val="34"/>
  </w:num>
  <w:num w:numId="18">
    <w:abstractNumId w:val="27"/>
  </w:num>
  <w:num w:numId="19">
    <w:abstractNumId w:val="18"/>
  </w:num>
  <w:num w:numId="20">
    <w:abstractNumId w:val="24"/>
  </w:num>
  <w:num w:numId="21">
    <w:abstractNumId w:val="30"/>
  </w:num>
  <w:num w:numId="22">
    <w:abstractNumId w:val="9"/>
  </w:num>
  <w:num w:numId="23">
    <w:abstractNumId w:val="14"/>
  </w:num>
  <w:num w:numId="24">
    <w:abstractNumId w:val="32"/>
  </w:num>
  <w:num w:numId="25">
    <w:abstractNumId w:val="11"/>
  </w:num>
  <w:num w:numId="26">
    <w:abstractNumId w:val="21"/>
  </w:num>
  <w:num w:numId="27">
    <w:abstractNumId w:val="37"/>
  </w:num>
  <w:num w:numId="28">
    <w:abstractNumId w:val="31"/>
  </w:num>
  <w:num w:numId="29">
    <w:abstractNumId w:val="39"/>
  </w:num>
  <w:num w:numId="3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9C0"/>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6D25"/>
    <w:rsid w:val="0006737E"/>
    <w:rsid w:val="00070627"/>
    <w:rsid w:val="0007079B"/>
    <w:rsid w:val="00070896"/>
    <w:rsid w:val="00073607"/>
    <w:rsid w:val="0007401E"/>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3FC2"/>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318"/>
    <w:rsid w:val="00105C31"/>
    <w:rsid w:val="00105D47"/>
    <w:rsid w:val="00106A5C"/>
    <w:rsid w:val="00106D41"/>
    <w:rsid w:val="00107D04"/>
    <w:rsid w:val="00107D74"/>
    <w:rsid w:val="00107DCA"/>
    <w:rsid w:val="0011136A"/>
    <w:rsid w:val="00111E25"/>
    <w:rsid w:val="00113421"/>
    <w:rsid w:val="001141FC"/>
    <w:rsid w:val="001148F4"/>
    <w:rsid w:val="00114A5C"/>
    <w:rsid w:val="0011539C"/>
    <w:rsid w:val="0011556F"/>
    <w:rsid w:val="00115723"/>
    <w:rsid w:val="001161EA"/>
    <w:rsid w:val="00116E6A"/>
    <w:rsid w:val="0011795D"/>
    <w:rsid w:val="00120852"/>
    <w:rsid w:val="00120D5E"/>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070"/>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07FF"/>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17CCF"/>
    <w:rsid w:val="00220043"/>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A2F"/>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4D46"/>
    <w:rsid w:val="00265542"/>
    <w:rsid w:val="00265549"/>
    <w:rsid w:val="002660F1"/>
    <w:rsid w:val="0026723C"/>
    <w:rsid w:val="00267782"/>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74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41E9"/>
    <w:rsid w:val="003A6BE7"/>
    <w:rsid w:val="003B0AD6"/>
    <w:rsid w:val="003B14B3"/>
    <w:rsid w:val="003B3384"/>
    <w:rsid w:val="003B389A"/>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13B8"/>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796E"/>
    <w:rsid w:val="00447D9F"/>
    <w:rsid w:val="00450734"/>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0FD"/>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17683"/>
    <w:rsid w:val="00520002"/>
    <w:rsid w:val="00520BF6"/>
    <w:rsid w:val="005213F2"/>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ACD"/>
    <w:rsid w:val="005B1E2E"/>
    <w:rsid w:val="005B3DFF"/>
    <w:rsid w:val="005B5E93"/>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D7EEF"/>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082E"/>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48DD"/>
    <w:rsid w:val="0065500B"/>
    <w:rsid w:val="00655B25"/>
    <w:rsid w:val="006565AB"/>
    <w:rsid w:val="006577B5"/>
    <w:rsid w:val="00657981"/>
    <w:rsid w:val="00657BE9"/>
    <w:rsid w:val="006608EB"/>
    <w:rsid w:val="00660FB8"/>
    <w:rsid w:val="00661273"/>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9E"/>
    <w:rsid w:val="006778D7"/>
    <w:rsid w:val="0068069D"/>
    <w:rsid w:val="00681013"/>
    <w:rsid w:val="006815AD"/>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5FBD"/>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629"/>
    <w:rsid w:val="006E59E7"/>
    <w:rsid w:val="006E5F45"/>
    <w:rsid w:val="006E7A02"/>
    <w:rsid w:val="006F0681"/>
    <w:rsid w:val="006F10FA"/>
    <w:rsid w:val="006F1DF9"/>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4DDA"/>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3D5"/>
    <w:rsid w:val="008A7ACF"/>
    <w:rsid w:val="008A7BF5"/>
    <w:rsid w:val="008B1839"/>
    <w:rsid w:val="008B34A4"/>
    <w:rsid w:val="008B45D9"/>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43AE"/>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336"/>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49BB"/>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473"/>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4D0"/>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C95"/>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0E28"/>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51C3"/>
    <w:rsid w:val="00BA5959"/>
    <w:rsid w:val="00BA5E32"/>
    <w:rsid w:val="00BA614B"/>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274A"/>
    <w:rsid w:val="00BD3494"/>
    <w:rsid w:val="00BD5524"/>
    <w:rsid w:val="00BD5840"/>
    <w:rsid w:val="00BD5DE3"/>
    <w:rsid w:val="00BD7C70"/>
    <w:rsid w:val="00BE14A2"/>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09DB"/>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6EDA"/>
    <w:rsid w:val="00C374AD"/>
    <w:rsid w:val="00C37F20"/>
    <w:rsid w:val="00C408CA"/>
    <w:rsid w:val="00C418DB"/>
    <w:rsid w:val="00C42318"/>
    <w:rsid w:val="00C4248C"/>
    <w:rsid w:val="00C42A55"/>
    <w:rsid w:val="00C42D5A"/>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13A"/>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1708"/>
    <w:rsid w:val="00DD2DED"/>
    <w:rsid w:val="00DD6794"/>
    <w:rsid w:val="00DD6D01"/>
    <w:rsid w:val="00DD6D53"/>
    <w:rsid w:val="00DE0075"/>
    <w:rsid w:val="00DE11E6"/>
    <w:rsid w:val="00DE1399"/>
    <w:rsid w:val="00DE6580"/>
    <w:rsid w:val="00DE7F13"/>
    <w:rsid w:val="00DF158E"/>
    <w:rsid w:val="00DF30B4"/>
    <w:rsid w:val="00DF3315"/>
    <w:rsid w:val="00DF51AC"/>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3E4A"/>
    <w:rsid w:val="00E540C2"/>
    <w:rsid w:val="00E55256"/>
    <w:rsid w:val="00E56166"/>
    <w:rsid w:val="00E56353"/>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2D9"/>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A94"/>
    <w:rsid w:val="00F81F14"/>
    <w:rsid w:val="00F8270A"/>
    <w:rsid w:val="00F828DF"/>
    <w:rsid w:val="00F8439F"/>
    <w:rsid w:val="00F8547E"/>
    <w:rsid w:val="00F86D87"/>
    <w:rsid w:val="00F873D0"/>
    <w:rsid w:val="00F8794C"/>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5C29"/>
    <w:rsid w:val="00FA6466"/>
    <w:rsid w:val="00FA714F"/>
    <w:rsid w:val="00FA7DEB"/>
    <w:rsid w:val="00FB04B5"/>
    <w:rsid w:val="00FB0693"/>
    <w:rsid w:val="00FB0911"/>
    <w:rsid w:val="00FB15FE"/>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basedOn w:val="prastasis"/>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2237">
      <w:bodyDiv w:val="1"/>
      <w:marLeft w:val="0"/>
      <w:marRight w:val="0"/>
      <w:marTop w:val="0"/>
      <w:marBottom w:val="0"/>
      <w:divBdr>
        <w:top w:val="none" w:sz="0" w:space="0" w:color="auto"/>
        <w:left w:val="none" w:sz="0" w:space="0" w:color="auto"/>
        <w:bottom w:val="none" w:sz="0" w:space="0" w:color="auto"/>
        <w:right w:val="none" w:sz="0" w:space="0" w:color="auto"/>
      </w:divBdr>
    </w:div>
    <w:div w:id="53701993">
      <w:bodyDiv w:val="1"/>
      <w:marLeft w:val="0"/>
      <w:marRight w:val="0"/>
      <w:marTop w:val="0"/>
      <w:marBottom w:val="0"/>
      <w:divBdr>
        <w:top w:val="none" w:sz="0" w:space="0" w:color="auto"/>
        <w:left w:val="none" w:sz="0" w:space="0" w:color="auto"/>
        <w:bottom w:val="none" w:sz="0" w:space="0" w:color="auto"/>
        <w:right w:val="none" w:sz="0" w:space="0" w:color="auto"/>
      </w:divBdr>
    </w:div>
    <w:div w:id="619652656">
      <w:bodyDiv w:val="1"/>
      <w:marLeft w:val="0"/>
      <w:marRight w:val="0"/>
      <w:marTop w:val="0"/>
      <w:marBottom w:val="0"/>
      <w:divBdr>
        <w:top w:val="none" w:sz="0" w:space="0" w:color="auto"/>
        <w:left w:val="none" w:sz="0" w:space="0" w:color="auto"/>
        <w:bottom w:val="none" w:sz="0" w:space="0" w:color="auto"/>
        <w:right w:val="none" w:sz="0" w:space="0" w:color="auto"/>
      </w:divBdr>
    </w:div>
    <w:div w:id="1261446768">
      <w:bodyDiv w:val="1"/>
      <w:marLeft w:val="0"/>
      <w:marRight w:val="0"/>
      <w:marTop w:val="0"/>
      <w:marBottom w:val="0"/>
      <w:divBdr>
        <w:top w:val="none" w:sz="0" w:space="0" w:color="auto"/>
        <w:left w:val="none" w:sz="0" w:space="0" w:color="auto"/>
        <w:bottom w:val="none" w:sz="0" w:space="0" w:color="auto"/>
        <w:right w:val="none" w:sz="0" w:space="0" w:color="auto"/>
      </w:divBdr>
    </w:div>
    <w:div w:id="1321735543">
      <w:bodyDiv w:val="1"/>
      <w:marLeft w:val="0"/>
      <w:marRight w:val="0"/>
      <w:marTop w:val="0"/>
      <w:marBottom w:val="0"/>
      <w:divBdr>
        <w:top w:val="none" w:sz="0" w:space="0" w:color="auto"/>
        <w:left w:val="none" w:sz="0" w:space="0" w:color="auto"/>
        <w:bottom w:val="none" w:sz="0" w:space="0" w:color="auto"/>
        <w:right w:val="none" w:sz="0" w:space="0" w:color="auto"/>
      </w:divBdr>
    </w:div>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1919358848">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2.xml><?xml version="1.0" encoding="utf-8"?>
<ds:datastoreItem xmlns:ds="http://schemas.openxmlformats.org/officeDocument/2006/customXml" ds:itemID="{2320779A-D403-41CE-B316-902C747464B7}">
  <ds:schemaRefs>
    <ds:schemaRef ds:uri="http://purl.org/dc/elements/1.1/"/>
    <ds:schemaRef ds:uri="http://purl.org/dc/terms/"/>
    <ds:schemaRef ds:uri="http://purl.org/dc/dcmitype/"/>
    <ds:schemaRef ds:uri="ef442c5f-0610-4720-baae-1016e5279731"/>
    <ds:schemaRef ds:uri="http://schemas.microsoft.com/office/2006/documentManagement/types"/>
    <ds:schemaRef ds:uri="http://schemas.microsoft.com/office/2006/metadata/properties"/>
    <ds:schemaRef ds:uri="70e84bf1-8243-4edb-bbec-32ed2d0750c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4.xml><?xml version="1.0" encoding="utf-8"?>
<ds:datastoreItem xmlns:ds="http://schemas.openxmlformats.org/officeDocument/2006/customXml" ds:itemID="{F461AC36-6394-47D9-9A2B-C69A70BCA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352DE4-C51A-450E-B45D-742E6574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2426</Words>
  <Characters>17671</Characters>
  <Application>Microsoft Office Word</Application>
  <DocSecurity>4</DocSecurity>
  <Lines>147</Lines>
  <Paragraphs>40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ŠVIS_ATNAUJINIMAS_PIRKIMO_SĄLYGOS</vt:lpstr>
      <vt:lpstr>ŠVIS_ATNAUJINIMAS_PIRKIMO_SĄLYGOS</vt:lpstr>
      <vt:lpstr>TECHNINĖ SPECIFIKACIJA</vt:lpstr>
      <vt:lpstr/>
    </vt:vector>
  </TitlesOfParts>
  <Company/>
  <LinksUpToDate>false</LinksUpToDate>
  <CharactersWithSpaces>20057</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Žydrė Jucevičienė</cp:lastModifiedBy>
  <cp:revision>2</cp:revision>
  <cp:lastPrinted>2018-04-26T10:01:00Z</cp:lastPrinted>
  <dcterms:created xsi:type="dcterms:W3CDTF">2025-03-25T07:53:00Z</dcterms:created>
  <dcterms:modified xsi:type="dcterms:W3CDTF">2025-03-25T07:53:00Z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