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1A2F9BE0"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21</w:t>
      </w:r>
      <w:r w:rsidRPr="00BD38DE">
        <w:rPr>
          <w:rFonts w:ascii="Times New Roman" w:hAnsi="Times New Roman" w:cs="Times New Roman"/>
          <w:sz w:val="20"/>
          <w:szCs w:val="20"/>
        </w:rPr>
        <w:t xml:space="preserve"> m. </w:t>
      </w:r>
      <w:r w:rsidR="00276238">
        <w:rPr>
          <w:rFonts w:ascii="Times New Roman" w:hAnsi="Times New Roman" w:cs="Times New Roman"/>
          <w:sz w:val="20"/>
          <w:szCs w:val="20"/>
        </w:rPr>
        <w:t>birželio</w:t>
      </w:r>
      <w:r w:rsidR="0001736A">
        <w:rPr>
          <w:rFonts w:ascii="Times New Roman" w:hAnsi="Times New Roman" w:cs="Times New Roman"/>
          <w:sz w:val="20"/>
          <w:szCs w:val="20"/>
        </w:rPr>
        <w:t xml:space="preserve"> </w:t>
      </w:r>
      <w:r w:rsidR="00276238">
        <w:rPr>
          <w:rFonts w:ascii="Times New Roman" w:hAnsi="Times New Roman" w:cs="Times New Roman"/>
          <w:sz w:val="20"/>
          <w:szCs w:val="20"/>
        </w:rPr>
        <w:t>30</w:t>
      </w:r>
      <w:r w:rsidRPr="00BD38DE">
        <w:rPr>
          <w:rFonts w:ascii="Times New Roman" w:hAnsi="Times New Roman" w:cs="Times New Roman"/>
          <w:sz w:val="20"/>
          <w:szCs w:val="20"/>
        </w:rPr>
        <w:t xml:space="preserve"> d. </w:t>
      </w:r>
    </w:p>
    <w:p w14:paraId="539A073F" w14:textId="56B4E22D"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 xml:space="preserve">Viešojo pirkimo komisijos protokolo Nr. </w:t>
      </w:r>
      <w:r w:rsidR="00276238">
        <w:rPr>
          <w:rFonts w:ascii="Times New Roman" w:hAnsi="Times New Roman" w:cs="Times New Roman"/>
          <w:sz w:val="20"/>
          <w:szCs w:val="20"/>
        </w:rPr>
        <w:t>4</w:t>
      </w:r>
    </w:p>
    <w:p w14:paraId="5714CB50" w14:textId="725BDF03" w:rsidR="00DD0E1E" w:rsidRPr="00BD38DE" w:rsidRDefault="00BF6153"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1</w:t>
      </w:r>
      <w:r w:rsidR="00DD0E1E" w:rsidRPr="00BD38DE">
        <w:rPr>
          <w:rFonts w:ascii="Times New Roman" w:hAnsi="Times New Roman" w:cs="Times New Roman"/>
          <w:sz w:val="20"/>
          <w:szCs w:val="20"/>
        </w:rPr>
        <w:t xml:space="preserve"> priedas</w:t>
      </w:r>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15A0D2C3" w14:textId="39E641F9" w:rsidR="00177756" w:rsidRPr="00357448" w:rsidRDefault="00177756" w:rsidP="00177756">
      <w:pPr>
        <w:ind w:firstLine="720"/>
        <w:jc w:val="both"/>
        <w:rPr>
          <w:lang w:eastAsia="en-GB"/>
        </w:rPr>
      </w:pPr>
      <w:r w:rsidRPr="00C51A72">
        <w:rPr>
          <w:lang w:eastAsia="en-GB"/>
        </w:rPr>
        <w:t>Viešojo pirkimo „</w:t>
      </w:r>
      <w:r w:rsidR="00357448">
        <w:rPr>
          <w:lang w:eastAsia="en-GB"/>
        </w:rPr>
        <w:t>Laboratorinių tyrimų paslaugų</w:t>
      </w:r>
      <w:r w:rsidRPr="00C51A72">
        <w:rPr>
          <w:lang w:eastAsia="en-GB"/>
        </w:rPr>
        <w:t xml:space="preserve"> užsakymai per CPO LT elektroninį katalogą“ (toliau – Pirkimas), kuris vykdomas taikant dinaminę pirkimų sistemą (toliau – DPS), pirkimo </w:t>
      </w:r>
      <w:r w:rsidR="00357448" w:rsidRPr="00357448">
        <w:rPr>
          <w:color w:val="000000"/>
        </w:rPr>
        <w:t>Nr.</w:t>
      </w:r>
      <w:r w:rsidR="00357448" w:rsidRPr="00357448">
        <w:rPr>
          <w:rFonts w:ascii="Calibri" w:hAnsi="Calibri" w:cs="Calibri"/>
          <w:color w:val="000000"/>
          <w:shd w:val="clear" w:color="auto" w:fill="FFFFFF"/>
        </w:rPr>
        <w:t xml:space="preserve"> </w:t>
      </w:r>
      <w:r w:rsidR="00357448" w:rsidRPr="00357448">
        <w:rPr>
          <w:color w:val="000000"/>
          <w:shd w:val="clear" w:color="auto" w:fill="FFFFFF"/>
        </w:rPr>
        <w:t>547396</w:t>
      </w:r>
      <w:r w:rsidRPr="00357448">
        <w:rPr>
          <w:lang w:eastAsia="en-GB"/>
        </w:rPr>
        <w:t xml:space="preserve">, </w:t>
      </w:r>
      <w:r w:rsidR="003275CF">
        <w:rPr>
          <w:lang w:eastAsia="en-GB"/>
        </w:rPr>
        <w:t>p</w:t>
      </w:r>
      <w:r w:rsidRPr="00357448">
        <w:rPr>
          <w:lang w:eastAsia="en-GB"/>
        </w:rPr>
        <w:t>irkimo dokumentų patikslinimas.</w:t>
      </w:r>
    </w:p>
    <w:p w14:paraId="46C5ED70" w14:textId="3E12AA71" w:rsidR="00B9534C" w:rsidRPr="00C51A72" w:rsidRDefault="00C51A72" w:rsidP="00177756">
      <w:pPr>
        <w:pStyle w:val="paragraph"/>
        <w:spacing w:before="0" w:beforeAutospacing="0" w:after="0" w:afterAutospacing="0"/>
        <w:ind w:firstLine="840"/>
        <w:jc w:val="both"/>
        <w:textAlignment w:val="baseline"/>
        <w:rPr>
          <w:rStyle w:val="normaltextrun"/>
          <w:color w:val="FF0000"/>
          <w:lang w:val="lt-LT"/>
        </w:rPr>
      </w:pPr>
      <w:r w:rsidRPr="00357448">
        <w:rPr>
          <w:lang w:val="lt-LT"/>
        </w:rPr>
        <w:t>V</w:t>
      </w:r>
      <w:r w:rsidR="00B9534C" w:rsidRPr="00357448">
        <w:rPr>
          <w:lang w:val="lt-LT"/>
        </w:rPr>
        <w:t xml:space="preserve">adovaujantis </w:t>
      </w:r>
      <w:r w:rsidR="00FD3658" w:rsidRPr="00357448">
        <w:rPr>
          <w:rStyle w:val="normaltextrun"/>
          <w:lang w:val="lt-LT"/>
        </w:rPr>
        <w:t>pirkimo sąlygų A dalies „Nurodymai dalyviams“ 3.3 papunkči</w:t>
      </w:r>
      <w:r w:rsidR="005D6705" w:rsidRPr="00357448">
        <w:rPr>
          <w:rStyle w:val="normaltextrun"/>
          <w:lang w:val="lt-LT"/>
        </w:rPr>
        <w:t>u</w:t>
      </w:r>
      <w:r w:rsidR="00FD3658" w:rsidRPr="00357448">
        <w:rPr>
          <w:rStyle w:val="normaltextrun"/>
          <w:lang w:val="lt-LT"/>
        </w:rPr>
        <w:t xml:space="preserve">, </w:t>
      </w:r>
      <w:r w:rsidR="00357448" w:rsidRPr="00357448">
        <w:rPr>
          <w:color w:val="000000"/>
          <w:lang w:val="lt-LT"/>
        </w:rPr>
        <w:t xml:space="preserve">savo iniciatyva patiksliname </w:t>
      </w:r>
      <w:r w:rsidR="00FD3658" w:rsidRPr="00357448">
        <w:rPr>
          <w:rStyle w:val="normaltextrun"/>
          <w:lang w:val="lt-LT"/>
        </w:rPr>
        <w:t>pirkimo dokumentus</w:t>
      </w:r>
      <w:r w:rsidR="00FD3658" w:rsidRPr="00C51A72">
        <w:rPr>
          <w:rStyle w:val="normaltextrun"/>
          <w:lang w:val="lt-LT"/>
        </w:rPr>
        <w:t>:</w:t>
      </w:r>
    </w:p>
    <w:p w14:paraId="7BBDCDA7" w14:textId="77777777" w:rsidR="00FD3658" w:rsidRPr="00FD3658" w:rsidRDefault="00FD3658" w:rsidP="00FD3658">
      <w:pPr>
        <w:pStyle w:val="paragraph"/>
        <w:spacing w:before="0" w:beforeAutospacing="0" w:after="0" w:afterAutospacing="0"/>
        <w:ind w:firstLine="840"/>
        <w:jc w:val="both"/>
        <w:textAlignment w:val="baseline"/>
        <w:rPr>
          <w:rFonts w:ascii="Segoe UI" w:hAnsi="Segoe UI" w:cs="Segoe UI"/>
          <w:sz w:val="18"/>
          <w:szCs w:val="18"/>
        </w:rPr>
      </w:pPr>
    </w:p>
    <w:p w14:paraId="3B709765" w14:textId="6981306E" w:rsidR="00357448" w:rsidRPr="00357448" w:rsidRDefault="00357448" w:rsidP="00357448">
      <w:pPr>
        <w:widowControl w:val="0"/>
        <w:ind w:firstLine="709"/>
        <w:contextualSpacing/>
        <w:jc w:val="both"/>
        <w:rPr>
          <w:lang w:val="en-US"/>
        </w:rPr>
      </w:pPr>
      <w:r w:rsidRPr="00357448">
        <w:t xml:space="preserve">Atsižvelgiant į tai, kad priklausomai nuo besikeičiančios epidemiologinės situacijos, COVID-19 ligos (koronavirusinės infekcijos) tyrimų atlikimą reglamentuojantys teisės aktai yra dažnai keičiami, </w:t>
      </w:r>
      <w:r>
        <w:rPr>
          <w:color w:val="000000"/>
        </w:rPr>
        <w:t xml:space="preserve">pirkimo dokumentų B dalies „Techninė specifikacija“ </w:t>
      </w:r>
      <w:r w:rsidRPr="00357448">
        <w:t>reikalavim</w:t>
      </w:r>
      <w:r>
        <w:t>o</w:t>
      </w:r>
      <w:r w:rsidRPr="00357448">
        <w:t xml:space="preserve"> dėl viruso mutacijų nustatymo formuluotė išdėst</w:t>
      </w:r>
      <w:r>
        <w:t>oma</w:t>
      </w:r>
      <w:r w:rsidRPr="00357448">
        <w:t xml:space="preserve"> nenurodant konkrečių mutacijų, tačiau pateikiant nuorodą į tyrimo atlikimo metu galiojančius Lietuvos Respublikos teisės aktus: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357448" w:rsidRPr="00357448" w14:paraId="24D5B7F1" w14:textId="77777777" w:rsidTr="00C407EE">
        <w:tc>
          <w:tcPr>
            <w:tcW w:w="4812" w:type="dxa"/>
            <w:shd w:val="clear" w:color="auto" w:fill="auto"/>
          </w:tcPr>
          <w:p w14:paraId="696CDEDF" w14:textId="77777777" w:rsidR="00357448" w:rsidRPr="00357448" w:rsidRDefault="00357448" w:rsidP="00357448">
            <w:pPr>
              <w:widowControl w:val="0"/>
              <w:contextualSpacing/>
              <w:jc w:val="both"/>
              <w:rPr>
                <w:color w:val="000000"/>
              </w:rPr>
            </w:pPr>
            <w:r w:rsidRPr="00357448">
              <w:rPr>
                <w:color w:val="000000"/>
              </w:rPr>
              <w:t>Prieš patikslinimą</w:t>
            </w:r>
          </w:p>
        </w:tc>
        <w:tc>
          <w:tcPr>
            <w:tcW w:w="4816" w:type="dxa"/>
            <w:shd w:val="clear" w:color="auto" w:fill="auto"/>
          </w:tcPr>
          <w:p w14:paraId="10AF0168" w14:textId="77777777" w:rsidR="00357448" w:rsidRPr="00357448" w:rsidRDefault="00357448" w:rsidP="00357448">
            <w:pPr>
              <w:widowControl w:val="0"/>
              <w:contextualSpacing/>
              <w:jc w:val="both"/>
              <w:rPr>
                <w:color w:val="000000"/>
              </w:rPr>
            </w:pPr>
            <w:r w:rsidRPr="00357448">
              <w:rPr>
                <w:color w:val="000000"/>
              </w:rPr>
              <w:t>Po patikslinimo</w:t>
            </w:r>
          </w:p>
        </w:tc>
      </w:tr>
      <w:tr w:rsidR="00357448" w:rsidRPr="00357448" w14:paraId="5E610606" w14:textId="77777777" w:rsidTr="00C407EE">
        <w:tc>
          <w:tcPr>
            <w:tcW w:w="4812" w:type="dxa"/>
            <w:shd w:val="clear" w:color="auto" w:fill="auto"/>
          </w:tcPr>
          <w:p w14:paraId="35FE6521" w14:textId="77777777" w:rsidR="00357448" w:rsidRPr="00357448" w:rsidRDefault="00357448" w:rsidP="00357448">
            <w:pPr>
              <w:widowControl w:val="0"/>
              <w:contextualSpacing/>
              <w:jc w:val="both"/>
              <w:rPr>
                <w:b/>
                <w:bCs/>
                <w:i/>
                <w:iCs/>
              </w:rPr>
            </w:pPr>
            <w:r w:rsidRPr="00357448">
              <w:rPr>
                <w:b/>
                <w:bCs/>
                <w:i/>
                <w:iCs/>
                <w:color w:val="000000"/>
              </w:rPr>
              <w:t>B dalies „Techninė specifikacija</w:t>
            </w:r>
            <w:r w:rsidRPr="00357448">
              <w:rPr>
                <w:b/>
                <w:bCs/>
                <w:i/>
                <w:iCs/>
              </w:rPr>
              <w:t>“ 1.2, 2.2, 3.2, 4.3, 5.3, 8.3, 9.3 dalių reikalavimas:</w:t>
            </w:r>
          </w:p>
          <w:p w14:paraId="7B7A6EE3" w14:textId="77777777" w:rsidR="00357448" w:rsidRPr="00357448" w:rsidRDefault="00357448" w:rsidP="00357448">
            <w:pPr>
              <w:widowControl w:val="0"/>
              <w:contextualSpacing/>
              <w:jc w:val="both"/>
              <w:rPr>
                <w:color w:val="000000"/>
              </w:rPr>
            </w:pPr>
            <w:r w:rsidRPr="00357448">
              <w:rPr>
                <w:color w:val="000000"/>
              </w:rPr>
              <w:t>Tyrimo metodas turi apimti ne mažiau kaip E484K mutacijos nustatymą.</w:t>
            </w:r>
          </w:p>
        </w:tc>
        <w:tc>
          <w:tcPr>
            <w:tcW w:w="4816" w:type="dxa"/>
            <w:shd w:val="clear" w:color="auto" w:fill="auto"/>
          </w:tcPr>
          <w:p w14:paraId="1D83198B" w14:textId="11515A25" w:rsidR="00357448" w:rsidRPr="00357448" w:rsidRDefault="00357448" w:rsidP="00357448">
            <w:pPr>
              <w:widowControl w:val="0"/>
              <w:contextualSpacing/>
              <w:jc w:val="both"/>
              <w:rPr>
                <w:b/>
                <w:bCs/>
                <w:i/>
                <w:iCs/>
              </w:rPr>
            </w:pPr>
            <w:r w:rsidRPr="00357448">
              <w:rPr>
                <w:b/>
                <w:bCs/>
                <w:i/>
                <w:iCs/>
                <w:color w:val="000000"/>
              </w:rPr>
              <w:t>B dalies „Techninė specifikacija</w:t>
            </w:r>
            <w:r w:rsidRPr="00357448">
              <w:rPr>
                <w:b/>
                <w:bCs/>
                <w:i/>
                <w:iCs/>
              </w:rPr>
              <w:t>“ 1.2, 2.2, 3.2, 4.3, 5.3, 8.3, 9.3 dalių reikalavimas:</w:t>
            </w:r>
          </w:p>
          <w:p w14:paraId="5E2C23A9" w14:textId="1C2BD6BC" w:rsidR="00357448" w:rsidRPr="00357448" w:rsidRDefault="00357448" w:rsidP="00357448">
            <w:pPr>
              <w:widowControl w:val="0"/>
              <w:contextualSpacing/>
              <w:jc w:val="both"/>
              <w:rPr>
                <w:color w:val="000000"/>
              </w:rPr>
            </w:pPr>
            <w:r w:rsidRPr="00357448">
              <w:rPr>
                <w:color w:val="000000"/>
              </w:rPr>
              <w:t xml:space="preserve">Tyrimo metodas turi apimti </w:t>
            </w:r>
            <w:r w:rsidRPr="00357448">
              <w:t>tyrimo atlikimo metu galiojančiuose Lietuvos Respublikos teisės aktuose, reglamentuojančiuose viruso variantų nustatymą, nurodytus viruso variantus</w:t>
            </w:r>
            <w:r w:rsidR="00F36AF6">
              <w:t>.</w:t>
            </w:r>
            <w:r w:rsidRPr="00357448">
              <w:t xml:space="preserve"> </w:t>
            </w:r>
          </w:p>
        </w:tc>
      </w:tr>
    </w:tbl>
    <w:p w14:paraId="5FB2C8B5" w14:textId="77777777" w:rsidR="00357448" w:rsidRDefault="00357448" w:rsidP="00357448">
      <w:pPr>
        <w:widowControl w:val="0"/>
        <w:shd w:val="clear" w:color="auto" w:fill="FFFFFF"/>
        <w:tabs>
          <w:tab w:val="left" w:pos="0"/>
          <w:tab w:val="left" w:pos="993"/>
        </w:tabs>
        <w:ind w:firstLine="851"/>
        <w:jc w:val="both"/>
        <w:rPr>
          <w:b/>
          <w:bCs/>
          <w:i/>
          <w:iCs/>
          <w:color w:val="000000"/>
        </w:rPr>
      </w:pPr>
    </w:p>
    <w:p w14:paraId="5EA0A15E" w14:textId="369E7098" w:rsidR="00357448" w:rsidRPr="00357448" w:rsidRDefault="00357448" w:rsidP="00357448">
      <w:pPr>
        <w:widowControl w:val="0"/>
        <w:shd w:val="clear" w:color="auto" w:fill="FFFFFF"/>
        <w:tabs>
          <w:tab w:val="left" w:pos="0"/>
          <w:tab w:val="left" w:pos="993"/>
        </w:tabs>
        <w:ind w:firstLine="851"/>
        <w:jc w:val="both"/>
        <w:rPr>
          <w:color w:val="000000"/>
        </w:rPr>
      </w:pPr>
      <w:r w:rsidRPr="00902162">
        <w:rPr>
          <w:color w:val="000000"/>
        </w:rPr>
        <w:t xml:space="preserve">Taip pat </w:t>
      </w:r>
      <w:r w:rsidR="00902162">
        <w:rPr>
          <w:color w:val="000000"/>
        </w:rPr>
        <w:t>pranešame, kad ištaisomos techninės klaidos ir tikslinamas p</w:t>
      </w:r>
      <w:r w:rsidRPr="00357448">
        <w:rPr>
          <w:color w:val="000000"/>
        </w:rPr>
        <w:t xml:space="preserve">irkimo </w:t>
      </w:r>
      <w:r w:rsidR="00902162">
        <w:rPr>
          <w:color w:val="000000"/>
        </w:rPr>
        <w:t>dokumentų</w:t>
      </w:r>
      <w:r w:rsidRPr="00357448">
        <w:rPr>
          <w:color w:val="000000"/>
        </w:rPr>
        <w:t xml:space="preserve"> C dali</w:t>
      </w:r>
      <w:r w:rsidR="00902162">
        <w:rPr>
          <w:color w:val="000000"/>
        </w:rPr>
        <w:t>es</w:t>
      </w:r>
      <w:r w:rsidRPr="00357448">
        <w:rPr>
          <w:color w:val="000000"/>
        </w:rPr>
        <w:t xml:space="preserve"> „Konkretus pirkimas DPS“ </w:t>
      </w:r>
      <w:r w:rsidR="00902162">
        <w:rPr>
          <w:color w:val="000000"/>
        </w:rPr>
        <w:t>3</w:t>
      </w:r>
      <w:r w:rsidRPr="00357448">
        <w:rPr>
          <w:color w:val="000000"/>
        </w:rPr>
        <w:t xml:space="preserve"> pried</w:t>
      </w:r>
      <w:r w:rsidR="00902162">
        <w:rPr>
          <w:color w:val="000000"/>
        </w:rPr>
        <w:t>as</w:t>
      </w:r>
      <w:r w:rsidRPr="00357448">
        <w:rPr>
          <w:color w:val="000000"/>
        </w:rPr>
        <w:t xml:space="preserve"> „Pirkimo sutarties forma</w:t>
      </w:r>
      <w:r w:rsidR="00902162">
        <w:rPr>
          <w:color w:val="000000"/>
        </w:rPr>
        <w:t>“</w:t>
      </w:r>
      <w:r w:rsidRPr="00357448">
        <w:rPr>
          <w:color w:val="000000"/>
        </w:rPr>
        <w:t>.</w:t>
      </w:r>
    </w:p>
    <w:p w14:paraId="48493931" w14:textId="78FBE96C" w:rsidR="00047FF3" w:rsidRDefault="00047FF3" w:rsidP="00AC6695">
      <w:pPr>
        <w:shd w:val="clear" w:color="auto" w:fill="FFFFFF"/>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762"/>
      </w:tblGrid>
      <w:tr w:rsidR="00902162" w:rsidRPr="00902162" w14:paraId="07522CCB" w14:textId="77777777" w:rsidTr="00C407EE">
        <w:tc>
          <w:tcPr>
            <w:tcW w:w="4853" w:type="dxa"/>
            <w:shd w:val="clear" w:color="auto" w:fill="auto"/>
          </w:tcPr>
          <w:p w14:paraId="6656722A" w14:textId="77777777" w:rsidR="00902162" w:rsidRPr="00902162" w:rsidRDefault="00902162" w:rsidP="00902162">
            <w:pPr>
              <w:widowControl w:val="0"/>
              <w:contextualSpacing/>
              <w:jc w:val="both"/>
              <w:rPr>
                <w:color w:val="000000"/>
              </w:rPr>
            </w:pPr>
            <w:r w:rsidRPr="00902162">
              <w:rPr>
                <w:color w:val="000000"/>
              </w:rPr>
              <w:t>Prieš patikslinimą</w:t>
            </w:r>
          </w:p>
        </w:tc>
        <w:tc>
          <w:tcPr>
            <w:tcW w:w="4775" w:type="dxa"/>
            <w:shd w:val="clear" w:color="auto" w:fill="auto"/>
          </w:tcPr>
          <w:p w14:paraId="1D66AEF2" w14:textId="77777777" w:rsidR="00902162" w:rsidRPr="00902162" w:rsidRDefault="00902162" w:rsidP="00902162">
            <w:pPr>
              <w:widowControl w:val="0"/>
              <w:contextualSpacing/>
              <w:jc w:val="both"/>
              <w:rPr>
                <w:color w:val="000000"/>
              </w:rPr>
            </w:pPr>
            <w:r w:rsidRPr="00902162">
              <w:rPr>
                <w:color w:val="000000"/>
              </w:rPr>
              <w:t>Po patikslinimo</w:t>
            </w:r>
          </w:p>
        </w:tc>
      </w:tr>
      <w:tr w:rsidR="00902162" w:rsidRPr="00902162" w14:paraId="342ABE42" w14:textId="77777777" w:rsidTr="00C407EE">
        <w:trPr>
          <w:trHeight w:val="683"/>
        </w:trPr>
        <w:tc>
          <w:tcPr>
            <w:tcW w:w="9628" w:type="dxa"/>
            <w:gridSpan w:val="2"/>
            <w:shd w:val="clear" w:color="auto" w:fill="auto"/>
          </w:tcPr>
          <w:p w14:paraId="768D2808" w14:textId="77777777" w:rsidR="00902162" w:rsidRPr="00902162" w:rsidRDefault="00902162" w:rsidP="00902162">
            <w:pPr>
              <w:widowControl w:val="0"/>
              <w:contextualSpacing/>
              <w:jc w:val="center"/>
              <w:rPr>
                <w:b/>
                <w:bCs/>
                <w:color w:val="000000"/>
              </w:rPr>
            </w:pPr>
            <w:r w:rsidRPr="00902162">
              <w:rPr>
                <w:spacing w:val="-2"/>
                <w:szCs w:val="16"/>
              </w:rPr>
              <w:t>Pirkimo dokumentų C dalies 3 priedas. Pirkimo sutarties forma</w:t>
            </w:r>
          </w:p>
          <w:p w14:paraId="2045B544" w14:textId="77777777" w:rsidR="00902162" w:rsidRPr="00902162" w:rsidRDefault="00902162" w:rsidP="00902162">
            <w:pPr>
              <w:tabs>
                <w:tab w:val="left" w:pos="426"/>
              </w:tabs>
              <w:jc w:val="center"/>
              <w:rPr>
                <w:rFonts w:ascii="Tahoma" w:hAnsi="Tahoma" w:cs="Tahoma"/>
                <w:b/>
                <w:color w:val="000000"/>
                <w:sz w:val="16"/>
                <w:szCs w:val="16"/>
              </w:rPr>
            </w:pPr>
            <w:r w:rsidRPr="00902162">
              <w:rPr>
                <w:rFonts w:ascii="Tahoma" w:hAnsi="Tahoma"/>
                <w:color w:val="000000"/>
                <w:sz w:val="16"/>
                <w:szCs w:val="16"/>
              </w:rPr>
              <w:t>(Fiksuoto įkainio su peržiūra Pirkimo sutarties forma, kurioje numatyta Užsakovo pareiga nupirkti paslaugų už nustatytą vertę)</w:t>
            </w:r>
          </w:p>
          <w:p w14:paraId="2D47BD02" w14:textId="77777777" w:rsidR="00902162" w:rsidRPr="00902162" w:rsidRDefault="00902162" w:rsidP="00902162">
            <w:pPr>
              <w:spacing w:after="40"/>
              <w:contextualSpacing/>
              <w:jc w:val="both"/>
              <w:outlineLvl w:val="0"/>
              <w:rPr>
                <w:rFonts w:ascii="Tahoma" w:hAnsi="Tahoma" w:cs="Tahoma"/>
                <w:b/>
                <w:bCs/>
                <w:color w:val="000000"/>
                <w:kern w:val="32"/>
                <w:sz w:val="16"/>
                <w:szCs w:val="16"/>
              </w:rPr>
            </w:pPr>
          </w:p>
        </w:tc>
      </w:tr>
      <w:tr w:rsidR="00902162" w:rsidRPr="00902162" w14:paraId="6C0903B4" w14:textId="77777777" w:rsidTr="00C407EE">
        <w:tc>
          <w:tcPr>
            <w:tcW w:w="4853" w:type="dxa"/>
            <w:shd w:val="clear" w:color="auto" w:fill="auto"/>
          </w:tcPr>
          <w:p w14:paraId="66D1BD38" w14:textId="77777777" w:rsidR="00902162" w:rsidRPr="00902162" w:rsidRDefault="00902162" w:rsidP="00902162">
            <w:pPr>
              <w:numPr>
                <w:ilvl w:val="0"/>
                <w:numId w:val="5"/>
              </w:numPr>
              <w:spacing w:after="40"/>
              <w:jc w:val="both"/>
              <w:outlineLvl w:val="0"/>
              <w:rPr>
                <w:rFonts w:ascii="Tahoma" w:hAnsi="Tahoma" w:cs="Tahoma"/>
                <w:i/>
                <w:iCs/>
                <w:color w:val="000000"/>
                <w:kern w:val="32"/>
                <w:sz w:val="16"/>
                <w:szCs w:val="16"/>
              </w:rPr>
            </w:pPr>
            <w:r w:rsidRPr="00902162">
              <w:rPr>
                <w:rFonts w:ascii="Tahoma" w:hAnsi="Tahoma" w:cs="Tahoma"/>
                <w:b/>
                <w:bCs/>
                <w:color w:val="000000"/>
                <w:kern w:val="32"/>
                <w:sz w:val="16"/>
                <w:szCs w:val="16"/>
              </w:rPr>
              <w:t xml:space="preserve">Bendrosios nuostatos </w:t>
            </w:r>
            <w:r w:rsidRPr="00902162">
              <w:rPr>
                <w:rFonts w:ascii="Tahoma" w:hAnsi="Tahoma" w:cs="Tahoma"/>
                <w:i/>
                <w:iCs/>
                <w:color w:val="000000"/>
                <w:kern w:val="32"/>
                <w:sz w:val="16"/>
                <w:szCs w:val="16"/>
              </w:rPr>
              <w:t>(taisoma numeracija)</w:t>
            </w:r>
          </w:p>
          <w:p w14:paraId="175505FB" w14:textId="77777777" w:rsidR="00902162" w:rsidRPr="00902162" w:rsidRDefault="00902162" w:rsidP="00902162">
            <w:pPr>
              <w:numPr>
                <w:ilvl w:val="1"/>
                <w:numId w:val="5"/>
              </w:numPr>
              <w:tabs>
                <w:tab w:val="left" w:pos="567"/>
              </w:tabs>
              <w:spacing w:after="40"/>
              <w:ind w:left="0"/>
              <w:jc w:val="both"/>
              <w:outlineLvl w:val="1"/>
              <w:rPr>
                <w:rFonts w:ascii="Tahoma" w:hAnsi="Tahoma" w:cs="Arial"/>
                <w:bCs/>
                <w:iCs/>
                <w:color w:val="000000"/>
                <w:sz w:val="16"/>
                <w:szCs w:val="28"/>
              </w:rPr>
            </w:pPr>
            <w:r w:rsidRPr="00902162">
              <w:rPr>
                <w:rFonts w:ascii="Tahoma" w:hAnsi="Tahoma" w:cs="Arial"/>
                <w:bCs/>
                <w:iCs/>
                <w:color w:val="000000"/>
                <w:sz w:val="16"/>
                <w:szCs w:val="28"/>
              </w:rPr>
              <w:t>Pirkimo sutartyje naudojamos sąvokos:</w:t>
            </w:r>
          </w:p>
          <w:p w14:paraId="33D33298" w14:textId="77777777" w:rsidR="00902162" w:rsidRPr="00902162" w:rsidRDefault="00902162" w:rsidP="00902162">
            <w:pPr>
              <w:numPr>
                <w:ilvl w:val="2"/>
                <w:numId w:val="8"/>
              </w:numPr>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t xml:space="preserve">Centrinė perkančioji organizacija (CPO LT) – </w:t>
            </w:r>
            <w:r w:rsidRPr="00902162">
              <w:rPr>
                <w:rFonts w:ascii="Tahoma" w:hAnsi="Tahoma" w:cs="Arial"/>
                <w:bCs/>
                <w:iCs/>
                <w:color w:val="000000"/>
                <w:sz w:val="16"/>
                <w:szCs w:val="28"/>
              </w:rPr>
              <w:t>Viešoji įstaiga CPO LT, atliekanti perkančiosioms organizacijoms ir perkantiesiems subjektams skirtų prekių, paslaugų ar darbų pirkimų procedūras.</w:t>
            </w:r>
          </w:p>
          <w:p w14:paraId="4848C4D7"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s="Tahoma"/>
                <w:iCs/>
                <w:color w:val="000000"/>
                <w:kern w:val="32"/>
                <w:sz w:val="16"/>
                <w:szCs w:val="16"/>
              </w:rPr>
              <w:t xml:space="preserve">CPO IS </w:t>
            </w:r>
            <w:r w:rsidRPr="00902162">
              <w:rPr>
                <w:rFonts w:ascii="Tahoma" w:hAnsi="Tahoma" w:cs="Tahoma"/>
                <w:bCs/>
                <w:iCs/>
                <w:color w:val="000000"/>
                <w:kern w:val="32"/>
                <w:sz w:val="16"/>
                <w:szCs w:val="16"/>
              </w:rPr>
              <w:t>–</w:t>
            </w:r>
            <w:r w:rsidRPr="00902162">
              <w:rPr>
                <w:rFonts w:ascii="Tahoma" w:hAnsi="Tahoma" w:cs="Arial"/>
                <w:bCs/>
                <w:iCs/>
                <w:color w:val="000000"/>
                <w:sz w:val="16"/>
                <w:szCs w:val="28"/>
              </w:rPr>
              <w:t xml:space="preserve"> </w:t>
            </w:r>
            <w:r w:rsidRPr="00902162">
              <w:rPr>
                <w:rFonts w:ascii="Tahoma" w:hAnsi="Tahoma"/>
                <w:color w:val="000000"/>
                <w:sz w:val="16"/>
              </w:rPr>
              <w:t xml:space="preserve">CPO LT valdoma ir tvarkoma informacinė sistema, kurioje vykdomi užsakymai. </w:t>
            </w:r>
            <w:r w:rsidRPr="00902162">
              <w:rPr>
                <w:rFonts w:ascii="Tahoma" w:hAnsi="Tahoma" w:cs="Arial"/>
                <w:bCs/>
                <w:iCs/>
                <w:color w:val="000000"/>
                <w:sz w:val="16"/>
                <w:szCs w:val="28"/>
              </w:rPr>
              <w:t xml:space="preserve">Internetinis adresas </w:t>
            </w:r>
            <w:hyperlink r:id="rId8" w:history="1">
              <w:r w:rsidRPr="00902162">
                <w:rPr>
                  <w:rFonts w:ascii="Tahoma" w:hAnsi="Tahoma" w:cs="Arial"/>
                  <w:bCs/>
                  <w:iCs/>
                  <w:color w:val="000000"/>
                  <w:sz w:val="16"/>
                  <w:szCs w:val="28"/>
                  <w:u w:val="single"/>
                </w:rPr>
                <w:t>http://www.cpo.lt</w:t>
              </w:r>
            </w:hyperlink>
            <w:r w:rsidRPr="00902162">
              <w:rPr>
                <w:rFonts w:ascii="Tahoma" w:hAnsi="Tahoma" w:cs="Arial"/>
                <w:bCs/>
                <w:iCs/>
                <w:color w:val="000000"/>
                <w:sz w:val="16"/>
                <w:szCs w:val="28"/>
              </w:rPr>
              <w:t>.</w:t>
            </w:r>
          </w:p>
          <w:p w14:paraId="2AB43ADB"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s="Tahoma"/>
                <w:iCs/>
                <w:color w:val="000000"/>
                <w:kern w:val="32"/>
                <w:sz w:val="16"/>
                <w:szCs w:val="16"/>
              </w:rPr>
              <w:t>Paslauga (-os)</w:t>
            </w:r>
            <w:r w:rsidRPr="00902162">
              <w:rPr>
                <w:rFonts w:ascii="Tahoma" w:hAnsi="Tahoma" w:cs="Arial"/>
                <w:bCs/>
                <w:iCs/>
                <w:color w:val="000000"/>
                <w:sz w:val="16"/>
                <w:szCs w:val="28"/>
              </w:rPr>
              <w:t xml:space="preserve"> – Tiekėjo pagal Pirkimo sutartį teikiamos paslaugos, kurių techninės specifikacijos Užsakovo pasirinktos CPO IS ir nurodytos Pirkimo sutarties priede.</w:t>
            </w:r>
          </w:p>
          <w:p w14:paraId="5F42B9B9"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olor w:val="000000"/>
                <w:sz w:val="16"/>
              </w:rPr>
              <w:t>Paslaugos kaina – Pirkimo sutarties priede nurodyta kiekvienos Paslaugos kaina už mato vienetą (įkainis).</w:t>
            </w:r>
          </w:p>
          <w:p w14:paraId="1DDBEA11" w14:textId="77777777" w:rsidR="00902162" w:rsidRPr="00902162" w:rsidRDefault="00902162" w:rsidP="00902162">
            <w:pPr>
              <w:widowControl w:val="0"/>
              <w:tabs>
                <w:tab w:val="left" w:pos="0"/>
                <w:tab w:val="left" w:pos="450"/>
              </w:tabs>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t>1.1.5.  Pradinės Pirkimo sutarties vertė – Pirkimo sutarties priede Užsakovo nurodyta maksimali lėšų suma Eur be PVM, skirta Pirkimo sutartyje nurodytų Paslaugų įsigijimui.</w:t>
            </w:r>
          </w:p>
          <w:p w14:paraId="18AF4B52" w14:textId="77777777" w:rsidR="00902162" w:rsidRPr="00902162" w:rsidRDefault="00902162" w:rsidP="00902162">
            <w:pPr>
              <w:tabs>
                <w:tab w:val="left" w:pos="630"/>
              </w:tabs>
              <w:spacing w:after="40"/>
              <w:jc w:val="both"/>
              <w:outlineLvl w:val="1"/>
              <w:rPr>
                <w:rFonts w:ascii="Tahoma" w:hAnsi="Tahoma"/>
                <w:sz w:val="16"/>
                <w:lang w:bidi="bn-IN"/>
              </w:rPr>
            </w:pPr>
            <w:r w:rsidRPr="00902162">
              <w:rPr>
                <w:rFonts w:ascii="Tahoma" w:hAnsi="Tahoma"/>
                <w:sz w:val="16"/>
                <w:lang w:bidi="bn-IN"/>
              </w:rPr>
              <w:t>1.1.6.   ESPBI IS – Elektroninė sveikatos paslaugų ir bendradarbiavimo infrastruktūros informacinė sistema.</w:t>
            </w:r>
          </w:p>
          <w:p w14:paraId="17E944A9" w14:textId="77777777" w:rsidR="00902162" w:rsidRPr="00902162" w:rsidRDefault="00902162" w:rsidP="00902162">
            <w:pPr>
              <w:widowControl w:val="0"/>
              <w:contextualSpacing/>
              <w:jc w:val="both"/>
              <w:rPr>
                <w:color w:val="000000"/>
              </w:rPr>
            </w:pPr>
          </w:p>
        </w:tc>
        <w:tc>
          <w:tcPr>
            <w:tcW w:w="4775" w:type="dxa"/>
            <w:shd w:val="clear" w:color="auto" w:fill="auto"/>
          </w:tcPr>
          <w:p w14:paraId="6AFBBFE3" w14:textId="77777777" w:rsidR="00902162" w:rsidRPr="00902162" w:rsidRDefault="00902162" w:rsidP="00902162">
            <w:pPr>
              <w:numPr>
                <w:ilvl w:val="0"/>
                <w:numId w:val="6"/>
              </w:numPr>
              <w:spacing w:after="40"/>
              <w:contextualSpacing/>
              <w:jc w:val="both"/>
              <w:outlineLvl w:val="0"/>
              <w:rPr>
                <w:rFonts w:ascii="Tahoma" w:hAnsi="Tahoma" w:cs="Tahoma"/>
                <w:b/>
                <w:bCs/>
                <w:color w:val="000000"/>
                <w:kern w:val="32"/>
                <w:sz w:val="16"/>
                <w:szCs w:val="16"/>
              </w:rPr>
            </w:pPr>
            <w:r w:rsidRPr="00902162">
              <w:rPr>
                <w:rFonts w:ascii="Tahoma" w:hAnsi="Tahoma" w:cs="Tahoma"/>
                <w:b/>
                <w:bCs/>
                <w:color w:val="000000"/>
                <w:kern w:val="32"/>
                <w:sz w:val="16"/>
                <w:szCs w:val="16"/>
              </w:rPr>
              <w:t>Bendrosios nuostatos</w:t>
            </w:r>
          </w:p>
          <w:p w14:paraId="56FD6605" w14:textId="77777777" w:rsidR="00902162" w:rsidRPr="00902162" w:rsidRDefault="00902162" w:rsidP="00902162">
            <w:pPr>
              <w:numPr>
                <w:ilvl w:val="1"/>
                <w:numId w:val="5"/>
              </w:numPr>
              <w:tabs>
                <w:tab w:val="left" w:pos="567"/>
              </w:tabs>
              <w:spacing w:after="40"/>
              <w:ind w:left="0"/>
              <w:jc w:val="both"/>
              <w:outlineLvl w:val="1"/>
              <w:rPr>
                <w:rFonts w:ascii="Tahoma" w:hAnsi="Tahoma" w:cs="Arial"/>
                <w:bCs/>
                <w:iCs/>
                <w:color w:val="000000"/>
                <w:sz w:val="16"/>
                <w:szCs w:val="28"/>
              </w:rPr>
            </w:pPr>
            <w:r w:rsidRPr="00902162">
              <w:rPr>
                <w:rFonts w:ascii="Tahoma" w:hAnsi="Tahoma" w:cs="Arial"/>
                <w:bCs/>
                <w:iCs/>
                <w:color w:val="000000"/>
                <w:sz w:val="16"/>
                <w:szCs w:val="28"/>
              </w:rPr>
              <w:t>Pirkimo sutartyje naudojamos sąvokos:</w:t>
            </w:r>
          </w:p>
          <w:p w14:paraId="523F9FB6" w14:textId="77777777" w:rsidR="00902162" w:rsidRPr="00902162" w:rsidRDefault="00902162" w:rsidP="00902162">
            <w:pPr>
              <w:numPr>
                <w:ilvl w:val="2"/>
                <w:numId w:val="7"/>
              </w:numPr>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t xml:space="preserve">Centrinė perkančioji organizacija (CPO LT) – </w:t>
            </w:r>
            <w:r w:rsidRPr="00902162">
              <w:rPr>
                <w:rFonts w:ascii="Tahoma" w:hAnsi="Tahoma" w:cs="Arial"/>
                <w:bCs/>
                <w:iCs/>
                <w:color w:val="000000"/>
                <w:sz w:val="16"/>
                <w:szCs w:val="28"/>
              </w:rPr>
              <w:t>Viešoji įstaiga CPO LT, atliekanti perkančiosioms organizacijoms ir perkantiesiems subjektams skirtų prekių, paslaugų ar darbų pirkimų procedūras.</w:t>
            </w:r>
          </w:p>
          <w:p w14:paraId="6DDEF769"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s="Tahoma"/>
                <w:iCs/>
                <w:color w:val="000000"/>
                <w:kern w:val="32"/>
                <w:sz w:val="16"/>
                <w:szCs w:val="16"/>
              </w:rPr>
              <w:t xml:space="preserve">CPO IS </w:t>
            </w:r>
            <w:r w:rsidRPr="00902162">
              <w:rPr>
                <w:rFonts w:ascii="Tahoma" w:hAnsi="Tahoma" w:cs="Tahoma"/>
                <w:bCs/>
                <w:iCs/>
                <w:color w:val="000000"/>
                <w:kern w:val="32"/>
                <w:sz w:val="16"/>
                <w:szCs w:val="16"/>
              </w:rPr>
              <w:t>–</w:t>
            </w:r>
            <w:r w:rsidRPr="00902162">
              <w:rPr>
                <w:rFonts w:ascii="Tahoma" w:hAnsi="Tahoma" w:cs="Arial"/>
                <w:bCs/>
                <w:iCs/>
                <w:color w:val="000000"/>
                <w:sz w:val="16"/>
                <w:szCs w:val="28"/>
              </w:rPr>
              <w:t xml:space="preserve"> </w:t>
            </w:r>
            <w:r w:rsidRPr="00902162">
              <w:rPr>
                <w:rFonts w:ascii="Tahoma" w:hAnsi="Tahoma"/>
                <w:color w:val="000000"/>
                <w:sz w:val="16"/>
              </w:rPr>
              <w:t xml:space="preserve">CPO LT valdoma ir tvarkoma informacinė sistema, kurioje vykdomi užsakymai. </w:t>
            </w:r>
            <w:r w:rsidRPr="00902162">
              <w:rPr>
                <w:rFonts w:ascii="Tahoma" w:hAnsi="Tahoma" w:cs="Arial"/>
                <w:bCs/>
                <w:iCs/>
                <w:color w:val="000000"/>
                <w:sz w:val="16"/>
                <w:szCs w:val="28"/>
              </w:rPr>
              <w:t xml:space="preserve">Internetinis adresas </w:t>
            </w:r>
            <w:hyperlink r:id="rId9" w:history="1">
              <w:r w:rsidRPr="00902162">
                <w:rPr>
                  <w:rFonts w:ascii="Tahoma" w:hAnsi="Tahoma" w:cs="Arial"/>
                  <w:bCs/>
                  <w:iCs/>
                  <w:color w:val="000000"/>
                  <w:sz w:val="16"/>
                  <w:szCs w:val="28"/>
                  <w:u w:val="single"/>
                </w:rPr>
                <w:t>http://www.cpo.lt</w:t>
              </w:r>
            </w:hyperlink>
            <w:r w:rsidRPr="00902162">
              <w:rPr>
                <w:rFonts w:ascii="Tahoma" w:hAnsi="Tahoma" w:cs="Arial"/>
                <w:bCs/>
                <w:iCs/>
                <w:color w:val="000000"/>
                <w:sz w:val="16"/>
                <w:szCs w:val="28"/>
              </w:rPr>
              <w:t>.</w:t>
            </w:r>
          </w:p>
          <w:p w14:paraId="1DC65F5F"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s="Tahoma"/>
                <w:iCs/>
                <w:color w:val="000000"/>
                <w:kern w:val="32"/>
                <w:sz w:val="16"/>
                <w:szCs w:val="16"/>
              </w:rPr>
              <w:t>Paslauga (-os)</w:t>
            </w:r>
            <w:r w:rsidRPr="00902162">
              <w:rPr>
                <w:rFonts w:ascii="Tahoma" w:hAnsi="Tahoma" w:cs="Arial"/>
                <w:bCs/>
                <w:iCs/>
                <w:color w:val="000000"/>
                <w:sz w:val="16"/>
                <w:szCs w:val="28"/>
              </w:rPr>
              <w:t xml:space="preserve"> – Tiekėjo pagal Pirkimo sutartį teikiamos paslaugos, kurių techninės specifikacijos Užsakovo pasirinktos CPO IS ir nurodytos Pirkimo sutarties priede.</w:t>
            </w:r>
          </w:p>
          <w:p w14:paraId="5E458C76" w14:textId="77777777" w:rsidR="00902162" w:rsidRPr="00902162" w:rsidRDefault="00902162" w:rsidP="00902162">
            <w:pPr>
              <w:numPr>
                <w:ilvl w:val="2"/>
                <w:numId w:val="5"/>
              </w:numPr>
              <w:tabs>
                <w:tab w:val="clear" w:pos="576"/>
                <w:tab w:val="left" w:pos="567"/>
              </w:tabs>
              <w:spacing w:after="40"/>
              <w:jc w:val="both"/>
              <w:outlineLvl w:val="1"/>
              <w:rPr>
                <w:rFonts w:ascii="Tahoma" w:hAnsi="Tahoma" w:cs="Tahoma"/>
                <w:bCs/>
                <w:iCs/>
                <w:color w:val="000000"/>
                <w:kern w:val="32"/>
                <w:sz w:val="16"/>
                <w:szCs w:val="16"/>
              </w:rPr>
            </w:pPr>
            <w:r w:rsidRPr="00902162">
              <w:rPr>
                <w:rFonts w:ascii="Tahoma" w:hAnsi="Tahoma"/>
                <w:color w:val="000000"/>
                <w:sz w:val="16"/>
              </w:rPr>
              <w:t>Paslaugos kaina – Pirkimo sutarties priede nurodyta kiekvienos Paslaugos kaina už mato vienetą (įkainis).</w:t>
            </w:r>
          </w:p>
          <w:p w14:paraId="2D2A799D" w14:textId="77777777" w:rsidR="00902162" w:rsidRPr="00902162" w:rsidRDefault="00902162" w:rsidP="00902162">
            <w:pPr>
              <w:widowControl w:val="0"/>
              <w:tabs>
                <w:tab w:val="left" w:pos="0"/>
                <w:tab w:val="left" w:pos="450"/>
              </w:tabs>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t>1.1.5.  Pradinės Pirkimo sutarties vertė – Pirkimo sutarties priede Užsakovo nurodyta maksimali lėšų suma Eur be PVM, skirta Pirkimo sutartyje nurodytų Paslaugų įsigijimui.</w:t>
            </w:r>
          </w:p>
          <w:p w14:paraId="51884158" w14:textId="77777777" w:rsidR="00902162" w:rsidRPr="00902162" w:rsidRDefault="00902162" w:rsidP="00902162">
            <w:pPr>
              <w:tabs>
                <w:tab w:val="left" w:pos="630"/>
              </w:tabs>
              <w:spacing w:after="40"/>
              <w:jc w:val="both"/>
              <w:outlineLvl w:val="1"/>
              <w:rPr>
                <w:rFonts w:ascii="Tahoma" w:hAnsi="Tahoma"/>
                <w:sz w:val="16"/>
                <w:lang w:bidi="bn-IN"/>
              </w:rPr>
            </w:pPr>
            <w:r w:rsidRPr="00902162">
              <w:rPr>
                <w:rFonts w:ascii="Tahoma" w:hAnsi="Tahoma"/>
                <w:sz w:val="16"/>
                <w:lang w:bidi="bn-IN"/>
              </w:rPr>
              <w:t>1.1.6.   ESPBI IS – Elektroninė sveikatos paslaugų ir bendradarbiavimo infrastruktūros informacinė sistema.</w:t>
            </w:r>
          </w:p>
          <w:p w14:paraId="733FA77B" w14:textId="77777777" w:rsidR="00902162" w:rsidRPr="00902162" w:rsidRDefault="00902162" w:rsidP="00902162">
            <w:pPr>
              <w:widowControl w:val="0"/>
              <w:contextualSpacing/>
              <w:jc w:val="both"/>
              <w:rPr>
                <w:color w:val="000000"/>
              </w:rPr>
            </w:pPr>
          </w:p>
        </w:tc>
      </w:tr>
      <w:tr w:rsidR="00902162" w:rsidRPr="00902162" w14:paraId="1FC56B6D" w14:textId="77777777" w:rsidTr="00C407EE">
        <w:tc>
          <w:tcPr>
            <w:tcW w:w="4853" w:type="dxa"/>
            <w:shd w:val="clear" w:color="auto" w:fill="auto"/>
          </w:tcPr>
          <w:p w14:paraId="30E0117E" w14:textId="77777777" w:rsidR="00902162" w:rsidRPr="00902162" w:rsidRDefault="00902162" w:rsidP="00902162">
            <w:pPr>
              <w:widowControl w:val="0"/>
              <w:tabs>
                <w:tab w:val="left" w:pos="0"/>
                <w:tab w:val="left" w:pos="450"/>
              </w:tabs>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t xml:space="preserve">11.3. Užsakovui Pirkimo sutarties galiojimo metu nupirkus Paslaugų už mažiau kaip 100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galiojimo terminą negali būti viršijamas maksimalus Pirkimo sutarties 4.6 </w:t>
            </w:r>
            <w:r w:rsidRPr="00902162">
              <w:rPr>
                <w:rFonts w:ascii="Tahoma" w:hAnsi="Tahoma" w:cs="Tahoma"/>
                <w:bCs/>
                <w:iCs/>
                <w:color w:val="000000"/>
                <w:kern w:val="32"/>
                <w:sz w:val="16"/>
                <w:szCs w:val="16"/>
              </w:rPr>
              <w:lastRenderedPageBreak/>
              <w:t>punkte nurodytas bendras Paslaugų teikimo laikotarpis.</w:t>
            </w:r>
          </w:p>
          <w:p w14:paraId="1F0BE76A" w14:textId="77777777" w:rsidR="00902162" w:rsidRPr="00902162" w:rsidRDefault="00902162" w:rsidP="00902162">
            <w:pPr>
              <w:spacing w:after="40"/>
              <w:jc w:val="both"/>
              <w:outlineLvl w:val="0"/>
              <w:rPr>
                <w:rFonts w:ascii="Tahoma" w:hAnsi="Tahoma" w:cs="Tahoma"/>
                <w:b/>
                <w:bCs/>
                <w:color w:val="000000"/>
                <w:kern w:val="32"/>
                <w:sz w:val="16"/>
                <w:szCs w:val="16"/>
              </w:rPr>
            </w:pPr>
          </w:p>
        </w:tc>
        <w:tc>
          <w:tcPr>
            <w:tcW w:w="4775" w:type="dxa"/>
            <w:shd w:val="clear" w:color="auto" w:fill="auto"/>
          </w:tcPr>
          <w:p w14:paraId="26B9A2C7" w14:textId="77777777" w:rsidR="00902162" w:rsidRPr="00902162" w:rsidRDefault="00902162" w:rsidP="00902162">
            <w:pPr>
              <w:widowControl w:val="0"/>
              <w:tabs>
                <w:tab w:val="left" w:pos="0"/>
                <w:tab w:val="left" w:pos="450"/>
              </w:tabs>
              <w:spacing w:after="40"/>
              <w:jc w:val="both"/>
              <w:outlineLvl w:val="1"/>
              <w:rPr>
                <w:rFonts w:ascii="Tahoma" w:hAnsi="Tahoma" w:cs="Tahoma"/>
                <w:bCs/>
                <w:iCs/>
                <w:color w:val="000000"/>
                <w:kern w:val="32"/>
                <w:sz w:val="16"/>
                <w:szCs w:val="16"/>
              </w:rPr>
            </w:pPr>
            <w:r w:rsidRPr="00902162">
              <w:rPr>
                <w:rFonts w:ascii="Tahoma" w:hAnsi="Tahoma" w:cs="Tahoma"/>
                <w:bCs/>
                <w:iCs/>
                <w:color w:val="000000"/>
                <w:kern w:val="32"/>
                <w:sz w:val="16"/>
                <w:szCs w:val="16"/>
              </w:rPr>
              <w:lastRenderedPageBreak/>
              <w:t xml:space="preserve">11.3. Užsakovui Pirkimo sutarties galiojimo metu nupirkus Paslaugų už mažiau kaip 100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galiojimo terminą negali būti viršijamas maksimalus Pirkimo sutarties </w:t>
            </w:r>
            <w:r w:rsidRPr="00902162">
              <w:rPr>
                <w:rFonts w:ascii="Tahoma" w:hAnsi="Tahoma" w:cs="Tahoma"/>
                <w:bCs/>
                <w:iCs/>
                <w:color w:val="000000"/>
                <w:kern w:val="32"/>
                <w:sz w:val="16"/>
                <w:szCs w:val="16"/>
                <w:highlight w:val="yellow"/>
              </w:rPr>
              <w:t xml:space="preserve">4.3 </w:t>
            </w:r>
            <w:r w:rsidRPr="00902162">
              <w:rPr>
                <w:rFonts w:ascii="Tahoma" w:hAnsi="Tahoma" w:cs="Tahoma"/>
                <w:bCs/>
                <w:iCs/>
                <w:color w:val="000000"/>
                <w:kern w:val="32"/>
                <w:sz w:val="16"/>
                <w:szCs w:val="16"/>
                <w:highlight w:val="yellow"/>
              </w:rPr>
              <w:lastRenderedPageBreak/>
              <w:t>punkte</w:t>
            </w:r>
            <w:r w:rsidRPr="00902162">
              <w:rPr>
                <w:rFonts w:ascii="Tahoma" w:hAnsi="Tahoma" w:cs="Tahoma"/>
                <w:bCs/>
                <w:iCs/>
                <w:color w:val="000000"/>
                <w:kern w:val="32"/>
                <w:sz w:val="16"/>
                <w:szCs w:val="16"/>
              </w:rPr>
              <w:t xml:space="preserve"> nurodytas bendras Paslaugų teikimo laikotarpis.</w:t>
            </w:r>
          </w:p>
          <w:p w14:paraId="3AA67AE5" w14:textId="77777777" w:rsidR="00902162" w:rsidRPr="00902162" w:rsidRDefault="00902162" w:rsidP="00902162">
            <w:pPr>
              <w:spacing w:after="40"/>
              <w:contextualSpacing/>
              <w:jc w:val="both"/>
              <w:outlineLvl w:val="0"/>
              <w:rPr>
                <w:rFonts w:ascii="Tahoma" w:hAnsi="Tahoma" w:cs="Tahoma"/>
                <w:b/>
                <w:bCs/>
                <w:color w:val="000000"/>
                <w:kern w:val="32"/>
                <w:sz w:val="16"/>
                <w:szCs w:val="16"/>
              </w:rPr>
            </w:pPr>
          </w:p>
        </w:tc>
      </w:tr>
      <w:tr w:rsidR="00902162" w:rsidRPr="00902162" w14:paraId="4B876BD9" w14:textId="77777777" w:rsidTr="00C407EE">
        <w:tc>
          <w:tcPr>
            <w:tcW w:w="9628" w:type="dxa"/>
            <w:gridSpan w:val="2"/>
            <w:shd w:val="clear" w:color="auto" w:fill="auto"/>
          </w:tcPr>
          <w:p w14:paraId="73B6EBF8" w14:textId="77777777" w:rsidR="00902162" w:rsidRPr="00902162" w:rsidRDefault="00902162" w:rsidP="00902162">
            <w:pPr>
              <w:widowControl w:val="0"/>
              <w:tabs>
                <w:tab w:val="left" w:pos="567"/>
              </w:tabs>
              <w:spacing w:after="40"/>
              <w:jc w:val="center"/>
              <w:rPr>
                <w:rFonts w:ascii="Tahoma" w:hAnsi="Tahoma" w:cs="Tahoma"/>
                <w:b/>
                <w:bCs/>
                <w:color w:val="000000"/>
                <w:kern w:val="32"/>
                <w:sz w:val="16"/>
                <w:szCs w:val="16"/>
              </w:rPr>
            </w:pPr>
            <w:r w:rsidRPr="00902162">
              <w:rPr>
                <w:rFonts w:ascii="Tahoma" w:hAnsi="Tahoma"/>
                <w:b/>
                <w:color w:val="000000"/>
                <w:sz w:val="16"/>
              </w:rPr>
              <w:lastRenderedPageBreak/>
              <w:t xml:space="preserve">Pirkimo sutarties </w:t>
            </w:r>
            <w:r w:rsidRPr="00902162">
              <w:rPr>
                <w:rFonts w:ascii="Tahoma" w:hAnsi="Tahoma"/>
                <w:b/>
                <w:color w:val="000000"/>
                <w:sz w:val="16"/>
                <w:highlight w:val="lightGray"/>
              </w:rPr>
              <w:t>[CPO LT pirkimo numeris]</w:t>
            </w:r>
            <w:r w:rsidRPr="00902162">
              <w:rPr>
                <w:rFonts w:ascii="Tahoma" w:hAnsi="Tahoma"/>
                <w:b/>
                <w:color w:val="000000"/>
                <w:sz w:val="16"/>
              </w:rPr>
              <w:t xml:space="preserve"> priedas</w:t>
            </w:r>
          </w:p>
        </w:tc>
      </w:tr>
      <w:tr w:rsidR="00902162" w:rsidRPr="00902162" w14:paraId="5896D8DF" w14:textId="77777777" w:rsidTr="00C407EE">
        <w:tc>
          <w:tcPr>
            <w:tcW w:w="4853" w:type="dxa"/>
            <w:shd w:val="clear" w:color="auto" w:fill="auto"/>
          </w:tcPr>
          <w:p w14:paraId="25414D42" w14:textId="77777777" w:rsidR="00902162" w:rsidRPr="00902162" w:rsidRDefault="00902162" w:rsidP="00902162">
            <w:pPr>
              <w:spacing w:after="40"/>
              <w:jc w:val="both"/>
              <w:rPr>
                <w:rFonts w:ascii="Tahoma" w:hAnsi="Tahoma"/>
                <w:b/>
                <w:color w:val="000000"/>
                <w:sz w:val="16"/>
              </w:rPr>
            </w:pPr>
            <w:r w:rsidRPr="00902162">
              <w:rPr>
                <w:rFonts w:ascii="Tahoma" w:hAnsi="Tahoma"/>
                <w:color w:val="000000"/>
                <w:sz w:val="16"/>
              </w:rPr>
              <w:t>Papildomoms paslaugoms (nenurodytoms šiame priede, tačiau susijusioms su pirkimo objektu, kurios pagal Pirkimo sutarties 3.4.4 punktą gali būti įsigyjamos be atskiro Šalių susitarimo) didžiausia galima skirti vertė</w:t>
            </w:r>
            <w:r w:rsidRPr="00902162">
              <w:rPr>
                <w:rFonts w:ascii="Tahoma" w:hAnsi="Tahoma"/>
                <w:b/>
                <w:color w:val="000000"/>
                <w:sz w:val="16"/>
              </w:rPr>
              <w:t xml:space="preserve"> </w:t>
            </w:r>
            <w:r w:rsidRPr="00902162">
              <w:rPr>
                <w:rFonts w:ascii="Tahoma" w:hAnsi="Tahoma"/>
                <w:color w:val="000000"/>
                <w:sz w:val="16"/>
              </w:rPr>
              <w:t>ne daugiau kaip 10 (dešimt) procentų pradinės Pirkimo sutarties vertės.</w:t>
            </w:r>
          </w:p>
          <w:p w14:paraId="553DA641" w14:textId="77777777" w:rsidR="00902162" w:rsidRPr="00902162" w:rsidRDefault="00902162" w:rsidP="00902162">
            <w:pPr>
              <w:spacing w:after="40"/>
              <w:jc w:val="both"/>
              <w:outlineLvl w:val="0"/>
              <w:rPr>
                <w:rFonts w:ascii="Tahoma" w:hAnsi="Tahoma" w:cs="Tahoma"/>
                <w:b/>
                <w:bCs/>
                <w:color w:val="000000"/>
                <w:kern w:val="32"/>
                <w:sz w:val="16"/>
                <w:szCs w:val="16"/>
              </w:rPr>
            </w:pPr>
          </w:p>
        </w:tc>
        <w:tc>
          <w:tcPr>
            <w:tcW w:w="4775" w:type="dxa"/>
            <w:shd w:val="clear" w:color="auto" w:fill="auto"/>
          </w:tcPr>
          <w:p w14:paraId="391FFE2E" w14:textId="77777777" w:rsidR="00902162" w:rsidRPr="00902162" w:rsidRDefault="00902162" w:rsidP="00902162">
            <w:pPr>
              <w:spacing w:after="40"/>
              <w:jc w:val="both"/>
              <w:rPr>
                <w:rFonts w:ascii="Tahoma" w:hAnsi="Tahoma"/>
                <w:b/>
                <w:color w:val="000000"/>
                <w:sz w:val="16"/>
              </w:rPr>
            </w:pPr>
            <w:r w:rsidRPr="00902162">
              <w:rPr>
                <w:rFonts w:ascii="Tahoma" w:hAnsi="Tahoma"/>
                <w:color w:val="000000"/>
                <w:sz w:val="16"/>
              </w:rPr>
              <w:t xml:space="preserve">Papildomoms paslaugoms (nenurodytoms šiame priede, tačiau susijusioms su pirkimo objektu, kurios pagal Pirkimo sutarties </w:t>
            </w:r>
            <w:r w:rsidRPr="00902162">
              <w:rPr>
                <w:rFonts w:ascii="Tahoma" w:hAnsi="Tahoma"/>
                <w:color w:val="000000"/>
                <w:sz w:val="16"/>
                <w:highlight w:val="yellow"/>
              </w:rPr>
              <w:t>3.4.3 punktą</w:t>
            </w:r>
            <w:r w:rsidRPr="00902162">
              <w:rPr>
                <w:rFonts w:ascii="Tahoma" w:hAnsi="Tahoma"/>
                <w:color w:val="000000"/>
                <w:sz w:val="16"/>
              </w:rPr>
              <w:t xml:space="preserve"> gali būti įsigyjamos be atskiro Šalių susitarimo) didžiausia galima skirti vertė</w:t>
            </w:r>
            <w:r w:rsidRPr="00902162">
              <w:rPr>
                <w:rFonts w:ascii="Tahoma" w:hAnsi="Tahoma"/>
                <w:b/>
                <w:color w:val="000000"/>
                <w:sz w:val="16"/>
              </w:rPr>
              <w:t xml:space="preserve"> </w:t>
            </w:r>
            <w:r w:rsidRPr="00902162">
              <w:rPr>
                <w:rFonts w:ascii="Tahoma" w:hAnsi="Tahoma"/>
                <w:color w:val="000000"/>
                <w:sz w:val="16"/>
              </w:rPr>
              <w:t>ne daugiau kaip 10 (dešimt) procentų pradinės Pirkimo sutarties vertės.</w:t>
            </w:r>
          </w:p>
          <w:p w14:paraId="1B66FA23" w14:textId="77777777" w:rsidR="00902162" w:rsidRPr="00902162" w:rsidRDefault="00902162" w:rsidP="00902162">
            <w:pPr>
              <w:spacing w:after="40"/>
              <w:contextualSpacing/>
              <w:jc w:val="both"/>
              <w:outlineLvl w:val="0"/>
              <w:rPr>
                <w:rFonts w:ascii="Tahoma" w:hAnsi="Tahoma" w:cs="Tahoma"/>
                <w:b/>
                <w:bCs/>
                <w:color w:val="000000"/>
                <w:kern w:val="32"/>
                <w:sz w:val="16"/>
                <w:szCs w:val="16"/>
              </w:rPr>
            </w:pPr>
          </w:p>
        </w:tc>
      </w:tr>
      <w:tr w:rsidR="00902162" w:rsidRPr="00902162" w14:paraId="7191B48B" w14:textId="77777777" w:rsidTr="00C407EE">
        <w:trPr>
          <w:trHeight w:val="647"/>
        </w:trPr>
        <w:tc>
          <w:tcPr>
            <w:tcW w:w="9628" w:type="dxa"/>
            <w:gridSpan w:val="2"/>
            <w:shd w:val="clear" w:color="auto" w:fill="auto"/>
          </w:tcPr>
          <w:tbl>
            <w:tblPr>
              <w:tblW w:w="10773" w:type="dxa"/>
              <w:tblInd w:w="108" w:type="dxa"/>
              <w:tblLook w:val="01E0" w:firstRow="1" w:lastRow="1" w:firstColumn="1" w:lastColumn="1" w:noHBand="0" w:noVBand="0"/>
            </w:tblPr>
            <w:tblGrid>
              <w:gridCol w:w="10773"/>
            </w:tblGrid>
            <w:tr w:rsidR="00902162" w:rsidRPr="00902162" w14:paraId="690ED085" w14:textId="77777777" w:rsidTr="00C407EE">
              <w:trPr>
                <w:trHeight w:val="548"/>
              </w:trPr>
              <w:tc>
                <w:tcPr>
                  <w:tcW w:w="10773" w:type="dxa"/>
                  <w:tcBorders>
                    <w:top w:val="single" w:sz="4" w:space="0" w:color="auto"/>
                  </w:tcBorders>
                </w:tcPr>
                <w:p w14:paraId="2E0AB9C8" w14:textId="77777777" w:rsidR="00902162" w:rsidRPr="00902162" w:rsidRDefault="00902162" w:rsidP="00902162">
                  <w:pPr>
                    <w:widowControl w:val="0"/>
                    <w:adjustRightInd w:val="0"/>
                    <w:jc w:val="center"/>
                    <w:textAlignment w:val="baseline"/>
                    <w:rPr>
                      <w:spacing w:val="-2"/>
                      <w:szCs w:val="16"/>
                    </w:rPr>
                  </w:pPr>
                  <w:r w:rsidRPr="00902162">
                    <w:rPr>
                      <w:spacing w:val="-2"/>
                      <w:szCs w:val="16"/>
                    </w:rPr>
                    <w:t>Pirkimo dokumentų C dalies 3 priedas. Pirkimo sutarties forma</w:t>
                  </w:r>
                </w:p>
                <w:p w14:paraId="6C85EE2B" w14:textId="77777777" w:rsidR="00902162" w:rsidRPr="00902162" w:rsidRDefault="00902162" w:rsidP="00902162">
                  <w:pPr>
                    <w:tabs>
                      <w:tab w:val="left" w:pos="426"/>
                    </w:tabs>
                    <w:spacing w:after="40"/>
                    <w:rPr>
                      <w:spacing w:val="-2"/>
                      <w:szCs w:val="16"/>
                    </w:rPr>
                  </w:pPr>
                  <w:r w:rsidRPr="00902162">
                    <w:rPr>
                      <w:rFonts w:ascii="Tahoma" w:hAnsi="Tahoma"/>
                      <w:i/>
                      <w:color w:val="000000"/>
                      <w:sz w:val="16"/>
                      <w:szCs w:val="16"/>
                    </w:rPr>
                    <w:t>(Fiksuoto įkainio su peržiūra Pirkimo sutarties forma, kurioje numatyta Užsakovo pareiga nupirkti nustatytą paslaugų kiekį)</w:t>
                  </w:r>
                </w:p>
              </w:tc>
            </w:tr>
          </w:tbl>
          <w:p w14:paraId="7862638B" w14:textId="77777777" w:rsidR="00902162" w:rsidRPr="00902162" w:rsidRDefault="00902162" w:rsidP="00902162">
            <w:pPr>
              <w:spacing w:after="40"/>
              <w:jc w:val="center"/>
              <w:rPr>
                <w:rFonts w:ascii="Tahoma" w:hAnsi="Tahoma"/>
                <w:color w:val="000000"/>
                <w:sz w:val="16"/>
              </w:rPr>
            </w:pPr>
          </w:p>
        </w:tc>
      </w:tr>
      <w:tr w:rsidR="00902162" w:rsidRPr="00902162" w14:paraId="03459306" w14:textId="77777777" w:rsidTr="00C407EE">
        <w:tc>
          <w:tcPr>
            <w:tcW w:w="9628" w:type="dxa"/>
            <w:gridSpan w:val="2"/>
            <w:shd w:val="clear" w:color="auto" w:fill="auto"/>
          </w:tcPr>
          <w:p w14:paraId="7DC82BCF" w14:textId="77777777" w:rsidR="00902162" w:rsidRPr="00902162" w:rsidRDefault="00902162" w:rsidP="00902162">
            <w:pPr>
              <w:widowControl w:val="0"/>
              <w:tabs>
                <w:tab w:val="left" w:pos="567"/>
              </w:tabs>
              <w:spacing w:after="40"/>
              <w:jc w:val="center"/>
              <w:rPr>
                <w:rFonts w:ascii="Tahoma" w:hAnsi="Tahoma"/>
                <w:color w:val="000000"/>
                <w:sz w:val="16"/>
              </w:rPr>
            </w:pPr>
            <w:r w:rsidRPr="00902162">
              <w:rPr>
                <w:rFonts w:ascii="Tahoma" w:hAnsi="Tahoma"/>
                <w:b/>
                <w:color w:val="000000"/>
                <w:sz w:val="16"/>
              </w:rPr>
              <w:t xml:space="preserve">Pirkimo sutarties </w:t>
            </w:r>
            <w:r w:rsidRPr="00902162">
              <w:rPr>
                <w:rFonts w:ascii="Tahoma" w:hAnsi="Tahoma"/>
                <w:b/>
                <w:color w:val="000000"/>
                <w:sz w:val="16"/>
                <w:highlight w:val="lightGray"/>
              </w:rPr>
              <w:t>[CPO LT pirkimo numeris]</w:t>
            </w:r>
            <w:r w:rsidRPr="00902162">
              <w:rPr>
                <w:rFonts w:ascii="Tahoma" w:hAnsi="Tahoma"/>
                <w:b/>
                <w:color w:val="000000"/>
                <w:sz w:val="16"/>
              </w:rPr>
              <w:t xml:space="preserve"> priedas</w:t>
            </w:r>
          </w:p>
        </w:tc>
      </w:tr>
      <w:tr w:rsidR="00902162" w:rsidRPr="00902162" w14:paraId="16F7FDDF" w14:textId="77777777" w:rsidTr="00C407EE">
        <w:tc>
          <w:tcPr>
            <w:tcW w:w="4853" w:type="dxa"/>
            <w:shd w:val="clear" w:color="auto" w:fill="auto"/>
          </w:tcPr>
          <w:p w14:paraId="1F25F32C" w14:textId="77777777" w:rsidR="00902162" w:rsidRPr="00902162" w:rsidRDefault="00902162" w:rsidP="00902162">
            <w:pPr>
              <w:spacing w:after="40"/>
              <w:jc w:val="both"/>
              <w:rPr>
                <w:rFonts w:ascii="Tahoma" w:hAnsi="Tahoma"/>
                <w:b/>
                <w:color w:val="000000"/>
                <w:sz w:val="16"/>
              </w:rPr>
            </w:pPr>
            <w:r w:rsidRPr="00902162">
              <w:rPr>
                <w:rFonts w:ascii="Tahoma" w:hAnsi="Tahoma"/>
                <w:color w:val="000000"/>
                <w:sz w:val="16"/>
              </w:rPr>
              <w:t>Papildomoms paslaugoms (nenurodytoms šiame priede, tačiau susijusioms su pirkimo objektu, kurios pagal Pirkimo sutarties 3.5.3 punktą gali būti įsigyjamos be atskiro Šalių susitarimo) didžiausia galima skirti vertė</w:t>
            </w:r>
            <w:r w:rsidRPr="00902162">
              <w:rPr>
                <w:rFonts w:ascii="Tahoma" w:hAnsi="Tahoma"/>
                <w:b/>
                <w:color w:val="000000"/>
                <w:sz w:val="16"/>
              </w:rPr>
              <w:t xml:space="preserve"> </w:t>
            </w:r>
            <w:r w:rsidRPr="00902162">
              <w:rPr>
                <w:rFonts w:ascii="Tahoma" w:hAnsi="Tahoma"/>
                <w:color w:val="000000"/>
                <w:sz w:val="16"/>
              </w:rPr>
              <w:t>ne daugiau kaip 10 (dešimt) procentų Pradinės Pirkimo sutarties vertės.</w:t>
            </w:r>
          </w:p>
          <w:p w14:paraId="0DEE95FD" w14:textId="77777777" w:rsidR="00902162" w:rsidRPr="00902162" w:rsidRDefault="00902162" w:rsidP="00902162">
            <w:pPr>
              <w:widowControl w:val="0"/>
              <w:tabs>
                <w:tab w:val="left" w:pos="0"/>
                <w:tab w:val="left" w:pos="540"/>
              </w:tabs>
              <w:spacing w:after="40"/>
              <w:jc w:val="both"/>
              <w:outlineLvl w:val="1"/>
              <w:rPr>
                <w:rFonts w:ascii="Tahoma" w:hAnsi="Tahoma" w:cs="Tahoma"/>
                <w:bCs/>
                <w:iCs/>
                <w:color w:val="000000"/>
                <w:kern w:val="32"/>
                <w:sz w:val="16"/>
                <w:szCs w:val="16"/>
              </w:rPr>
            </w:pPr>
          </w:p>
        </w:tc>
        <w:tc>
          <w:tcPr>
            <w:tcW w:w="4775" w:type="dxa"/>
            <w:shd w:val="clear" w:color="auto" w:fill="auto"/>
          </w:tcPr>
          <w:p w14:paraId="14FCBB77" w14:textId="77777777" w:rsidR="00902162" w:rsidRPr="00902162" w:rsidRDefault="00902162" w:rsidP="00902162">
            <w:pPr>
              <w:spacing w:after="40"/>
              <w:jc w:val="both"/>
              <w:rPr>
                <w:rFonts w:ascii="Tahoma" w:hAnsi="Tahoma"/>
                <w:b/>
                <w:color w:val="000000"/>
                <w:sz w:val="16"/>
              </w:rPr>
            </w:pPr>
            <w:r w:rsidRPr="00902162">
              <w:rPr>
                <w:rFonts w:ascii="Tahoma" w:hAnsi="Tahoma"/>
                <w:color w:val="000000"/>
                <w:sz w:val="16"/>
              </w:rPr>
              <w:t xml:space="preserve">Papildomoms paslaugoms (nenurodytoms šiame priede, tačiau susijusioms su pirkimo objektu, kurios pagal Pirkimo sutarties </w:t>
            </w:r>
            <w:r w:rsidRPr="00902162">
              <w:rPr>
                <w:rFonts w:ascii="Tahoma" w:hAnsi="Tahoma"/>
                <w:color w:val="000000"/>
                <w:sz w:val="16"/>
                <w:highlight w:val="yellow"/>
              </w:rPr>
              <w:t>3.2.3 punktą</w:t>
            </w:r>
            <w:r w:rsidRPr="00902162">
              <w:rPr>
                <w:rFonts w:ascii="Tahoma" w:hAnsi="Tahoma"/>
                <w:color w:val="000000"/>
                <w:sz w:val="16"/>
              </w:rPr>
              <w:t xml:space="preserve"> gali būti įsigyjamos be atskiro Šalių susitarimo) didžiausia galima skirti vertė</w:t>
            </w:r>
            <w:r w:rsidRPr="00902162">
              <w:rPr>
                <w:rFonts w:ascii="Tahoma" w:hAnsi="Tahoma"/>
                <w:b/>
                <w:color w:val="000000"/>
                <w:sz w:val="16"/>
              </w:rPr>
              <w:t xml:space="preserve"> </w:t>
            </w:r>
            <w:r w:rsidRPr="00902162">
              <w:rPr>
                <w:rFonts w:ascii="Tahoma" w:hAnsi="Tahoma"/>
                <w:color w:val="000000"/>
                <w:sz w:val="16"/>
              </w:rPr>
              <w:t>ne daugiau kaip 10 (dešimt) procentų Pradinės Pirkimo sutarties vertės.</w:t>
            </w:r>
          </w:p>
          <w:p w14:paraId="3EB092AE" w14:textId="77777777" w:rsidR="00902162" w:rsidRPr="00902162" w:rsidRDefault="00902162" w:rsidP="00902162">
            <w:pPr>
              <w:spacing w:after="40"/>
              <w:jc w:val="both"/>
              <w:rPr>
                <w:rFonts w:ascii="Tahoma" w:hAnsi="Tahoma"/>
                <w:color w:val="000000"/>
                <w:sz w:val="16"/>
              </w:rPr>
            </w:pPr>
          </w:p>
        </w:tc>
      </w:tr>
    </w:tbl>
    <w:p w14:paraId="7336C5F9" w14:textId="1755D779" w:rsidR="00357448" w:rsidRDefault="00357448" w:rsidP="00AC6695">
      <w:pPr>
        <w:shd w:val="clear" w:color="auto" w:fill="FFFFFF"/>
        <w:ind w:firstLine="720"/>
        <w:jc w:val="both"/>
        <w:rPr>
          <w:bCs/>
        </w:rPr>
      </w:pPr>
    </w:p>
    <w:p w14:paraId="5337F3BB" w14:textId="77777777" w:rsidR="00357448" w:rsidRDefault="00357448" w:rsidP="00AC6695">
      <w:pPr>
        <w:shd w:val="clear" w:color="auto" w:fill="FFFFFF"/>
        <w:ind w:firstLine="720"/>
        <w:jc w:val="both"/>
        <w:rPr>
          <w:bCs/>
        </w:rPr>
      </w:pPr>
    </w:p>
    <w:p w14:paraId="70D36A27" w14:textId="7C6F3543" w:rsidR="00AE365B" w:rsidRPr="00AE365B" w:rsidRDefault="00DD0E1E" w:rsidP="00AE365B">
      <w:pPr>
        <w:shd w:val="clear" w:color="auto" w:fill="FFFFFF"/>
        <w:jc w:val="both"/>
        <w:rPr>
          <w:bCs/>
        </w:rPr>
      </w:pPr>
      <w:r w:rsidRPr="00AE365B">
        <w:rPr>
          <w:bCs/>
        </w:rPr>
        <w:t>PRIDEDAMA</w:t>
      </w:r>
      <w:r w:rsidR="00AE365B" w:rsidRPr="00AE365B">
        <w:rPr>
          <w:bCs/>
        </w:rPr>
        <w:t>:</w:t>
      </w:r>
      <w:r w:rsidR="0086728C" w:rsidRPr="00AE365B">
        <w:rPr>
          <w:bCs/>
        </w:rPr>
        <w:t xml:space="preserve"> </w:t>
      </w:r>
    </w:p>
    <w:p w14:paraId="515B385C" w14:textId="77777777" w:rsidR="00AE365B" w:rsidRPr="00AE365B" w:rsidRDefault="00AE365B" w:rsidP="00AE365B">
      <w:pPr>
        <w:widowControl w:val="0"/>
        <w:shd w:val="clear" w:color="auto" w:fill="FFFFFF"/>
        <w:jc w:val="both"/>
      </w:pPr>
      <w:r w:rsidRPr="00AE365B">
        <w:t>1. B dalis. Techninė specifikacija DPS_ Aktuali redakcija nuo_2021-07-01.</w:t>
      </w:r>
    </w:p>
    <w:p w14:paraId="338E065A" w14:textId="77777777" w:rsidR="00AE365B" w:rsidRPr="00AE365B" w:rsidRDefault="00AE365B" w:rsidP="00AE365B">
      <w:pPr>
        <w:widowControl w:val="0"/>
        <w:shd w:val="clear" w:color="auto" w:fill="FFFFFF"/>
        <w:jc w:val="both"/>
      </w:pPr>
      <w:r w:rsidRPr="00AE365B">
        <w:t>2. C dalis_3 priedas Pirkimo sutarties forma (vertės išpirkimas)_Aktuali redakcija nuo 2021-07-01.</w:t>
      </w:r>
    </w:p>
    <w:p w14:paraId="6A9677DF" w14:textId="77777777" w:rsidR="00AE365B" w:rsidRPr="00AE365B" w:rsidRDefault="00AE365B" w:rsidP="00AE365B">
      <w:pPr>
        <w:widowControl w:val="0"/>
        <w:shd w:val="clear" w:color="auto" w:fill="FFFFFF"/>
        <w:jc w:val="both"/>
      </w:pPr>
      <w:r w:rsidRPr="00AE365B">
        <w:t>3. C dalis_3 priedas Pirkimo sutarties forma (kiekio išpirkimas)_Aktuali redakcija nuo 2021-07-01.</w:t>
      </w:r>
    </w:p>
    <w:p w14:paraId="6F949DD6" w14:textId="7BF2EF6A" w:rsidR="00FA6C1D" w:rsidRPr="0086728C" w:rsidRDefault="00FA6C1D" w:rsidP="00AE365B">
      <w:pPr>
        <w:pStyle w:val="ListParagraph"/>
        <w:shd w:val="clear" w:color="auto" w:fill="FFFFFF"/>
        <w:jc w:val="both"/>
        <w:rPr>
          <w:bCs/>
        </w:rPr>
      </w:pPr>
    </w:p>
    <w:sectPr w:rsidR="00FA6C1D" w:rsidRPr="0086728C" w:rsidSect="00791D4F">
      <w:headerReference w:type="default" r:id="rId10"/>
      <w:footerReference w:type="even" r:id="rId11"/>
      <w:footerReference w:type="first" r:id="rId12"/>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DD23" w14:textId="77777777" w:rsidR="00C6341E" w:rsidRDefault="00C6341E">
      <w:r>
        <w:separator/>
      </w:r>
    </w:p>
  </w:endnote>
  <w:endnote w:type="continuationSeparator" w:id="0">
    <w:p w14:paraId="60CC7C7F" w14:textId="77777777" w:rsidR="00C6341E" w:rsidRDefault="00C6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C6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C6341E">
    <w:pPr>
      <w:pStyle w:val="Footer"/>
      <w:jc w:val="center"/>
    </w:pPr>
  </w:p>
  <w:p w14:paraId="5434B190" w14:textId="77777777" w:rsidR="00D4628F" w:rsidRDefault="00C6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4EC4" w14:textId="77777777" w:rsidR="00C6341E" w:rsidRDefault="00C6341E">
      <w:r>
        <w:separator/>
      </w:r>
    </w:p>
  </w:footnote>
  <w:footnote w:type="continuationSeparator" w:id="0">
    <w:p w14:paraId="6DC02A5A" w14:textId="77777777" w:rsidR="00C6341E" w:rsidRDefault="00C6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C6341E"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3323D"/>
    <w:multiLevelType w:val="multilevel"/>
    <w:tmpl w:val="A8AC7B9E"/>
    <w:lvl w:ilvl="0">
      <w:start w:val="1"/>
      <w:numFmt w:val="decimal"/>
      <w:lvlText w:val="%1."/>
      <w:lvlJc w:val="left"/>
      <w:pPr>
        <w:tabs>
          <w:tab w:val="num" w:pos="576"/>
        </w:tabs>
        <w:ind w:left="0" w:firstLine="0"/>
      </w:pPr>
      <w:rPr>
        <w:rFonts w:ascii="Tahoma" w:eastAsia="Times New Roman" w:hAnsi="Tahoma" w:cs="Tahoma" w:hint="default"/>
        <w:b/>
        <w:i w:val="0"/>
        <w:caps/>
        <w:color w:val="auto"/>
        <w:sz w:val="16"/>
      </w:rPr>
    </w:lvl>
    <w:lvl w:ilvl="1">
      <w:start w:val="1"/>
      <w:numFmt w:val="decimal"/>
      <w:pStyle w:val="Heading2"/>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5"/>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4"/>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7FF3"/>
    <w:rsid w:val="000924EE"/>
    <w:rsid w:val="000C3A90"/>
    <w:rsid w:val="00100402"/>
    <w:rsid w:val="00177756"/>
    <w:rsid w:val="00184D6B"/>
    <w:rsid w:val="001C6CE2"/>
    <w:rsid w:val="001D5BEB"/>
    <w:rsid w:val="002138CD"/>
    <w:rsid w:val="00276238"/>
    <w:rsid w:val="00277DCB"/>
    <w:rsid w:val="002D6FDB"/>
    <w:rsid w:val="002E43FE"/>
    <w:rsid w:val="003275CF"/>
    <w:rsid w:val="00337865"/>
    <w:rsid w:val="00357448"/>
    <w:rsid w:val="00365D4B"/>
    <w:rsid w:val="003950A8"/>
    <w:rsid w:val="004008FD"/>
    <w:rsid w:val="00410C40"/>
    <w:rsid w:val="00477C1E"/>
    <w:rsid w:val="004932B2"/>
    <w:rsid w:val="004A5A13"/>
    <w:rsid w:val="00512FC0"/>
    <w:rsid w:val="0056148B"/>
    <w:rsid w:val="005912F2"/>
    <w:rsid w:val="005D6705"/>
    <w:rsid w:val="00615269"/>
    <w:rsid w:val="00625C75"/>
    <w:rsid w:val="0067382C"/>
    <w:rsid w:val="006B0BDC"/>
    <w:rsid w:val="006D4CB7"/>
    <w:rsid w:val="006E53B8"/>
    <w:rsid w:val="00780A82"/>
    <w:rsid w:val="007D46AA"/>
    <w:rsid w:val="008441F9"/>
    <w:rsid w:val="0086728C"/>
    <w:rsid w:val="00873F62"/>
    <w:rsid w:val="008B0120"/>
    <w:rsid w:val="008C1212"/>
    <w:rsid w:val="008F3DC8"/>
    <w:rsid w:val="00902162"/>
    <w:rsid w:val="009157B6"/>
    <w:rsid w:val="00961369"/>
    <w:rsid w:val="00A9232A"/>
    <w:rsid w:val="00AC6695"/>
    <w:rsid w:val="00AE365B"/>
    <w:rsid w:val="00AF3DC1"/>
    <w:rsid w:val="00B9534C"/>
    <w:rsid w:val="00BD71D9"/>
    <w:rsid w:val="00BF6153"/>
    <w:rsid w:val="00BF6F86"/>
    <w:rsid w:val="00C044A2"/>
    <w:rsid w:val="00C1436E"/>
    <w:rsid w:val="00C14AA4"/>
    <w:rsid w:val="00C51A72"/>
    <w:rsid w:val="00C6341E"/>
    <w:rsid w:val="00D63185"/>
    <w:rsid w:val="00DD0E1E"/>
    <w:rsid w:val="00DE5055"/>
    <w:rsid w:val="00E442AF"/>
    <w:rsid w:val="00E857DC"/>
    <w:rsid w:val="00ED142D"/>
    <w:rsid w:val="00F36AF6"/>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
    <w:basedOn w:val="Normal"/>
    <w:next w:val="Normal"/>
    <w:link w:val="Heading2Char"/>
    <w:qFormat/>
    <w:rsid w:val="00902162"/>
    <w:pPr>
      <w:keepNext/>
      <w:numPr>
        <w:ilvl w:val="1"/>
        <w:numId w:val="5"/>
      </w:numPr>
      <w:spacing w:before="100" w:beforeAutospacing="1" w:line="276" w:lineRule="auto"/>
      <w:jc w:val="both"/>
      <w:outlineLvl w:val="1"/>
    </w:pPr>
    <w:rPr>
      <w:rFonts w:ascii="Calibri" w:hAnsi="Calibri" w:cs="Calibri"/>
      <w:b/>
      <w:bCs/>
      <w:iCs/>
      <w: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basedOn w:val="Normal"/>
    <w:uiPriority w:val="34"/>
    <w:qFormat/>
    <w:rsid w:val="00047FF3"/>
    <w:pPr>
      <w:ind w:left="720"/>
      <w:contextualSpacing/>
    </w:pPr>
  </w:style>
  <w:style w:type="character" w:customStyle="1" w:styleId="Heading2Char">
    <w:name w:val="Heading 2 Char"/>
    <w:aliases w:val="Title Header2 Char"/>
    <w:basedOn w:val="DefaultParagraphFont"/>
    <w:link w:val="Heading2"/>
    <w:rsid w:val="00902162"/>
    <w:rPr>
      <w:rFonts w:ascii="Calibri" w:eastAsia="Times New Roman" w:hAnsi="Calibri" w:cs="Calibri"/>
      <w:b/>
      <w:bCs/>
      <w:iCs/>
      <w:cap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dcterms:created xsi:type="dcterms:W3CDTF">2021-06-30T12:41:00Z</dcterms:created>
  <dcterms:modified xsi:type="dcterms:W3CDTF">2021-06-30T14:58:00Z</dcterms:modified>
</cp:coreProperties>
</file>