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FABC7" w14:textId="77777777" w:rsidR="00F0772E" w:rsidRPr="000A572A" w:rsidRDefault="00F0772E" w:rsidP="002A5A9E">
      <w:pPr>
        <w:spacing w:after="0" w:line="240" w:lineRule="auto"/>
        <w:jc w:val="center"/>
        <w:rPr>
          <w:rFonts w:ascii="Verdana" w:hAnsi="Verdana" w:cs="Times New Roman"/>
          <w:sz w:val="20"/>
          <w:szCs w:val="20"/>
        </w:rPr>
      </w:pPr>
    </w:p>
    <w:p w14:paraId="1F5A956D" w14:textId="75D145CC" w:rsidR="001D5EED" w:rsidRPr="000A572A" w:rsidRDefault="00F0772E" w:rsidP="002A5A9E">
      <w:pPr>
        <w:spacing w:after="0" w:line="240" w:lineRule="auto"/>
        <w:jc w:val="center"/>
        <w:rPr>
          <w:rFonts w:ascii="Verdana" w:hAnsi="Verdana" w:cs="Times New Roman"/>
          <w:sz w:val="20"/>
          <w:szCs w:val="20"/>
        </w:rPr>
      </w:pPr>
      <w:r w:rsidRPr="000A572A">
        <w:rPr>
          <w:rFonts w:ascii="Verdana" w:hAnsi="Verdana"/>
          <w:noProof/>
          <w:sz w:val="20"/>
          <w:szCs w:val="20"/>
        </w:rPr>
        <w:drawing>
          <wp:inline distT="0" distB="0" distL="0" distR="0" wp14:anchorId="388028BB" wp14:editId="27A74DA0">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10BB5DE9" w14:textId="77777777" w:rsidR="00536E86" w:rsidRDefault="00536E86" w:rsidP="00536E86">
      <w:pPr>
        <w:spacing w:after="0"/>
        <w:jc w:val="center"/>
        <w:rPr>
          <w:rFonts w:ascii="Verdana" w:hAnsi="Verdana" w:cs="Times New Roman"/>
          <w:b/>
          <w:bCs/>
          <w:sz w:val="20"/>
          <w:szCs w:val="20"/>
          <w:lang w:val="lt-LT"/>
        </w:rPr>
      </w:pPr>
    </w:p>
    <w:p w14:paraId="16FAEE29" w14:textId="44A889CD" w:rsidR="00536E86" w:rsidRPr="00412385" w:rsidRDefault="00536E86" w:rsidP="00536E86">
      <w:pPr>
        <w:spacing w:after="0"/>
        <w:jc w:val="center"/>
        <w:rPr>
          <w:rFonts w:ascii="Verdana" w:hAnsi="Verdana" w:cs="Times New Roman"/>
          <w:b/>
          <w:bCs/>
          <w:sz w:val="20"/>
          <w:szCs w:val="20"/>
          <w:lang w:val="lt-LT"/>
        </w:rPr>
      </w:pPr>
      <w:r w:rsidRPr="00412385">
        <w:rPr>
          <w:rFonts w:ascii="Verdana" w:hAnsi="Verdana" w:cs="Times New Roman"/>
          <w:b/>
          <w:bCs/>
          <w:sz w:val="20"/>
          <w:szCs w:val="20"/>
          <w:lang w:val="lt-LT"/>
        </w:rPr>
        <w:t>DĖL RINKOS KONSULTACIJOS REZULTATŲ</w:t>
      </w:r>
    </w:p>
    <w:p w14:paraId="338F6047" w14:textId="77777777" w:rsidR="00536E86" w:rsidRPr="00412385" w:rsidRDefault="00536E86" w:rsidP="00536E86">
      <w:pPr>
        <w:spacing w:after="0"/>
        <w:rPr>
          <w:rFonts w:ascii="Verdana" w:hAnsi="Verdana" w:cs="Times New Roman"/>
          <w:sz w:val="20"/>
          <w:szCs w:val="20"/>
          <w:lang w:val="lt-LT"/>
        </w:rPr>
      </w:pPr>
    </w:p>
    <w:p w14:paraId="1E6D6547" w14:textId="77777777" w:rsidR="00536E86" w:rsidRPr="00412385" w:rsidRDefault="00536E86" w:rsidP="00536E86">
      <w:pPr>
        <w:spacing w:after="0"/>
        <w:rPr>
          <w:rFonts w:ascii="Verdana" w:hAnsi="Verdana" w:cs="Times New Roman"/>
          <w:sz w:val="20"/>
          <w:szCs w:val="20"/>
          <w:lang w:val="lt-LT"/>
        </w:rPr>
      </w:pPr>
    </w:p>
    <w:p w14:paraId="65D31455" w14:textId="0360FCB9" w:rsidR="00536E86" w:rsidRPr="00412385" w:rsidRDefault="00536E86" w:rsidP="00536E86">
      <w:pPr>
        <w:tabs>
          <w:tab w:val="left" w:pos="1134"/>
        </w:tabs>
        <w:spacing w:after="0"/>
        <w:ind w:firstLine="709"/>
        <w:jc w:val="both"/>
        <w:rPr>
          <w:rFonts w:ascii="Verdana" w:hAnsi="Verdana" w:cs="Times New Roman"/>
          <w:sz w:val="20"/>
          <w:szCs w:val="20"/>
          <w:lang w:val="lt-LT"/>
        </w:rPr>
      </w:pPr>
      <w:r w:rsidRPr="00412385">
        <w:rPr>
          <w:rFonts w:ascii="Verdana" w:hAnsi="Verdana" w:cs="Times New Roman"/>
          <w:sz w:val="20"/>
          <w:szCs w:val="20"/>
          <w:lang w:val="lt-LT"/>
        </w:rPr>
        <w:t xml:space="preserve">VšĮ Lietuvos nacionalinis radijas ir televizija (toliau – Perkančioji organizacija) </w:t>
      </w:r>
      <w:r>
        <w:rPr>
          <w:rFonts w:ascii="Verdana" w:hAnsi="Verdana" w:cs="Times New Roman"/>
          <w:sz w:val="20"/>
          <w:szCs w:val="20"/>
          <w:lang w:val="lt-LT"/>
        </w:rPr>
        <w:t xml:space="preserve">2025-04-02 </w:t>
      </w:r>
      <w:r w:rsidRPr="00412385">
        <w:rPr>
          <w:rFonts w:ascii="Verdana" w:hAnsi="Verdana" w:cs="Times New Roman"/>
          <w:sz w:val="20"/>
          <w:szCs w:val="20"/>
          <w:lang w:val="lt-LT"/>
        </w:rPr>
        <w:t xml:space="preserve">Centrinėje </w:t>
      </w:r>
      <w:r w:rsidRPr="00536E86">
        <w:rPr>
          <w:rFonts w:ascii="Verdana" w:hAnsi="Verdana" w:cs="Times New Roman"/>
          <w:sz w:val="20"/>
          <w:szCs w:val="20"/>
          <w:lang w:val="lt-LT"/>
        </w:rPr>
        <w:t xml:space="preserve">viešųjų pirkimų informacinėje sistemoje (toliau – CVP IS) paskelbė rinkos konsultaciją Nr. </w:t>
      </w:r>
      <w:r w:rsidRPr="00BF4424">
        <w:rPr>
          <w:rFonts w:ascii="Verdana" w:hAnsi="Verdana" w:cs="Times New Roman"/>
          <w:sz w:val="20"/>
          <w:szCs w:val="20"/>
          <w:lang w:val="lt-LT"/>
        </w:rPr>
        <w:t xml:space="preserve">1995213 </w:t>
      </w:r>
      <w:r w:rsidRPr="00536E86">
        <w:rPr>
          <w:rFonts w:ascii="Verdana" w:hAnsi="Verdana" w:cs="Times New Roman"/>
          <w:sz w:val="20"/>
          <w:szCs w:val="20"/>
          <w:lang w:val="lt-LT"/>
        </w:rPr>
        <w:t xml:space="preserve">dėl saugumo ir analitikos operacijų centro nuomos pirkimo (toliau – pirkimas). Dėkojame dalyviams už dalyvavimą </w:t>
      </w:r>
      <w:r w:rsidRPr="00412385">
        <w:rPr>
          <w:rFonts w:ascii="Verdana" w:hAnsi="Verdana" w:cs="Times New Roman"/>
          <w:sz w:val="20"/>
          <w:szCs w:val="20"/>
          <w:lang w:val="lt-LT"/>
        </w:rPr>
        <w:t xml:space="preserve">rinkos konsultacijoje ir vertingas įžvalgas. </w:t>
      </w:r>
    </w:p>
    <w:p w14:paraId="1FC9498C" w14:textId="30B112F6" w:rsidR="006C215B" w:rsidRDefault="00536E86" w:rsidP="000A572A">
      <w:pPr>
        <w:spacing w:after="0" w:line="240" w:lineRule="auto"/>
        <w:ind w:firstLine="709"/>
        <w:jc w:val="both"/>
        <w:rPr>
          <w:rFonts w:ascii="Verdana" w:hAnsi="Verdana" w:cs="Times New Roman"/>
          <w:sz w:val="20"/>
          <w:szCs w:val="20"/>
          <w:lang w:val="lt-LT"/>
        </w:rPr>
      </w:pPr>
      <w:r>
        <w:rPr>
          <w:rFonts w:ascii="Verdana" w:hAnsi="Verdana" w:cs="Times New Roman"/>
          <w:sz w:val="20"/>
          <w:szCs w:val="20"/>
          <w:lang w:val="lt-LT"/>
        </w:rPr>
        <w:t>Kvietime</w:t>
      </w:r>
      <w:r w:rsidRPr="00412385">
        <w:rPr>
          <w:rFonts w:ascii="Verdana" w:hAnsi="Verdana" w:cs="Times New Roman"/>
          <w:sz w:val="20"/>
          <w:szCs w:val="20"/>
          <w:lang w:val="lt-LT"/>
        </w:rPr>
        <w:t xml:space="preserve"> </w:t>
      </w:r>
      <w:r>
        <w:rPr>
          <w:rFonts w:ascii="Verdana" w:hAnsi="Verdana" w:cs="Times New Roman"/>
          <w:sz w:val="20"/>
          <w:szCs w:val="20"/>
          <w:lang w:val="lt-LT"/>
        </w:rPr>
        <w:t>į</w:t>
      </w:r>
      <w:r w:rsidRPr="00412385">
        <w:rPr>
          <w:rFonts w:ascii="Verdana" w:hAnsi="Verdana" w:cs="Times New Roman"/>
          <w:sz w:val="20"/>
          <w:szCs w:val="20"/>
          <w:lang w:val="lt-LT"/>
        </w:rPr>
        <w:t xml:space="preserve"> rinkos konsultaciją buvo pateikti Perkančiosios organizacijos klausimai, į kuriuos dalyvių buvo prašomi atsakyti iki CVP IS nurodytos rinkos konsultacijos termino pabaigos</w:t>
      </w:r>
      <w:r w:rsidRPr="00427979">
        <w:rPr>
          <w:rFonts w:ascii="Verdana" w:hAnsi="Verdana" w:cs="Times New Roman"/>
          <w:sz w:val="20"/>
          <w:szCs w:val="20"/>
          <w:lang w:val="lt-LT"/>
        </w:rPr>
        <w:t>. Teikiame dalyvių</w:t>
      </w:r>
      <w:r w:rsidRPr="00412385">
        <w:rPr>
          <w:rFonts w:ascii="Verdana" w:hAnsi="Verdana" w:cs="Times New Roman"/>
          <w:sz w:val="20"/>
          <w:szCs w:val="20"/>
          <w:lang w:val="lt-LT"/>
        </w:rPr>
        <w:t xml:space="preserve"> </w:t>
      </w:r>
      <w:r w:rsidR="00427979">
        <w:rPr>
          <w:rFonts w:ascii="Verdana" w:hAnsi="Verdana" w:cs="Times New Roman"/>
          <w:sz w:val="20"/>
          <w:szCs w:val="20"/>
          <w:lang w:val="lt-LT"/>
        </w:rPr>
        <w:t>atsakymus ir Perkančiosios organizacijos komentarus.</w:t>
      </w:r>
    </w:p>
    <w:tbl>
      <w:tblPr>
        <w:tblStyle w:val="TableGrid"/>
        <w:tblW w:w="15587" w:type="dxa"/>
        <w:tblLook w:val="04A0" w:firstRow="1" w:lastRow="0" w:firstColumn="1" w:lastColumn="0" w:noHBand="0" w:noVBand="1"/>
      </w:tblPr>
      <w:tblGrid>
        <w:gridCol w:w="1005"/>
        <w:gridCol w:w="7493"/>
        <w:gridCol w:w="3545"/>
        <w:gridCol w:w="3544"/>
      </w:tblGrid>
      <w:tr w:rsidR="00536E86" w:rsidRPr="00C7611F" w14:paraId="2667CF52" w14:textId="276AF450" w:rsidTr="00536E86">
        <w:trPr>
          <w:trHeight w:val="980"/>
        </w:trPr>
        <w:tc>
          <w:tcPr>
            <w:tcW w:w="1005" w:type="dxa"/>
            <w:tcBorders>
              <w:top w:val="single" w:sz="4" w:space="0" w:color="auto"/>
              <w:left w:val="single" w:sz="4" w:space="0" w:color="auto"/>
              <w:bottom w:val="single" w:sz="4" w:space="0" w:color="auto"/>
              <w:right w:val="single" w:sz="4" w:space="0" w:color="auto"/>
            </w:tcBorders>
            <w:hideMark/>
          </w:tcPr>
          <w:p w14:paraId="4CCCEA4F" w14:textId="77777777" w:rsidR="00536E86" w:rsidRPr="00C7611F" w:rsidRDefault="00536E86" w:rsidP="00536E86">
            <w:pPr>
              <w:jc w:val="both"/>
              <w:rPr>
                <w:rFonts w:ascii="Verdana" w:hAnsi="Verdana" w:cs="Times New Roman"/>
                <w:b/>
                <w:bCs/>
                <w:sz w:val="20"/>
                <w:szCs w:val="20"/>
              </w:rPr>
            </w:pPr>
            <w:r w:rsidRPr="00C7611F">
              <w:rPr>
                <w:rFonts w:ascii="Verdana" w:hAnsi="Verdana" w:cs="Times New Roman"/>
                <w:b/>
                <w:bCs/>
                <w:sz w:val="20"/>
                <w:szCs w:val="20"/>
              </w:rPr>
              <w:t>Eil. Nr.</w:t>
            </w:r>
          </w:p>
        </w:tc>
        <w:tc>
          <w:tcPr>
            <w:tcW w:w="7493" w:type="dxa"/>
            <w:tcBorders>
              <w:top w:val="single" w:sz="4" w:space="0" w:color="auto"/>
              <w:left w:val="single" w:sz="4" w:space="0" w:color="auto"/>
              <w:bottom w:val="single" w:sz="4" w:space="0" w:color="auto"/>
              <w:right w:val="single" w:sz="4" w:space="0" w:color="auto"/>
            </w:tcBorders>
            <w:hideMark/>
          </w:tcPr>
          <w:p w14:paraId="6C45B801" w14:textId="02E24774" w:rsidR="00536E86" w:rsidRPr="00C7611F" w:rsidRDefault="00536E86" w:rsidP="00536E86">
            <w:pPr>
              <w:jc w:val="both"/>
              <w:rPr>
                <w:rFonts w:ascii="Verdana" w:hAnsi="Verdana" w:cs="Times New Roman"/>
                <w:b/>
                <w:bCs/>
                <w:sz w:val="20"/>
                <w:szCs w:val="20"/>
              </w:rPr>
            </w:pPr>
            <w:r>
              <w:rPr>
                <w:rFonts w:ascii="Verdana" w:hAnsi="Verdana" w:cs="Times New Roman"/>
                <w:b/>
                <w:bCs/>
                <w:sz w:val="20"/>
                <w:szCs w:val="20"/>
              </w:rPr>
              <w:t>Perkančiosios organizacijos k</w:t>
            </w:r>
            <w:r w:rsidRPr="00C7611F">
              <w:rPr>
                <w:rFonts w:ascii="Verdana" w:hAnsi="Verdana" w:cs="Times New Roman"/>
                <w:b/>
                <w:bCs/>
                <w:sz w:val="20"/>
                <w:szCs w:val="20"/>
              </w:rPr>
              <w:t>lausimas</w:t>
            </w:r>
          </w:p>
        </w:tc>
        <w:tc>
          <w:tcPr>
            <w:tcW w:w="3545" w:type="dxa"/>
            <w:tcBorders>
              <w:top w:val="single" w:sz="4" w:space="0" w:color="auto"/>
              <w:left w:val="single" w:sz="4" w:space="0" w:color="auto"/>
              <w:bottom w:val="single" w:sz="4" w:space="0" w:color="auto"/>
              <w:right w:val="single" w:sz="4" w:space="0" w:color="auto"/>
            </w:tcBorders>
            <w:hideMark/>
          </w:tcPr>
          <w:p w14:paraId="49B1005D" w14:textId="5F758CEA" w:rsidR="00536E86" w:rsidRPr="00C7611F" w:rsidRDefault="00536E86" w:rsidP="00536E86">
            <w:pPr>
              <w:jc w:val="both"/>
              <w:rPr>
                <w:rFonts w:ascii="Verdana" w:hAnsi="Verdana" w:cs="Times New Roman"/>
                <w:b/>
                <w:bCs/>
                <w:sz w:val="20"/>
                <w:szCs w:val="20"/>
              </w:rPr>
            </w:pPr>
            <w:r>
              <w:rPr>
                <w:rFonts w:ascii="Verdana" w:hAnsi="Verdana" w:cs="Times New Roman"/>
                <w:b/>
                <w:bCs/>
                <w:sz w:val="20"/>
                <w:szCs w:val="20"/>
              </w:rPr>
              <w:t xml:space="preserve">Dalyvio 1 </w:t>
            </w:r>
            <w:r w:rsidRPr="00C7611F">
              <w:rPr>
                <w:rFonts w:ascii="Verdana" w:hAnsi="Verdana" w:cs="Times New Roman"/>
                <w:b/>
                <w:bCs/>
                <w:sz w:val="20"/>
                <w:szCs w:val="20"/>
              </w:rPr>
              <w:t>Atsakymas</w:t>
            </w:r>
            <w:r>
              <w:rPr>
                <w:rFonts w:ascii="Verdana" w:hAnsi="Verdana" w:cs="Times New Roman"/>
                <w:b/>
                <w:bCs/>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14:paraId="56D702E0" w14:textId="3BABE86A" w:rsidR="00536E86" w:rsidRDefault="00536E86" w:rsidP="00536E86">
            <w:pPr>
              <w:jc w:val="both"/>
              <w:rPr>
                <w:rFonts w:ascii="Verdana" w:hAnsi="Verdana" w:cs="Times New Roman"/>
                <w:b/>
                <w:bCs/>
                <w:sz w:val="20"/>
                <w:szCs w:val="20"/>
              </w:rPr>
            </w:pPr>
            <w:r>
              <w:rPr>
                <w:rFonts w:ascii="Verdana" w:hAnsi="Verdana" w:cs="Times New Roman"/>
                <w:b/>
                <w:bCs/>
                <w:sz w:val="20"/>
                <w:szCs w:val="20"/>
              </w:rPr>
              <w:t xml:space="preserve">Dalyvio </w:t>
            </w:r>
            <w:r w:rsidR="003C2477">
              <w:rPr>
                <w:rFonts w:ascii="Verdana" w:hAnsi="Verdana" w:cs="Times New Roman"/>
                <w:b/>
                <w:bCs/>
                <w:sz w:val="20"/>
                <w:szCs w:val="20"/>
              </w:rPr>
              <w:t>2</w:t>
            </w:r>
            <w:r>
              <w:rPr>
                <w:rFonts w:ascii="Verdana" w:hAnsi="Verdana" w:cs="Times New Roman"/>
                <w:b/>
                <w:bCs/>
                <w:sz w:val="20"/>
                <w:szCs w:val="20"/>
              </w:rPr>
              <w:t xml:space="preserve"> </w:t>
            </w:r>
            <w:r w:rsidRPr="00C7611F">
              <w:rPr>
                <w:rFonts w:ascii="Verdana" w:hAnsi="Verdana" w:cs="Times New Roman"/>
                <w:b/>
                <w:bCs/>
                <w:sz w:val="20"/>
                <w:szCs w:val="20"/>
              </w:rPr>
              <w:t>Atsakymas</w:t>
            </w:r>
          </w:p>
        </w:tc>
      </w:tr>
      <w:tr w:rsidR="00536E86" w:rsidRPr="00C7611F" w14:paraId="68746B30" w14:textId="181C8155" w:rsidTr="00536E86">
        <w:trPr>
          <w:trHeight w:val="242"/>
        </w:trPr>
        <w:tc>
          <w:tcPr>
            <w:tcW w:w="12043" w:type="dxa"/>
            <w:gridSpan w:val="3"/>
            <w:tcBorders>
              <w:top w:val="single" w:sz="4" w:space="0" w:color="auto"/>
              <w:left w:val="single" w:sz="4" w:space="0" w:color="auto"/>
              <w:bottom w:val="single" w:sz="4" w:space="0" w:color="auto"/>
              <w:right w:val="single" w:sz="4" w:space="0" w:color="auto"/>
            </w:tcBorders>
          </w:tcPr>
          <w:p w14:paraId="778946F7" w14:textId="77777777" w:rsidR="00536E86" w:rsidRPr="00C7611F" w:rsidRDefault="00536E86" w:rsidP="00536E86">
            <w:pPr>
              <w:jc w:val="center"/>
              <w:rPr>
                <w:rFonts w:ascii="Verdana" w:hAnsi="Verdana" w:cs="Times New Roman"/>
                <w:b/>
                <w:bCs/>
                <w:sz w:val="20"/>
                <w:szCs w:val="20"/>
              </w:rPr>
            </w:pPr>
            <w:r w:rsidRPr="00C7611F">
              <w:rPr>
                <w:rFonts w:ascii="Verdana" w:hAnsi="Verdana" w:cs="Times New Roman"/>
                <w:b/>
                <w:bCs/>
                <w:sz w:val="20"/>
                <w:szCs w:val="20"/>
              </w:rPr>
              <w:t>KLAUSIMAI DĖL TECHNINĖS SPECIFIKACIJOS REIKALAVIMŲ</w:t>
            </w:r>
          </w:p>
        </w:tc>
        <w:tc>
          <w:tcPr>
            <w:tcW w:w="3544" w:type="dxa"/>
            <w:tcBorders>
              <w:top w:val="single" w:sz="4" w:space="0" w:color="auto"/>
              <w:left w:val="single" w:sz="4" w:space="0" w:color="auto"/>
              <w:bottom w:val="single" w:sz="4" w:space="0" w:color="auto"/>
              <w:right w:val="single" w:sz="4" w:space="0" w:color="auto"/>
            </w:tcBorders>
          </w:tcPr>
          <w:p w14:paraId="480A618F" w14:textId="77777777" w:rsidR="00536E86" w:rsidRPr="00C7611F" w:rsidRDefault="00536E86" w:rsidP="00536E86">
            <w:pPr>
              <w:jc w:val="center"/>
              <w:rPr>
                <w:rFonts w:ascii="Verdana" w:hAnsi="Verdana" w:cs="Times New Roman"/>
                <w:b/>
                <w:bCs/>
                <w:sz w:val="20"/>
                <w:szCs w:val="20"/>
              </w:rPr>
            </w:pPr>
          </w:p>
        </w:tc>
      </w:tr>
      <w:tr w:rsidR="00536E86" w:rsidRPr="00EB5E6F" w14:paraId="30B83C16" w14:textId="7708BA84" w:rsidTr="009473E8">
        <w:trPr>
          <w:trHeight w:val="690"/>
        </w:trPr>
        <w:tc>
          <w:tcPr>
            <w:tcW w:w="1005" w:type="dxa"/>
            <w:tcBorders>
              <w:top w:val="single" w:sz="4" w:space="0" w:color="auto"/>
              <w:left w:val="single" w:sz="4" w:space="0" w:color="auto"/>
              <w:bottom w:val="single" w:sz="4" w:space="0" w:color="auto"/>
              <w:right w:val="single" w:sz="4" w:space="0" w:color="auto"/>
            </w:tcBorders>
          </w:tcPr>
          <w:p w14:paraId="5540FB36" w14:textId="77777777" w:rsidR="00536E86" w:rsidRPr="00C7611F" w:rsidRDefault="00536E86" w:rsidP="00536E86">
            <w:pPr>
              <w:numPr>
                <w:ilvl w:val="0"/>
                <w:numId w:val="4"/>
              </w:numPr>
              <w:pBdr>
                <w:top w:val="nil"/>
                <w:left w:val="nil"/>
                <w:bottom w:val="nil"/>
                <w:right w:val="nil"/>
                <w:between w:val="nil"/>
                <w:bar w:val="nil"/>
              </w:pBdr>
              <w:ind w:left="0" w:firstLine="0"/>
              <w:jc w:val="both"/>
              <w:rPr>
                <w:rFonts w:ascii="Verdana" w:hAnsi="Verdana" w:cs="Times New Roman"/>
                <w:bCs/>
                <w:sz w:val="20"/>
                <w:szCs w:val="20"/>
              </w:rPr>
            </w:pPr>
          </w:p>
        </w:tc>
        <w:tc>
          <w:tcPr>
            <w:tcW w:w="7493" w:type="dxa"/>
            <w:tcBorders>
              <w:top w:val="single" w:sz="4" w:space="0" w:color="auto"/>
              <w:left w:val="single" w:sz="4" w:space="0" w:color="auto"/>
              <w:bottom w:val="single" w:sz="4" w:space="0" w:color="auto"/>
              <w:right w:val="single" w:sz="4" w:space="0" w:color="auto"/>
            </w:tcBorders>
            <w:hideMark/>
          </w:tcPr>
          <w:p w14:paraId="38F21A3D" w14:textId="77777777" w:rsidR="00536E86" w:rsidRPr="00C7611F" w:rsidRDefault="00536E86" w:rsidP="00536E86">
            <w:pPr>
              <w:jc w:val="both"/>
              <w:rPr>
                <w:rFonts w:ascii="Verdana" w:hAnsi="Verdana" w:cs="Times New Roman"/>
                <w:bCs/>
                <w:i/>
                <w:iCs/>
                <w:sz w:val="20"/>
                <w:szCs w:val="20"/>
              </w:rPr>
            </w:pPr>
            <w:r w:rsidRPr="00C7611F">
              <w:rPr>
                <w:rFonts w:ascii="Verdana" w:hAnsi="Verdana" w:cs="Times New Roman"/>
                <w:bCs/>
                <w:i/>
                <w:iCs/>
                <w:sz w:val="20"/>
                <w:szCs w:val="20"/>
              </w:rPr>
              <w:t>Ar turite pastabų, klausimų techninės specifikacijos projektui? Jeigu taip, prašome nurodyti konkrečius klausimus, kurie kyla.</w:t>
            </w:r>
          </w:p>
          <w:p w14:paraId="3AE564E9" w14:textId="77777777" w:rsidR="00536E86" w:rsidRPr="00C7611F" w:rsidRDefault="00536E86" w:rsidP="00536E86">
            <w:pPr>
              <w:jc w:val="both"/>
              <w:rPr>
                <w:rFonts w:ascii="Verdana" w:hAnsi="Verdana" w:cs="Times New Roman"/>
                <w:bCs/>
                <w:i/>
                <w:iCs/>
                <w:sz w:val="20"/>
                <w:szCs w:val="20"/>
              </w:rPr>
            </w:pPr>
            <w:r w:rsidRPr="00C7611F">
              <w:rPr>
                <w:rFonts w:ascii="Verdana" w:hAnsi="Verdana" w:cs="Times New Roman"/>
                <w:bCs/>
                <w:i/>
                <w:iCs/>
                <w:sz w:val="20"/>
                <w:szCs w:val="20"/>
              </w:rPr>
              <w:t>Ar techninė specifikacija pakankamai išsami, konkreti ir aiški, ar joje yra visa informacija, reikalinga tinkamam pasiūlymo parengimui?</w:t>
            </w:r>
          </w:p>
          <w:p w14:paraId="0D5D14D1" w14:textId="77777777" w:rsidR="00536E86" w:rsidRPr="00C7611F" w:rsidRDefault="00536E86" w:rsidP="00536E86">
            <w:pPr>
              <w:jc w:val="both"/>
              <w:rPr>
                <w:rFonts w:ascii="Verdana" w:hAnsi="Verdana" w:cs="Times New Roman"/>
                <w:bCs/>
                <w:i/>
                <w:iCs/>
                <w:sz w:val="20"/>
                <w:szCs w:val="20"/>
              </w:rPr>
            </w:pPr>
            <w:r w:rsidRPr="00C7611F">
              <w:rPr>
                <w:rFonts w:ascii="Verdana" w:hAnsi="Verdana" w:cs="Times New Roman"/>
                <w:bCs/>
                <w:i/>
                <w:iCs/>
                <w:sz w:val="20"/>
                <w:szCs w:val="20"/>
              </w:rPr>
              <w:t xml:space="preserve">Jei ne, prašome nurodyti, kas neaišku ir ką turėtumėme patikslinti. </w:t>
            </w:r>
          </w:p>
          <w:p w14:paraId="46F4450E" w14:textId="77777777" w:rsidR="00536E86" w:rsidRPr="00C7611F" w:rsidRDefault="00536E86" w:rsidP="00536E86">
            <w:pPr>
              <w:jc w:val="both"/>
              <w:rPr>
                <w:rFonts w:ascii="Verdana" w:hAnsi="Verdana" w:cs="Times New Roman"/>
                <w:bCs/>
                <w:i/>
                <w:iCs/>
                <w:sz w:val="20"/>
                <w:szCs w:val="20"/>
              </w:rPr>
            </w:pPr>
            <w:r w:rsidRPr="00C7611F">
              <w:rPr>
                <w:rFonts w:ascii="Verdana" w:hAnsi="Verdana" w:cs="Times New Roman"/>
                <w:bCs/>
                <w:i/>
                <w:iCs/>
                <w:sz w:val="20"/>
                <w:szCs w:val="20"/>
              </w:rPr>
              <w:t>Prašome pateikti argumentuotas pastabas/klausimus.</w:t>
            </w:r>
          </w:p>
        </w:tc>
        <w:tc>
          <w:tcPr>
            <w:tcW w:w="3545" w:type="dxa"/>
            <w:tcBorders>
              <w:top w:val="single" w:sz="4" w:space="0" w:color="auto"/>
              <w:left w:val="single" w:sz="4" w:space="0" w:color="auto"/>
              <w:bottom w:val="single" w:sz="4" w:space="0" w:color="auto"/>
              <w:right w:val="single" w:sz="4" w:space="0" w:color="auto"/>
            </w:tcBorders>
          </w:tcPr>
          <w:p w14:paraId="3B6F407B" w14:textId="34BA5030" w:rsidR="00536E86" w:rsidRDefault="00536E86" w:rsidP="00536E86">
            <w:pPr>
              <w:jc w:val="both"/>
              <w:rPr>
                <w:rFonts w:ascii="Verdana" w:hAnsi="Verdana" w:cs="Times New Roman"/>
                <w:bCs/>
                <w:sz w:val="20"/>
                <w:szCs w:val="20"/>
              </w:rPr>
            </w:pPr>
            <w:r>
              <w:rPr>
                <w:rFonts w:ascii="Verdana" w:hAnsi="Verdana" w:cs="Times New Roman"/>
                <w:bCs/>
                <w:sz w:val="20"/>
                <w:szCs w:val="20"/>
              </w:rPr>
              <w:t>Specifikacijoje nurodoma, kad dabar naudojamas Logrythm SIEM įrankis, ir jei tiekėjas siūlo kitą, nurodytas reikalavimas migruoti duomenis iš dabartinio įrankio į naują (5.3 punktas).</w:t>
            </w:r>
          </w:p>
          <w:p w14:paraId="36097DE2" w14:textId="77777777" w:rsidR="00536E86" w:rsidRDefault="00536E86" w:rsidP="00536E86">
            <w:pPr>
              <w:jc w:val="both"/>
              <w:rPr>
                <w:rFonts w:ascii="Verdana" w:hAnsi="Verdana" w:cs="Times New Roman"/>
                <w:bCs/>
                <w:sz w:val="20"/>
                <w:szCs w:val="20"/>
              </w:rPr>
            </w:pPr>
            <w:r>
              <w:rPr>
                <w:rFonts w:ascii="Verdana" w:hAnsi="Verdana" w:cs="Times New Roman"/>
                <w:bCs/>
                <w:sz w:val="20"/>
                <w:szCs w:val="20"/>
              </w:rPr>
              <w:t xml:space="preserve">Tiekėjai siūlantys tą patį produktą kuris dabar naudojamas įgyją konkurencinį pranašumą, nes nebereikalingas duomenų migravimas. Siekiant neriboti konkurencijos siūlome reikalavimuose nurodyti, kad dabartinė Logrythm sistema liks 6 mėn., kaip archyvas, kuris bus panaikintas po 6 mėn., kai baigsis duomenų galiojimo terminas. </w:t>
            </w:r>
          </w:p>
          <w:p w14:paraId="3CF8EB22" w14:textId="77777777" w:rsidR="0077796E" w:rsidRDefault="0077796E" w:rsidP="00536E86">
            <w:pPr>
              <w:jc w:val="both"/>
              <w:rPr>
                <w:rFonts w:ascii="Verdana" w:hAnsi="Verdana" w:cs="Times New Roman"/>
                <w:bCs/>
                <w:sz w:val="20"/>
                <w:szCs w:val="20"/>
              </w:rPr>
            </w:pPr>
          </w:p>
          <w:p w14:paraId="270DF78A" w14:textId="5C396CF7" w:rsidR="00662103" w:rsidRDefault="0077796E" w:rsidP="0077796E">
            <w:pPr>
              <w:jc w:val="both"/>
              <w:rPr>
                <w:rFonts w:ascii="Verdana" w:hAnsi="Verdana" w:cs="Times New Roman"/>
                <w:bCs/>
                <w:sz w:val="20"/>
                <w:szCs w:val="20"/>
              </w:rPr>
            </w:pPr>
            <w:r>
              <w:rPr>
                <w:rFonts w:ascii="Verdana" w:hAnsi="Verdana" w:cs="Times New Roman"/>
                <w:bCs/>
                <w:sz w:val="20"/>
                <w:szCs w:val="20"/>
              </w:rPr>
              <w:t>PERKANČIOSIOS ORGANIZACIJOS KOMENTARAS:</w:t>
            </w:r>
            <w:r w:rsidR="00265300">
              <w:rPr>
                <w:rFonts w:ascii="Verdana" w:hAnsi="Verdana" w:cs="Times New Roman"/>
                <w:bCs/>
                <w:sz w:val="20"/>
                <w:szCs w:val="20"/>
              </w:rPr>
              <w:t xml:space="preserve"> </w:t>
            </w:r>
            <w:r w:rsidR="008F3263">
              <w:rPr>
                <w:rFonts w:ascii="Verdana" w:hAnsi="Verdana" w:cs="Times New Roman"/>
                <w:bCs/>
                <w:sz w:val="20"/>
                <w:szCs w:val="20"/>
              </w:rPr>
              <w:lastRenderedPageBreak/>
              <w:t xml:space="preserve">Informuojame, jog perkančioji organizacija </w:t>
            </w:r>
            <w:r w:rsidR="004D749F">
              <w:rPr>
                <w:rFonts w:ascii="Verdana" w:hAnsi="Verdana" w:cs="Times New Roman"/>
                <w:bCs/>
                <w:sz w:val="20"/>
                <w:szCs w:val="20"/>
              </w:rPr>
              <w:t xml:space="preserve">negali šiuo metu turima sistema naudotis ilgiau nei </w:t>
            </w:r>
            <w:r w:rsidR="00BA6263">
              <w:rPr>
                <w:rFonts w:ascii="Verdana" w:hAnsi="Verdana" w:cs="Times New Roman"/>
                <w:bCs/>
                <w:sz w:val="20"/>
                <w:szCs w:val="20"/>
              </w:rPr>
              <w:t>nustatyta jos viešojo pirkimo sutartyje.</w:t>
            </w:r>
          </w:p>
          <w:p w14:paraId="1623C314" w14:textId="77777777" w:rsidR="0077796E" w:rsidRDefault="0077796E" w:rsidP="00536E86">
            <w:pPr>
              <w:jc w:val="both"/>
              <w:rPr>
                <w:rFonts w:ascii="Verdana" w:hAnsi="Verdana" w:cs="Times New Roman"/>
                <w:bCs/>
                <w:sz w:val="20"/>
                <w:szCs w:val="20"/>
              </w:rPr>
            </w:pPr>
          </w:p>
          <w:p w14:paraId="787980A6" w14:textId="77777777" w:rsidR="00536E86" w:rsidRDefault="00536E86" w:rsidP="00536E86">
            <w:pPr>
              <w:jc w:val="both"/>
              <w:rPr>
                <w:rFonts w:ascii="Verdana" w:hAnsi="Verdana" w:cs="Times New Roman"/>
                <w:bCs/>
                <w:sz w:val="20"/>
                <w:szCs w:val="20"/>
              </w:rPr>
            </w:pPr>
            <w:r>
              <w:rPr>
                <w:rFonts w:ascii="Verdana" w:hAnsi="Verdana" w:cs="Times New Roman"/>
                <w:bCs/>
                <w:sz w:val="20"/>
                <w:szCs w:val="20"/>
              </w:rPr>
              <w:t>Siūlome 5.1. – 5.3 punktuose vietoj „duomenų ir taisyklių“ termino naudoti „taisyklių“.</w:t>
            </w:r>
          </w:p>
          <w:p w14:paraId="6FF5DBB6" w14:textId="77777777" w:rsidR="00FA5F1C" w:rsidRDefault="00FA5F1C" w:rsidP="0077796E">
            <w:pPr>
              <w:jc w:val="both"/>
              <w:rPr>
                <w:rFonts w:ascii="Verdana" w:hAnsi="Verdana" w:cs="Times New Roman"/>
                <w:bCs/>
                <w:sz w:val="20"/>
                <w:szCs w:val="20"/>
              </w:rPr>
            </w:pPr>
          </w:p>
          <w:p w14:paraId="780EDADC" w14:textId="1348EE97" w:rsidR="0077796E" w:rsidRDefault="0077796E" w:rsidP="0077796E">
            <w:pPr>
              <w:jc w:val="both"/>
              <w:rPr>
                <w:rFonts w:ascii="Verdana" w:hAnsi="Verdana" w:cs="Times New Roman"/>
                <w:bCs/>
                <w:sz w:val="20"/>
                <w:szCs w:val="20"/>
              </w:rPr>
            </w:pPr>
            <w:r>
              <w:rPr>
                <w:rFonts w:ascii="Verdana" w:hAnsi="Verdana" w:cs="Times New Roman"/>
                <w:bCs/>
                <w:sz w:val="20"/>
                <w:szCs w:val="20"/>
              </w:rPr>
              <w:t>PERKANČIOSIOS ORGANIZACIJOS KOMENTARAS:</w:t>
            </w:r>
          </w:p>
          <w:p w14:paraId="28ABF812" w14:textId="7C7CC051" w:rsidR="008278B2" w:rsidRPr="008278B2" w:rsidRDefault="00C36EC6" w:rsidP="008278B2">
            <w:pPr>
              <w:jc w:val="both"/>
              <w:rPr>
                <w:rFonts w:ascii="Verdana" w:hAnsi="Verdana" w:cs="Times New Roman"/>
                <w:bCs/>
                <w:sz w:val="20"/>
                <w:szCs w:val="20"/>
              </w:rPr>
            </w:pPr>
            <w:r>
              <w:rPr>
                <w:rFonts w:ascii="Verdana" w:hAnsi="Verdana" w:cs="Times New Roman"/>
                <w:bCs/>
                <w:sz w:val="20"/>
                <w:szCs w:val="20"/>
              </w:rPr>
              <w:t>Nesutinkame</w:t>
            </w:r>
            <w:r w:rsidR="008B2862">
              <w:rPr>
                <w:rFonts w:ascii="Verdana" w:hAnsi="Verdana" w:cs="Times New Roman"/>
                <w:bCs/>
                <w:sz w:val="20"/>
                <w:szCs w:val="20"/>
              </w:rPr>
              <w:t xml:space="preserve"> keisti </w:t>
            </w:r>
            <w:r w:rsidR="00C0383B">
              <w:rPr>
                <w:rFonts w:ascii="Verdana" w:hAnsi="Verdana" w:cs="Times New Roman"/>
                <w:bCs/>
                <w:sz w:val="20"/>
                <w:szCs w:val="20"/>
              </w:rPr>
              <w:t xml:space="preserve">„duomenų ir taisyklių“ į „taisyklių“, nes pagal </w:t>
            </w:r>
            <w:r w:rsidR="00C476ED" w:rsidRPr="00C476ED">
              <w:rPr>
                <w:rFonts w:ascii="Verdana" w:hAnsi="Verdana" w:cs="Times New Roman"/>
                <w:bCs/>
                <w:sz w:val="20"/>
                <w:szCs w:val="20"/>
              </w:rPr>
              <w:t>Kibernetinio saugumo reikalavimų aprašo</w:t>
            </w:r>
            <w:r w:rsidR="008278B2">
              <w:rPr>
                <w:rFonts w:ascii="Verdana" w:hAnsi="Verdana" w:cs="Times New Roman"/>
                <w:bCs/>
                <w:sz w:val="20"/>
                <w:szCs w:val="20"/>
              </w:rPr>
              <w:t>, patvirtinto LR</w:t>
            </w:r>
            <w:r w:rsidR="008278B2" w:rsidRPr="008278B2">
              <w:rPr>
                <w:rFonts w:ascii="Verdana" w:hAnsi="Verdana" w:cs="Times New Roman"/>
                <w:bCs/>
                <w:sz w:val="20"/>
                <w:szCs w:val="20"/>
              </w:rPr>
              <w:t xml:space="preserve"> Vyriausybės</w:t>
            </w:r>
          </w:p>
          <w:p w14:paraId="26C4872B" w14:textId="1880CC19" w:rsidR="008278B2" w:rsidRPr="008278B2" w:rsidRDefault="008278B2" w:rsidP="008278B2">
            <w:pPr>
              <w:jc w:val="both"/>
              <w:rPr>
                <w:rFonts w:ascii="Verdana" w:hAnsi="Verdana" w:cs="Times New Roman"/>
                <w:bCs/>
                <w:sz w:val="20"/>
                <w:szCs w:val="20"/>
              </w:rPr>
            </w:pPr>
            <w:r w:rsidRPr="008278B2">
              <w:rPr>
                <w:rFonts w:ascii="Verdana" w:hAnsi="Verdana" w:cs="Times New Roman"/>
                <w:bCs/>
                <w:sz w:val="20"/>
                <w:szCs w:val="20"/>
              </w:rPr>
              <w:t>2018 m. rugpjūčio 13 d. nutarimu Nr. 818</w:t>
            </w:r>
            <w:r>
              <w:rPr>
                <w:rFonts w:ascii="Verdana" w:hAnsi="Verdana" w:cs="Times New Roman"/>
                <w:bCs/>
                <w:sz w:val="20"/>
                <w:szCs w:val="20"/>
              </w:rPr>
              <w:t xml:space="preserve"> </w:t>
            </w:r>
            <w:r w:rsidRPr="008278B2">
              <w:rPr>
                <w:rFonts w:ascii="Verdana" w:hAnsi="Verdana" w:cs="Times New Roman"/>
                <w:bCs/>
                <w:sz w:val="20"/>
                <w:szCs w:val="20"/>
              </w:rPr>
              <w:t>(</w:t>
            </w:r>
            <w:r>
              <w:rPr>
                <w:rFonts w:ascii="Verdana" w:hAnsi="Verdana" w:cs="Times New Roman"/>
                <w:bCs/>
                <w:sz w:val="20"/>
                <w:szCs w:val="20"/>
              </w:rPr>
              <w:t>LR</w:t>
            </w:r>
            <w:r w:rsidRPr="008278B2">
              <w:rPr>
                <w:rFonts w:ascii="Verdana" w:hAnsi="Verdana" w:cs="Times New Roman"/>
                <w:bCs/>
                <w:sz w:val="20"/>
                <w:szCs w:val="20"/>
              </w:rPr>
              <w:t xml:space="preserve"> Vyriausybės</w:t>
            </w:r>
          </w:p>
          <w:p w14:paraId="5C824B98" w14:textId="77777777" w:rsidR="008278B2" w:rsidRPr="008278B2" w:rsidRDefault="008278B2" w:rsidP="008278B2">
            <w:pPr>
              <w:jc w:val="both"/>
              <w:rPr>
                <w:rFonts w:ascii="Verdana" w:hAnsi="Verdana" w:cs="Times New Roman"/>
                <w:bCs/>
                <w:sz w:val="20"/>
                <w:szCs w:val="20"/>
              </w:rPr>
            </w:pPr>
            <w:r w:rsidRPr="008278B2">
              <w:rPr>
                <w:rFonts w:ascii="Verdana" w:hAnsi="Verdana" w:cs="Times New Roman"/>
                <w:bCs/>
                <w:sz w:val="20"/>
                <w:szCs w:val="20"/>
              </w:rPr>
              <w:t>2024 m. lapkričio 6 d. nutarimo Nr. 945</w:t>
            </w:r>
          </w:p>
          <w:p w14:paraId="2D77E7A6" w14:textId="2EEC0EBD" w:rsidR="0077796E" w:rsidRDefault="008278B2" w:rsidP="00536E86">
            <w:pPr>
              <w:jc w:val="both"/>
              <w:rPr>
                <w:rFonts w:ascii="Verdana" w:hAnsi="Verdana" w:cs="Times New Roman"/>
                <w:bCs/>
                <w:sz w:val="20"/>
                <w:szCs w:val="20"/>
              </w:rPr>
            </w:pPr>
            <w:r w:rsidRPr="008278B2">
              <w:rPr>
                <w:rFonts w:ascii="Verdana" w:hAnsi="Verdana" w:cs="Times New Roman"/>
                <w:bCs/>
                <w:sz w:val="20"/>
                <w:szCs w:val="20"/>
              </w:rPr>
              <w:t>redakcija)</w:t>
            </w:r>
            <w:r>
              <w:rPr>
                <w:rFonts w:ascii="Verdana" w:hAnsi="Verdana" w:cs="Times New Roman"/>
                <w:bCs/>
                <w:sz w:val="20"/>
                <w:szCs w:val="20"/>
              </w:rPr>
              <w:t xml:space="preserve">, 26 punkto </w:t>
            </w:r>
            <w:r w:rsidR="00C476ED" w:rsidRPr="00C476ED">
              <w:rPr>
                <w:rFonts w:ascii="Verdana" w:hAnsi="Verdana" w:cs="Times New Roman"/>
                <w:bCs/>
                <w:sz w:val="20"/>
                <w:szCs w:val="20"/>
              </w:rPr>
              <w:t>1 lentelės 7 punkt</w:t>
            </w:r>
            <w:r>
              <w:rPr>
                <w:rFonts w:ascii="Verdana" w:hAnsi="Verdana" w:cs="Times New Roman"/>
                <w:bCs/>
                <w:sz w:val="20"/>
                <w:szCs w:val="20"/>
              </w:rPr>
              <w:t>ą</w:t>
            </w:r>
            <w:r w:rsidR="00C476ED" w:rsidRPr="00C476ED">
              <w:rPr>
                <w:rFonts w:ascii="Verdana" w:hAnsi="Verdana" w:cs="Times New Roman"/>
                <w:bCs/>
                <w:sz w:val="20"/>
                <w:szCs w:val="20"/>
              </w:rPr>
              <w:t> </w:t>
            </w:r>
            <w:r w:rsidR="000E3EF8">
              <w:rPr>
                <w:rFonts w:ascii="Verdana" w:hAnsi="Verdana" w:cs="Times New Roman"/>
                <w:bCs/>
                <w:sz w:val="20"/>
                <w:szCs w:val="20"/>
              </w:rPr>
              <w:t xml:space="preserve">Perkančioji organizacija </w:t>
            </w:r>
            <w:r w:rsidR="001767CA">
              <w:rPr>
                <w:rFonts w:ascii="Verdana" w:hAnsi="Verdana" w:cs="Times New Roman"/>
                <w:bCs/>
                <w:sz w:val="20"/>
                <w:szCs w:val="20"/>
              </w:rPr>
              <w:t xml:space="preserve">žurnalinius įrašus ir </w:t>
            </w:r>
            <w:r w:rsidR="00505A5F">
              <w:rPr>
                <w:rFonts w:ascii="Verdana" w:hAnsi="Verdana" w:cs="Times New Roman"/>
                <w:bCs/>
                <w:sz w:val="20"/>
                <w:szCs w:val="20"/>
              </w:rPr>
              <w:t xml:space="preserve">įvykius turi </w:t>
            </w:r>
            <w:r w:rsidR="00FC2974">
              <w:rPr>
                <w:rFonts w:ascii="Verdana" w:hAnsi="Verdana" w:cs="Times New Roman"/>
                <w:bCs/>
                <w:sz w:val="20"/>
                <w:szCs w:val="20"/>
              </w:rPr>
              <w:t>saugoti</w:t>
            </w:r>
            <w:r w:rsidR="00505A5F">
              <w:rPr>
                <w:rFonts w:ascii="Verdana" w:hAnsi="Verdana" w:cs="Times New Roman"/>
                <w:bCs/>
                <w:sz w:val="20"/>
                <w:szCs w:val="20"/>
              </w:rPr>
              <w:t xml:space="preserve"> ne </w:t>
            </w:r>
            <w:r w:rsidR="00FC2974">
              <w:rPr>
                <w:rFonts w:ascii="Verdana" w:hAnsi="Verdana" w:cs="Times New Roman"/>
                <w:bCs/>
                <w:sz w:val="20"/>
                <w:szCs w:val="20"/>
              </w:rPr>
              <w:t>trumpiau</w:t>
            </w:r>
            <w:r w:rsidR="00505A5F">
              <w:rPr>
                <w:rFonts w:ascii="Verdana" w:hAnsi="Verdana" w:cs="Times New Roman"/>
                <w:bCs/>
                <w:sz w:val="20"/>
                <w:szCs w:val="20"/>
              </w:rPr>
              <w:t xml:space="preserve"> kaip </w:t>
            </w:r>
            <w:r w:rsidR="00505A5F" w:rsidRPr="00384620" w:rsidDel="008E6116">
              <w:rPr>
                <w:rFonts w:ascii="Verdana" w:hAnsi="Verdana" w:cs="Times New Roman"/>
                <w:bCs/>
                <w:sz w:val="20"/>
                <w:szCs w:val="20"/>
              </w:rPr>
              <w:t>3</w:t>
            </w:r>
            <w:r w:rsidR="00505A5F" w:rsidRPr="00384620">
              <w:rPr>
                <w:rFonts w:ascii="Verdana" w:hAnsi="Verdana" w:cs="Times New Roman"/>
                <w:bCs/>
                <w:sz w:val="20"/>
                <w:szCs w:val="20"/>
              </w:rPr>
              <w:t xml:space="preserve"> m</w:t>
            </w:r>
            <w:r w:rsidR="00EB5E6F" w:rsidRPr="00384620">
              <w:rPr>
                <w:rFonts w:ascii="Verdana" w:hAnsi="Verdana" w:cs="Times New Roman"/>
                <w:bCs/>
                <w:sz w:val="20"/>
                <w:szCs w:val="20"/>
              </w:rPr>
              <w:t>ėn</w:t>
            </w:r>
            <w:r w:rsidR="00505A5F">
              <w:rPr>
                <w:rFonts w:ascii="Verdana" w:hAnsi="Verdana" w:cs="Times New Roman"/>
                <w:bCs/>
                <w:sz w:val="20"/>
                <w:szCs w:val="20"/>
              </w:rPr>
              <w:t>.</w:t>
            </w:r>
          </w:p>
          <w:p w14:paraId="23574B03" w14:textId="77777777" w:rsidR="0077796E" w:rsidRDefault="0077796E" w:rsidP="00384620">
            <w:pPr>
              <w:jc w:val="center"/>
              <w:rPr>
                <w:rFonts w:ascii="Verdana" w:hAnsi="Verdana" w:cs="Times New Roman"/>
                <w:bCs/>
                <w:sz w:val="20"/>
                <w:szCs w:val="20"/>
              </w:rPr>
            </w:pPr>
          </w:p>
          <w:p w14:paraId="240A0D98" w14:textId="252F20B8" w:rsidR="0077796E" w:rsidRPr="00C7611F" w:rsidRDefault="0077796E" w:rsidP="00536E86">
            <w:pPr>
              <w:jc w:val="both"/>
              <w:rPr>
                <w:rFonts w:ascii="Verdana" w:hAnsi="Verdana" w:cs="Times New Roman"/>
                <w:bCs/>
                <w:sz w:val="20"/>
                <w:szCs w:val="20"/>
              </w:rPr>
            </w:pPr>
          </w:p>
        </w:tc>
        <w:tc>
          <w:tcPr>
            <w:tcW w:w="3544" w:type="dxa"/>
            <w:tcBorders>
              <w:top w:val="single" w:sz="4" w:space="0" w:color="auto"/>
              <w:left w:val="single" w:sz="4" w:space="0" w:color="auto"/>
              <w:bottom w:val="single" w:sz="4" w:space="0" w:color="auto"/>
              <w:right w:val="single" w:sz="4" w:space="0" w:color="auto"/>
            </w:tcBorders>
          </w:tcPr>
          <w:p w14:paraId="4456CA2D" w14:textId="77777777" w:rsidR="008A7AC9" w:rsidRPr="008A7AC9" w:rsidRDefault="008A7AC9" w:rsidP="008A7AC9">
            <w:pPr>
              <w:jc w:val="both"/>
              <w:rPr>
                <w:rFonts w:ascii="Verdana" w:hAnsi="Verdana" w:cs="Times New Roman"/>
                <w:bCs/>
                <w:sz w:val="20"/>
                <w:szCs w:val="20"/>
              </w:rPr>
            </w:pPr>
            <w:r w:rsidRPr="008A7AC9">
              <w:rPr>
                <w:rFonts w:ascii="Verdana" w:hAnsi="Verdana" w:cs="Times New Roman"/>
                <w:bCs/>
                <w:sz w:val="20"/>
                <w:szCs w:val="20"/>
              </w:rPr>
              <w:lastRenderedPageBreak/>
              <w:t>Taip.</w:t>
            </w:r>
          </w:p>
          <w:p w14:paraId="5096EA73" w14:textId="77777777" w:rsidR="008A7AC9" w:rsidRPr="008A7AC9" w:rsidRDefault="008A7AC9" w:rsidP="008A7AC9">
            <w:pPr>
              <w:jc w:val="both"/>
              <w:rPr>
                <w:rFonts w:ascii="Verdana" w:hAnsi="Verdana" w:cs="Times New Roman"/>
                <w:bCs/>
                <w:sz w:val="20"/>
                <w:szCs w:val="20"/>
              </w:rPr>
            </w:pPr>
            <w:r w:rsidRPr="008A7AC9">
              <w:rPr>
                <w:rFonts w:ascii="Verdana" w:hAnsi="Verdana" w:cs="Times New Roman"/>
                <w:bCs/>
                <w:sz w:val="20"/>
                <w:szCs w:val="20"/>
              </w:rPr>
              <w:t>„4.13.2. Sistema turi turėti ne mažiau kaip 200 gamintojo parengtų ir įdiegtų koreliavimo taisyklių, kurios Sistemos derinimo metu gali būti pritaikytos Perkančiosios organizacijos infrastruktūrai.“</w:t>
            </w:r>
          </w:p>
          <w:p w14:paraId="48AD3044" w14:textId="77777777" w:rsidR="008A7AC9" w:rsidRPr="008A7AC9" w:rsidRDefault="008A7AC9" w:rsidP="008A7AC9">
            <w:pPr>
              <w:jc w:val="both"/>
              <w:rPr>
                <w:rFonts w:ascii="Verdana" w:hAnsi="Verdana" w:cs="Times New Roman"/>
                <w:bCs/>
                <w:sz w:val="20"/>
                <w:szCs w:val="20"/>
              </w:rPr>
            </w:pPr>
            <w:r w:rsidRPr="008A7AC9">
              <w:rPr>
                <w:rFonts w:ascii="Verdana" w:hAnsi="Verdana" w:cs="Times New Roman"/>
                <w:bCs/>
                <w:sz w:val="20"/>
                <w:szCs w:val="20"/>
              </w:rPr>
              <w:t>„5.3. Duomenų ir taisyklių migravimas iš Logrhythm sistemos į naują sistemą (2 etapas) 1 mėnesį nuo pirmojo (Sistemos diegimo) etapo pabaigos.“</w:t>
            </w:r>
          </w:p>
          <w:p w14:paraId="37218F86" w14:textId="77777777" w:rsidR="008A7AC9" w:rsidRDefault="008A7AC9" w:rsidP="008A7AC9">
            <w:pPr>
              <w:jc w:val="both"/>
              <w:rPr>
                <w:rFonts w:ascii="Verdana" w:hAnsi="Verdana" w:cs="Times New Roman"/>
                <w:bCs/>
                <w:sz w:val="20"/>
                <w:szCs w:val="20"/>
              </w:rPr>
            </w:pPr>
            <w:r w:rsidRPr="008A7AC9">
              <w:rPr>
                <w:rFonts w:ascii="Verdana" w:hAnsi="Verdana" w:cs="Times New Roman"/>
                <w:bCs/>
                <w:sz w:val="20"/>
                <w:szCs w:val="20"/>
              </w:rPr>
              <w:t>5.3 punkte prašome papildyti informacija kiek koreliavimo taisyklių šiuo metu yra.</w:t>
            </w:r>
          </w:p>
          <w:p w14:paraId="79C2D67E" w14:textId="77777777" w:rsidR="008A7AC9" w:rsidRDefault="008A7AC9" w:rsidP="008A7AC9">
            <w:pPr>
              <w:jc w:val="both"/>
              <w:rPr>
                <w:rFonts w:ascii="Verdana" w:hAnsi="Verdana" w:cs="Times New Roman"/>
                <w:bCs/>
                <w:sz w:val="20"/>
                <w:szCs w:val="20"/>
              </w:rPr>
            </w:pPr>
          </w:p>
          <w:p w14:paraId="5872F811" w14:textId="77777777" w:rsidR="008A7AC9" w:rsidRDefault="008A7AC9" w:rsidP="008A7AC9">
            <w:pPr>
              <w:jc w:val="both"/>
              <w:rPr>
                <w:rFonts w:ascii="Verdana" w:hAnsi="Verdana" w:cs="Times New Roman"/>
                <w:bCs/>
                <w:sz w:val="20"/>
                <w:szCs w:val="20"/>
              </w:rPr>
            </w:pPr>
            <w:r>
              <w:rPr>
                <w:rFonts w:ascii="Verdana" w:hAnsi="Verdana" w:cs="Times New Roman"/>
                <w:bCs/>
                <w:sz w:val="20"/>
                <w:szCs w:val="20"/>
              </w:rPr>
              <w:t>PERKANČIOSIOS ORGANIZACIJOS KOMENTARAS:</w:t>
            </w:r>
          </w:p>
          <w:p w14:paraId="158AA117" w14:textId="097DFA44" w:rsidR="008A7AC9" w:rsidRDefault="003B4B2B" w:rsidP="008A7AC9">
            <w:pPr>
              <w:jc w:val="both"/>
              <w:rPr>
                <w:rFonts w:ascii="Verdana" w:hAnsi="Verdana" w:cs="Times New Roman"/>
                <w:bCs/>
                <w:sz w:val="20"/>
                <w:szCs w:val="20"/>
              </w:rPr>
            </w:pPr>
            <w:r>
              <w:rPr>
                <w:rFonts w:ascii="Verdana" w:hAnsi="Verdana" w:cs="Times New Roman"/>
                <w:bCs/>
                <w:sz w:val="20"/>
                <w:szCs w:val="20"/>
              </w:rPr>
              <w:lastRenderedPageBreak/>
              <w:t xml:space="preserve">Patikslinome </w:t>
            </w:r>
            <w:r w:rsidR="00E93F6E">
              <w:rPr>
                <w:rFonts w:ascii="Verdana" w:hAnsi="Verdana" w:cs="Times New Roman"/>
                <w:bCs/>
                <w:sz w:val="20"/>
                <w:szCs w:val="20"/>
              </w:rPr>
              <w:t>Techninės specifikacijos 5.3 punkt</w:t>
            </w:r>
            <w:r>
              <w:rPr>
                <w:rFonts w:ascii="Verdana" w:hAnsi="Verdana" w:cs="Times New Roman"/>
                <w:bCs/>
                <w:sz w:val="20"/>
                <w:szCs w:val="20"/>
              </w:rPr>
              <w:t>ą</w:t>
            </w:r>
            <w:r w:rsidR="00E93F6E">
              <w:rPr>
                <w:rFonts w:ascii="Verdana" w:hAnsi="Verdana" w:cs="Times New Roman"/>
                <w:bCs/>
                <w:sz w:val="20"/>
                <w:szCs w:val="20"/>
              </w:rPr>
              <w:t xml:space="preserve">. </w:t>
            </w:r>
          </w:p>
          <w:p w14:paraId="4AF94904" w14:textId="77777777" w:rsidR="008A7AC9" w:rsidRPr="008A7AC9" w:rsidRDefault="008A7AC9" w:rsidP="008A7AC9">
            <w:pPr>
              <w:jc w:val="both"/>
              <w:rPr>
                <w:rFonts w:ascii="Verdana" w:hAnsi="Verdana" w:cs="Times New Roman"/>
                <w:bCs/>
                <w:sz w:val="20"/>
                <w:szCs w:val="20"/>
              </w:rPr>
            </w:pPr>
          </w:p>
          <w:p w14:paraId="1A753C03" w14:textId="77777777" w:rsidR="008D0104" w:rsidRDefault="008D0104" w:rsidP="008A7AC9">
            <w:pPr>
              <w:jc w:val="both"/>
              <w:rPr>
                <w:rFonts w:ascii="Verdana" w:hAnsi="Verdana" w:cs="Times New Roman"/>
                <w:bCs/>
                <w:sz w:val="20"/>
                <w:szCs w:val="20"/>
              </w:rPr>
            </w:pPr>
          </w:p>
          <w:p w14:paraId="3B14AAD2" w14:textId="1CEF113E" w:rsidR="00536E86" w:rsidRDefault="008A7AC9" w:rsidP="008A7AC9">
            <w:pPr>
              <w:jc w:val="both"/>
              <w:rPr>
                <w:rFonts w:ascii="Verdana" w:hAnsi="Verdana" w:cs="Times New Roman"/>
                <w:bCs/>
                <w:sz w:val="20"/>
                <w:szCs w:val="20"/>
              </w:rPr>
            </w:pPr>
            <w:r w:rsidRPr="008A7AC9">
              <w:rPr>
                <w:rFonts w:ascii="Verdana" w:hAnsi="Verdana" w:cs="Times New Roman"/>
                <w:bCs/>
                <w:sz w:val="20"/>
                <w:szCs w:val="20"/>
              </w:rPr>
              <w:t>4.13.2. punkte turi būti atkartotas 5.3 punkte pateiktas dabartinių koreliavimo taisyklių kiekis ir pašalintas reikalavimas - „gamintojo“, kadangi perkėlimo metu tiekėjas kurs taisykles. Ir svarbu kelti reikalavimą, kad jų kiekis būtų ne mažiau nei šiuo metu naudojama.</w:t>
            </w:r>
          </w:p>
          <w:p w14:paraId="0A830E1D" w14:textId="77777777" w:rsidR="008A7AC9" w:rsidRDefault="008A7AC9" w:rsidP="008A7AC9">
            <w:pPr>
              <w:jc w:val="both"/>
              <w:rPr>
                <w:rFonts w:ascii="Verdana" w:hAnsi="Verdana" w:cs="Times New Roman"/>
                <w:bCs/>
                <w:sz w:val="20"/>
                <w:szCs w:val="20"/>
              </w:rPr>
            </w:pPr>
          </w:p>
          <w:p w14:paraId="4117E21F" w14:textId="77777777" w:rsidR="008A7AC9" w:rsidRDefault="008A7AC9" w:rsidP="008A7AC9">
            <w:pPr>
              <w:jc w:val="both"/>
              <w:rPr>
                <w:rFonts w:ascii="Verdana" w:hAnsi="Verdana" w:cs="Times New Roman"/>
                <w:bCs/>
                <w:sz w:val="20"/>
                <w:szCs w:val="20"/>
              </w:rPr>
            </w:pPr>
            <w:r>
              <w:rPr>
                <w:rFonts w:ascii="Verdana" w:hAnsi="Verdana" w:cs="Times New Roman"/>
                <w:bCs/>
                <w:sz w:val="20"/>
                <w:szCs w:val="20"/>
              </w:rPr>
              <w:t>PERKANČIOSIOS ORGANIZACIJOS KOMENTARAS:</w:t>
            </w:r>
          </w:p>
          <w:p w14:paraId="6336DF41" w14:textId="732F458A" w:rsidR="008A7AC9" w:rsidRPr="00EB5E6F" w:rsidRDefault="00D54F79" w:rsidP="008A7AC9">
            <w:pPr>
              <w:jc w:val="both"/>
              <w:rPr>
                <w:rFonts w:ascii="Verdana" w:hAnsi="Verdana" w:cs="Times New Roman"/>
                <w:bCs/>
                <w:sz w:val="20"/>
                <w:szCs w:val="20"/>
              </w:rPr>
            </w:pPr>
            <w:r>
              <w:rPr>
                <w:rFonts w:ascii="Verdana" w:hAnsi="Verdana" w:cs="Times New Roman"/>
                <w:bCs/>
                <w:sz w:val="20"/>
                <w:szCs w:val="20"/>
              </w:rPr>
              <w:t xml:space="preserve">Nesutinkame su pakeitimais. </w:t>
            </w:r>
            <w:r w:rsidR="009578C2">
              <w:rPr>
                <w:rFonts w:ascii="Verdana" w:hAnsi="Verdana" w:cs="Times New Roman"/>
                <w:bCs/>
                <w:sz w:val="20"/>
                <w:szCs w:val="20"/>
              </w:rPr>
              <w:t xml:space="preserve">Perkančioji organizacija mano, kad </w:t>
            </w:r>
            <w:r w:rsidR="00542A0F">
              <w:rPr>
                <w:rFonts w:ascii="Verdana" w:hAnsi="Verdana" w:cs="Times New Roman"/>
                <w:bCs/>
                <w:sz w:val="20"/>
                <w:szCs w:val="20"/>
              </w:rPr>
              <w:t xml:space="preserve">kitas Tiekėjas </w:t>
            </w:r>
            <w:r w:rsidR="0070753C">
              <w:rPr>
                <w:rFonts w:ascii="Verdana" w:hAnsi="Verdana" w:cs="Times New Roman"/>
                <w:bCs/>
                <w:sz w:val="20"/>
                <w:szCs w:val="20"/>
              </w:rPr>
              <w:t xml:space="preserve">gali naudoti kitą produktą </w:t>
            </w:r>
            <w:r w:rsidR="00031C70">
              <w:rPr>
                <w:rFonts w:ascii="Verdana" w:hAnsi="Verdana" w:cs="Times New Roman"/>
                <w:bCs/>
                <w:sz w:val="20"/>
                <w:szCs w:val="20"/>
              </w:rPr>
              <w:t>ir vadovautis kita analitik</w:t>
            </w:r>
            <w:r w:rsidR="00A2383D">
              <w:rPr>
                <w:rFonts w:ascii="Verdana" w:hAnsi="Verdana" w:cs="Times New Roman"/>
                <w:bCs/>
                <w:sz w:val="20"/>
                <w:szCs w:val="20"/>
              </w:rPr>
              <w:t xml:space="preserve">os logika, dėl to neturime riboti </w:t>
            </w:r>
            <w:r w:rsidR="00745828">
              <w:rPr>
                <w:rFonts w:ascii="Verdana" w:hAnsi="Verdana" w:cs="Times New Roman"/>
                <w:bCs/>
                <w:sz w:val="20"/>
                <w:szCs w:val="20"/>
              </w:rPr>
              <w:t xml:space="preserve">naujo sprendimo </w:t>
            </w:r>
            <w:r w:rsidR="00A2383D">
              <w:rPr>
                <w:rFonts w:ascii="Verdana" w:hAnsi="Verdana" w:cs="Times New Roman"/>
                <w:bCs/>
                <w:sz w:val="20"/>
                <w:szCs w:val="20"/>
              </w:rPr>
              <w:t xml:space="preserve">Analitikos </w:t>
            </w:r>
            <w:r w:rsidR="00E5266B">
              <w:rPr>
                <w:rFonts w:ascii="Verdana" w:hAnsi="Verdana" w:cs="Times New Roman"/>
                <w:bCs/>
                <w:sz w:val="20"/>
                <w:szCs w:val="20"/>
              </w:rPr>
              <w:t>paslaugos</w:t>
            </w:r>
            <w:r w:rsidR="00C95C4A">
              <w:rPr>
                <w:rFonts w:ascii="Verdana" w:hAnsi="Verdana" w:cs="Times New Roman"/>
                <w:bCs/>
                <w:sz w:val="20"/>
                <w:szCs w:val="20"/>
              </w:rPr>
              <w:t xml:space="preserve"> primesdami ankstes</w:t>
            </w:r>
            <w:r w:rsidR="007D6233">
              <w:rPr>
                <w:rFonts w:ascii="Verdana" w:hAnsi="Verdana" w:cs="Times New Roman"/>
                <w:bCs/>
                <w:sz w:val="20"/>
                <w:szCs w:val="20"/>
              </w:rPr>
              <w:t>nio produkto galimyb</w:t>
            </w:r>
            <w:r w:rsidR="00E5266B">
              <w:rPr>
                <w:rFonts w:ascii="Verdana" w:hAnsi="Verdana" w:cs="Times New Roman"/>
                <w:bCs/>
                <w:sz w:val="20"/>
                <w:szCs w:val="20"/>
              </w:rPr>
              <w:t>es</w:t>
            </w:r>
            <w:r w:rsidR="007D6233">
              <w:rPr>
                <w:rFonts w:ascii="Verdana" w:hAnsi="Verdana" w:cs="Times New Roman"/>
                <w:bCs/>
                <w:sz w:val="20"/>
                <w:szCs w:val="20"/>
              </w:rPr>
              <w:t xml:space="preserve"> ir </w:t>
            </w:r>
            <w:r w:rsidR="00F32F97">
              <w:rPr>
                <w:rFonts w:ascii="Verdana" w:hAnsi="Verdana" w:cs="Times New Roman"/>
                <w:bCs/>
                <w:sz w:val="20"/>
                <w:szCs w:val="20"/>
              </w:rPr>
              <w:t xml:space="preserve">analizės </w:t>
            </w:r>
            <w:r w:rsidR="00BE656F">
              <w:rPr>
                <w:rFonts w:ascii="Verdana" w:hAnsi="Verdana" w:cs="Times New Roman"/>
                <w:bCs/>
                <w:sz w:val="20"/>
                <w:szCs w:val="20"/>
              </w:rPr>
              <w:t>algoritm</w:t>
            </w:r>
            <w:r w:rsidR="0028135C">
              <w:rPr>
                <w:rFonts w:ascii="Verdana" w:hAnsi="Verdana" w:cs="Times New Roman"/>
                <w:bCs/>
                <w:sz w:val="20"/>
                <w:szCs w:val="20"/>
              </w:rPr>
              <w:t>us</w:t>
            </w:r>
            <w:r w:rsidR="00A05467">
              <w:rPr>
                <w:rFonts w:ascii="Verdana" w:hAnsi="Verdana" w:cs="Times New Roman"/>
                <w:bCs/>
                <w:sz w:val="20"/>
                <w:szCs w:val="20"/>
              </w:rPr>
              <w:t xml:space="preserve">. </w:t>
            </w:r>
            <w:r w:rsidR="007D6233">
              <w:rPr>
                <w:rFonts w:ascii="Verdana" w:hAnsi="Verdana" w:cs="Times New Roman"/>
                <w:bCs/>
                <w:sz w:val="20"/>
                <w:szCs w:val="20"/>
              </w:rPr>
              <w:t xml:space="preserve"> </w:t>
            </w:r>
          </w:p>
          <w:p w14:paraId="1B8E2B1A" w14:textId="77777777" w:rsidR="008A7AC9" w:rsidRDefault="008A7AC9" w:rsidP="008A7AC9">
            <w:pPr>
              <w:jc w:val="both"/>
              <w:rPr>
                <w:rFonts w:ascii="Verdana" w:hAnsi="Verdana" w:cs="Times New Roman"/>
                <w:bCs/>
                <w:sz w:val="20"/>
                <w:szCs w:val="20"/>
              </w:rPr>
            </w:pPr>
          </w:p>
          <w:p w14:paraId="246DBC42" w14:textId="2796BB0A" w:rsidR="008A7AC9" w:rsidRDefault="00E037CA" w:rsidP="008A7AC9">
            <w:pPr>
              <w:jc w:val="both"/>
              <w:rPr>
                <w:rFonts w:ascii="Verdana" w:hAnsi="Verdana" w:cs="Times New Roman"/>
                <w:bCs/>
                <w:sz w:val="20"/>
                <w:szCs w:val="20"/>
              </w:rPr>
            </w:pPr>
            <w:r>
              <w:rPr>
                <w:rFonts w:ascii="Verdana" w:hAnsi="Verdana" w:cs="Times New Roman"/>
                <w:bCs/>
                <w:sz w:val="20"/>
                <w:szCs w:val="20"/>
              </w:rPr>
              <w:t xml:space="preserve">Taip pat informuojame, kad patikslinome Techninės specifikacijos 5.3 punktą dėl taisyklių dubliavimosi </w:t>
            </w:r>
            <w:r w:rsidR="00F41CC5">
              <w:rPr>
                <w:rFonts w:ascii="Verdana" w:hAnsi="Verdana" w:cs="Times New Roman"/>
                <w:bCs/>
                <w:sz w:val="20"/>
                <w:szCs w:val="20"/>
              </w:rPr>
              <w:t>su gamintojo pateiktomis standartinėmis taisyklėmis, nurodytomis Techninės specifikacijos 4.13.2 punkte.</w:t>
            </w:r>
          </w:p>
        </w:tc>
      </w:tr>
      <w:tr w:rsidR="00536E86" w:rsidRPr="00C7611F" w14:paraId="69215A58" w14:textId="7DACE6BF" w:rsidTr="00536E86">
        <w:trPr>
          <w:trHeight w:val="726"/>
        </w:trPr>
        <w:tc>
          <w:tcPr>
            <w:tcW w:w="1005" w:type="dxa"/>
            <w:tcBorders>
              <w:top w:val="single" w:sz="4" w:space="0" w:color="auto"/>
              <w:left w:val="single" w:sz="4" w:space="0" w:color="auto"/>
              <w:bottom w:val="single" w:sz="4" w:space="0" w:color="auto"/>
              <w:right w:val="single" w:sz="4" w:space="0" w:color="auto"/>
            </w:tcBorders>
          </w:tcPr>
          <w:p w14:paraId="26E5F6DA" w14:textId="77777777" w:rsidR="00536E86" w:rsidRPr="00C7611F" w:rsidRDefault="00536E86" w:rsidP="00536E86">
            <w:pPr>
              <w:numPr>
                <w:ilvl w:val="0"/>
                <w:numId w:val="4"/>
              </w:numPr>
              <w:pBdr>
                <w:top w:val="nil"/>
                <w:left w:val="nil"/>
                <w:bottom w:val="nil"/>
                <w:right w:val="nil"/>
                <w:between w:val="nil"/>
                <w:bar w:val="nil"/>
              </w:pBdr>
              <w:ind w:left="0" w:firstLine="0"/>
              <w:jc w:val="both"/>
              <w:rPr>
                <w:rFonts w:ascii="Verdana" w:hAnsi="Verdana" w:cs="Times New Roman"/>
                <w:bCs/>
                <w:sz w:val="20"/>
                <w:szCs w:val="20"/>
              </w:rPr>
            </w:pPr>
          </w:p>
        </w:tc>
        <w:tc>
          <w:tcPr>
            <w:tcW w:w="7493" w:type="dxa"/>
            <w:tcBorders>
              <w:top w:val="single" w:sz="4" w:space="0" w:color="auto"/>
              <w:left w:val="single" w:sz="4" w:space="0" w:color="auto"/>
              <w:bottom w:val="single" w:sz="4" w:space="0" w:color="auto"/>
              <w:right w:val="single" w:sz="4" w:space="0" w:color="auto"/>
            </w:tcBorders>
          </w:tcPr>
          <w:p w14:paraId="5F3BE162" w14:textId="77777777" w:rsidR="00536E86" w:rsidRPr="00C7611F" w:rsidRDefault="00536E86" w:rsidP="00536E86">
            <w:pPr>
              <w:jc w:val="both"/>
              <w:rPr>
                <w:rFonts w:ascii="Verdana" w:hAnsi="Verdana" w:cs="Times New Roman"/>
                <w:bCs/>
                <w:i/>
                <w:iCs/>
                <w:sz w:val="20"/>
                <w:szCs w:val="20"/>
              </w:rPr>
            </w:pPr>
            <w:r w:rsidRPr="00C7611F">
              <w:rPr>
                <w:rFonts w:ascii="Verdana" w:hAnsi="Verdana" w:cs="Times New Roman"/>
                <w:i/>
                <w:iCs/>
                <w:sz w:val="20"/>
                <w:szCs w:val="20"/>
              </w:rPr>
              <w:t>Ar techninėje specifikacijoje, tiekėjų manymu, yra reikalavimų, kurie riboja konkurenciją, yra sunkiai įgyvendinami? Prašome pateikti argumentuotas pastabas.</w:t>
            </w:r>
          </w:p>
        </w:tc>
        <w:tc>
          <w:tcPr>
            <w:tcW w:w="3545" w:type="dxa"/>
            <w:tcBorders>
              <w:top w:val="single" w:sz="4" w:space="0" w:color="auto"/>
              <w:left w:val="single" w:sz="4" w:space="0" w:color="auto"/>
              <w:bottom w:val="single" w:sz="4" w:space="0" w:color="auto"/>
              <w:right w:val="single" w:sz="4" w:space="0" w:color="auto"/>
            </w:tcBorders>
          </w:tcPr>
          <w:p w14:paraId="174264CA" w14:textId="1C06EF9D" w:rsidR="00536E86" w:rsidRPr="00C7611F" w:rsidRDefault="00536E86" w:rsidP="00536E86">
            <w:pPr>
              <w:jc w:val="both"/>
              <w:rPr>
                <w:rFonts w:ascii="Verdana" w:hAnsi="Verdana" w:cs="Times New Roman"/>
                <w:bCs/>
                <w:sz w:val="20"/>
                <w:szCs w:val="20"/>
              </w:rPr>
            </w:pPr>
            <w:r>
              <w:rPr>
                <w:rFonts w:ascii="Verdana" w:hAnsi="Verdana" w:cs="Times New Roman"/>
                <w:bCs/>
                <w:sz w:val="20"/>
                <w:szCs w:val="20"/>
              </w:rPr>
              <w:t>Detalizuota 1 punkte</w:t>
            </w:r>
          </w:p>
        </w:tc>
        <w:tc>
          <w:tcPr>
            <w:tcW w:w="3544" w:type="dxa"/>
            <w:tcBorders>
              <w:top w:val="single" w:sz="4" w:space="0" w:color="auto"/>
              <w:left w:val="single" w:sz="4" w:space="0" w:color="auto"/>
              <w:bottom w:val="single" w:sz="4" w:space="0" w:color="auto"/>
              <w:right w:val="single" w:sz="4" w:space="0" w:color="auto"/>
            </w:tcBorders>
          </w:tcPr>
          <w:p w14:paraId="3046F894" w14:textId="61CA25D9" w:rsidR="00536E86" w:rsidRPr="00776AFA" w:rsidRDefault="008A7AC9" w:rsidP="00536E86">
            <w:pPr>
              <w:jc w:val="both"/>
              <w:rPr>
                <w:rFonts w:ascii="Verdana" w:hAnsi="Verdana" w:cs="Times New Roman"/>
                <w:bCs/>
                <w:sz w:val="20"/>
                <w:szCs w:val="20"/>
              </w:rPr>
            </w:pPr>
            <w:r>
              <w:rPr>
                <w:rFonts w:ascii="Verdana" w:hAnsi="Verdana" w:cs="Times New Roman"/>
                <w:bCs/>
                <w:sz w:val="20"/>
                <w:szCs w:val="20"/>
              </w:rPr>
              <w:t>Ne.</w:t>
            </w:r>
          </w:p>
        </w:tc>
      </w:tr>
      <w:tr w:rsidR="00536E86" w:rsidRPr="00EB5E6F" w14:paraId="5EE13FAF" w14:textId="5FDACFA8" w:rsidTr="00384620">
        <w:trPr>
          <w:trHeight w:val="832"/>
        </w:trPr>
        <w:tc>
          <w:tcPr>
            <w:tcW w:w="1005" w:type="dxa"/>
            <w:tcBorders>
              <w:top w:val="single" w:sz="4" w:space="0" w:color="auto"/>
              <w:left w:val="single" w:sz="4" w:space="0" w:color="auto"/>
              <w:bottom w:val="single" w:sz="4" w:space="0" w:color="auto"/>
              <w:right w:val="single" w:sz="4" w:space="0" w:color="auto"/>
            </w:tcBorders>
          </w:tcPr>
          <w:p w14:paraId="65D5DAA8" w14:textId="77777777" w:rsidR="00536E86" w:rsidRPr="00C7611F" w:rsidRDefault="00536E86" w:rsidP="00536E86">
            <w:pPr>
              <w:numPr>
                <w:ilvl w:val="0"/>
                <w:numId w:val="4"/>
              </w:numPr>
              <w:pBdr>
                <w:top w:val="nil"/>
                <w:left w:val="nil"/>
                <w:bottom w:val="nil"/>
                <w:right w:val="nil"/>
                <w:between w:val="nil"/>
                <w:bar w:val="nil"/>
              </w:pBdr>
              <w:ind w:left="0" w:firstLine="0"/>
              <w:jc w:val="both"/>
              <w:rPr>
                <w:rFonts w:ascii="Verdana" w:hAnsi="Verdana" w:cs="Times New Roman"/>
                <w:bCs/>
                <w:sz w:val="20"/>
                <w:szCs w:val="20"/>
              </w:rPr>
            </w:pPr>
          </w:p>
        </w:tc>
        <w:tc>
          <w:tcPr>
            <w:tcW w:w="7493" w:type="dxa"/>
            <w:tcBorders>
              <w:top w:val="single" w:sz="4" w:space="0" w:color="auto"/>
              <w:left w:val="single" w:sz="4" w:space="0" w:color="auto"/>
              <w:bottom w:val="single" w:sz="4" w:space="0" w:color="auto"/>
              <w:right w:val="single" w:sz="4" w:space="0" w:color="auto"/>
            </w:tcBorders>
          </w:tcPr>
          <w:p w14:paraId="58323B1E" w14:textId="4B7EC9B3" w:rsidR="00536E86" w:rsidRPr="00C7611F" w:rsidRDefault="00536E86" w:rsidP="00536E86">
            <w:pPr>
              <w:jc w:val="both"/>
              <w:rPr>
                <w:rFonts w:ascii="Verdana" w:hAnsi="Verdana" w:cs="Times New Roman"/>
                <w:i/>
                <w:iCs/>
                <w:sz w:val="20"/>
                <w:szCs w:val="20"/>
              </w:rPr>
            </w:pPr>
            <w:r>
              <w:rPr>
                <w:rFonts w:ascii="Verdana" w:hAnsi="Verdana" w:cs="Times New Roman"/>
                <w:i/>
                <w:iCs/>
                <w:sz w:val="20"/>
                <w:szCs w:val="20"/>
              </w:rPr>
              <w:t xml:space="preserve">Ar galėsite pateikti dokumentaciją, nurodytą techninės specifikacijos 3.11 punkte? Jeigu dėl kurių nors techninės specifikacijos punktų atitikties negalėsite pateikti dokumentacijos, prašome paaiškinti kodėl ir pasiūlyti kokiu kitu būdu galėtumėte įrodyti jūsų planuojamo pasiūlyti sprendimo/sistemos atitiktį (kokius kitus dokumentus galėtumėte pateikti)?  </w:t>
            </w:r>
          </w:p>
        </w:tc>
        <w:tc>
          <w:tcPr>
            <w:tcW w:w="3545" w:type="dxa"/>
            <w:tcBorders>
              <w:top w:val="single" w:sz="4" w:space="0" w:color="auto"/>
              <w:left w:val="single" w:sz="4" w:space="0" w:color="auto"/>
              <w:bottom w:val="single" w:sz="4" w:space="0" w:color="auto"/>
              <w:right w:val="single" w:sz="4" w:space="0" w:color="auto"/>
            </w:tcBorders>
          </w:tcPr>
          <w:p w14:paraId="479F8C7B" w14:textId="77777777" w:rsidR="00536E86" w:rsidRDefault="00536E86" w:rsidP="00536E86">
            <w:pPr>
              <w:jc w:val="both"/>
              <w:rPr>
                <w:rFonts w:ascii="Verdana" w:hAnsi="Verdana" w:cs="Times New Roman"/>
                <w:bCs/>
                <w:sz w:val="20"/>
                <w:szCs w:val="20"/>
              </w:rPr>
            </w:pPr>
            <w:r>
              <w:rPr>
                <w:rFonts w:ascii="Verdana" w:hAnsi="Verdana" w:cs="Times New Roman"/>
                <w:bCs/>
                <w:sz w:val="20"/>
                <w:szCs w:val="20"/>
              </w:rPr>
              <w:t>Siūlome tą punktą pakeisti paliekant pasirinkimus: Atitinka/Neatitinka/Dalinai atitinka ir tik jei neatitinka/Dalinai atitinka reikalauti paaiškinimą dėl neatitikimo. Pakeitimas suteiks galimybę tiksliau įvertinti atitikimu arba nukrypimus nuo techninių sąlygų.</w:t>
            </w:r>
          </w:p>
          <w:p w14:paraId="128494BD" w14:textId="77777777" w:rsidR="00536E86" w:rsidRDefault="00536E86" w:rsidP="00536E86">
            <w:pPr>
              <w:jc w:val="both"/>
              <w:rPr>
                <w:rFonts w:ascii="Verdana" w:hAnsi="Verdana" w:cs="Times New Roman"/>
                <w:bCs/>
                <w:sz w:val="20"/>
                <w:szCs w:val="20"/>
              </w:rPr>
            </w:pPr>
          </w:p>
          <w:p w14:paraId="19611A27" w14:textId="77777777" w:rsidR="00536E86" w:rsidRDefault="00536E86" w:rsidP="00536E86">
            <w:pPr>
              <w:jc w:val="both"/>
              <w:rPr>
                <w:rFonts w:ascii="Verdana" w:hAnsi="Verdana" w:cs="Times New Roman"/>
                <w:bCs/>
                <w:sz w:val="20"/>
                <w:szCs w:val="20"/>
              </w:rPr>
            </w:pPr>
            <w:r>
              <w:rPr>
                <w:rFonts w:ascii="Verdana" w:hAnsi="Verdana" w:cs="Times New Roman"/>
                <w:bCs/>
                <w:sz w:val="20"/>
                <w:szCs w:val="20"/>
              </w:rPr>
              <w:t>PERKANČIOSIOS ORGANIZACIJOS KOMENTARAS:</w:t>
            </w:r>
          </w:p>
          <w:p w14:paraId="1A12D0CE" w14:textId="2019FB88" w:rsidR="00536E86" w:rsidRPr="00C7611F" w:rsidRDefault="00E271AB" w:rsidP="00536E86">
            <w:pPr>
              <w:jc w:val="both"/>
              <w:rPr>
                <w:rFonts w:ascii="Verdana" w:hAnsi="Verdana" w:cs="Times New Roman"/>
                <w:bCs/>
                <w:sz w:val="20"/>
                <w:szCs w:val="20"/>
              </w:rPr>
            </w:pPr>
            <w:r>
              <w:rPr>
                <w:rFonts w:ascii="Verdana" w:hAnsi="Verdana" w:cs="Times New Roman"/>
                <w:bCs/>
                <w:sz w:val="20"/>
                <w:szCs w:val="20"/>
              </w:rPr>
              <w:t xml:space="preserve"> Dėkojame už nuomonę. </w:t>
            </w:r>
            <w:r w:rsidR="0093647A">
              <w:rPr>
                <w:rFonts w:ascii="Verdana" w:hAnsi="Verdana" w:cs="Times New Roman"/>
                <w:bCs/>
                <w:sz w:val="20"/>
                <w:szCs w:val="20"/>
              </w:rPr>
              <w:t>Siekdami tinkamo LT viešųjų pirkimų įstatymo reikalavimų įgyvendinimo, p</w:t>
            </w:r>
            <w:r w:rsidR="003F695B">
              <w:rPr>
                <w:rFonts w:ascii="Verdana" w:hAnsi="Verdana" w:cs="Times New Roman"/>
                <w:bCs/>
                <w:sz w:val="20"/>
                <w:szCs w:val="20"/>
              </w:rPr>
              <w:t xml:space="preserve">atikslinome Techninės specifikacijos </w:t>
            </w:r>
            <w:r w:rsidR="00323DBB">
              <w:rPr>
                <w:rFonts w:ascii="Verdana" w:hAnsi="Verdana" w:cs="Times New Roman"/>
                <w:bCs/>
                <w:sz w:val="20"/>
                <w:szCs w:val="20"/>
              </w:rPr>
              <w:t>3.11 punktą ir jame pateiktą lentelę</w:t>
            </w:r>
            <w:r w:rsidR="00967822">
              <w:rPr>
                <w:rFonts w:ascii="Verdana" w:hAnsi="Verdana" w:cs="Times New Roman"/>
                <w:bCs/>
                <w:sz w:val="20"/>
                <w:szCs w:val="20"/>
              </w:rPr>
              <w:t xml:space="preserve">, taip pat 1.5.1 punktą ir </w:t>
            </w:r>
            <w:r w:rsidR="0093647A">
              <w:rPr>
                <w:rFonts w:ascii="Verdana" w:hAnsi="Verdana" w:cs="Times New Roman"/>
                <w:bCs/>
                <w:sz w:val="20"/>
                <w:szCs w:val="20"/>
              </w:rPr>
              <w:t>1.8 punktą.</w:t>
            </w:r>
          </w:p>
        </w:tc>
        <w:tc>
          <w:tcPr>
            <w:tcW w:w="3544" w:type="dxa"/>
            <w:tcBorders>
              <w:top w:val="single" w:sz="4" w:space="0" w:color="auto"/>
              <w:left w:val="single" w:sz="4" w:space="0" w:color="auto"/>
              <w:bottom w:val="single" w:sz="4" w:space="0" w:color="auto"/>
              <w:right w:val="single" w:sz="4" w:space="0" w:color="auto"/>
            </w:tcBorders>
          </w:tcPr>
          <w:p w14:paraId="6B57B338" w14:textId="77777777" w:rsidR="0077796E" w:rsidRDefault="0077796E" w:rsidP="0077796E">
            <w:pPr>
              <w:pStyle w:val="Default"/>
              <w:jc w:val="both"/>
              <w:rPr>
                <w:sz w:val="20"/>
                <w:szCs w:val="20"/>
              </w:rPr>
            </w:pPr>
            <w:r>
              <w:rPr>
                <w:sz w:val="20"/>
                <w:szCs w:val="20"/>
              </w:rPr>
              <w:t xml:space="preserve">Taip, jei Perkančiajai organizacijai tiks tiekėjo deklaracija su pagrindimu apie keliamų reikalavimų atitiktį. </w:t>
            </w:r>
          </w:p>
          <w:p w14:paraId="623B47CC" w14:textId="77777777" w:rsidR="0077796E" w:rsidRDefault="0077796E" w:rsidP="00536E86">
            <w:pPr>
              <w:jc w:val="both"/>
              <w:rPr>
                <w:rFonts w:ascii="Verdana" w:hAnsi="Verdana" w:cs="Times New Roman"/>
                <w:bCs/>
                <w:sz w:val="20"/>
                <w:szCs w:val="20"/>
              </w:rPr>
            </w:pPr>
          </w:p>
          <w:p w14:paraId="173E43C4" w14:textId="77777777" w:rsidR="0077796E" w:rsidRDefault="0077796E" w:rsidP="0077796E">
            <w:pPr>
              <w:jc w:val="both"/>
              <w:rPr>
                <w:rFonts w:ascii="Verdana" w:hAnsi="Verdana" w:cs="Times New Roman"/>
                <w:bCs/>
                <w:sz w:val="20"/>
                <w:szCs w:val="20"/>
              </w:rPr>
            </w:pPr>
            <w:r>
              <w:rPr>
                <w:rFonts w:ascii="Verdana" w:hAnsi="Verdana" w:cs="Times New Roman"/>
                <w:bCs/>
                <w:sz w:val="20"/>
                <w:szCs w:val="20"/>
              </w:rPr>
              <w:t>PERKANČIOSIOS ORGANIZACIJOS KOMENTARAS:</w:t>
            </w:r>
          </w:p>
          <w:p w14:paraId="31219134" w14:textId="4B8FDD65" w:rsidR="0093647A" w:rsidRPr="00776AFA" w:rsidRDefault="0093647A" w:rsidP="00FA5F1C">
            <w:pPr>
              <w:jc w:val="both"/>
              <w:rPr>
                <w:rFonts w:ascii="Verdana" w:hAnsi="Verdana" w:cs="Times New Roman"/>
                <w:bCs/>
                <w:sz w:val="20"/>
                <w:szCs w:val="20"/>
              </w:rPr>
            </w:pPr>
            <w:r>
              <w:rPr>
                <w:rFonts w:ascii="Verdana" w:hAnsi="Verdana" w:cs="Times New Roman"/>
                <w:bCs/>
                <w:sz w:val="20"/>
                <w:szCs w:val="20"/>
              </w:rPr>
              <w:t>Dėkojame už nuomonę. Siekdami tinkamo LT viešųjų pirkimų įstatymo reikalavimų įgyvendinimo, patikslinome Techninės specifikacijos 3.11 punktą ir jame pateiktą lentelę, taip pat 1.5.1 punktą ir 1.8 punktą.</w:t>
            </w:r>
          </w:p>
        </w:tc>
      </w:tr>
      <w:tr w:rsidR="00536E86" w:rsidRPr="00C7611F" w14:paraId="26BA4594" w14:textId="5FEE7EBA" w:rsidTr="00536E86">
        <w:trPr>
          <w:trHeight w:val="242"/>
        </w:trPr>
        <w:tc>
          <w:tcPr>
            <w:tcW w:w="12043" w:type="dxa"/>
            <w:gridSpan w:val="3"/>
            <w:tcBorders>
              <w:top w:val="single" w:sz="4" w:space="0" w:color="auto"/>
              <w:left w:val="single" w:sz="4" w:space="0" w:color="auto"/>
              <w:bottom w:val="single" w:sz="4" w:space="0" w:color="auto"/>
              <w:right w:val="single" w:sz="4" w:space="0" w:color="auto"/>
            </w:tcBorders>
          </w:tcPr>
          <w:p w14:paraId="06EF55C6" w14:textId="77777777" w:rsidR="00536E86" w:rsidRPr="00C7611F" w:rsidRDefault="00536E86" w:rsidP="00536E86">
            <w:pPr>
              <w:jc w:val="center"/>
              <w:rPr>
                <w:rFonts w:ascii="Verdana" w:hAnsi="Verdana" w:cs="Times New Roman"/>
                <w:b/>
                <w:bCs/>
                <w:sz w:val="20"/>
                <w:szCs w:val="20"/>
              </w:rPr>
            </w:pPr>
            <w:r w:rsidRPr="00C7611F">
              <w:rPr>
                <w:rFonts w:ascii="Verdana" w:hAnsi="Verdana" w:cs="Times New Roman"/>
                <w:b/>
                <w:bCs/>
                <w:sz w:val="20"/>
                <w:szCs w:val="20"/>
              </w:rPr>
              <w:t>KITI KLAUSIMAI</w:t>
            </w:r>
          </w:p>
        </w:tc>
        <w:tc>
          <w:tcPr>
            <w:tcW w:w="3544" w:type="dxa"/>
            <w:tcBorders>
              <w:top w:val="single" w:sz="4" w:space="0" w:color="auto"/>
              <w:left w:val="single" w:sz="4" w:space="0" w:color="auto"/>
              <w:bottom w:val="single" w:sz="4" w:space="0" w:color="auto"/>
              <w:right w:val="single" w:sz="4" w:space="0" w:color="auto"/>
            </w:tcBorders>
          </w:tcPr>
          <w:p w14:paraId="0CCCE015" w14:textId="77777777" w:rsidR="00536E86" w:rsidRPr="00C7611F" w:rsidRDefault="00536E86" w:rsidP="00536E86">
            <w:pPr>
              <w:jc w:val="center"/>
              <w:rPr>
                <w:rFonts w:ascii="Verdana" w:hAnsi="Verdana" w:cs="Times New Roman"/>
                <w:b/>
                <w:bCs/>
                <w:sz w:val="20"/>
                <w:szCs w:val="20"/>
              </w:rPr>
            </w:pPr>
          </w:p>
        </w:tc>
      </w:tr>
      <w:tr w:rsidR="00536E86" w:rsidRPr="00EB5E6F" w14:paraId="6AFD5FC5" w14:textId="6F7604D8" w:rsidTr="00536E86">
        <w:trPr>
          <w:trHeight w:val="2699"/>
        </w:trPr>
        <w:tc>
          <w:tcPr>
            <w:tcW w:w="1005" w:type="dxa"/>
            <w:tcBorders>
              <w:top w:val="single" w:sz="4" w:space="0" w:color="auto"/>
              <w:left w:val="single" w:sz="4" w:space="0" w:color="auto"/>
              <w:bottom w:val="single" w:sz="4" w:space="0" w:color="auto"/>
              <w:right w:val="single" w:sz="4" w:space="0" w:color="auto"/>
            </w:tcBorders>
          </w:tcPr>
          <w:p w14:paraId="3155FDD5" w14:textId="77777777" w:rsidR="00536E86" w:rsidRPr="00C7611F" w:rsidRDefault="00536E86" w:rsidP="00536E86">
            <w:pPr>
              <w:numPr>
                <w:ilvl w:val="0"/>
                <w:numId w:val="4"/>
              </w:numPr>
              <w:pBdr>
                <w:top w:val="nil"/>
                <w:left w:val="nil"/>
                <w:bottom w:val="nil"/>
                <w:right w:val="nil"/>
                <w:between w:val="nil"/>
                <w:bar w:val="nil"/>
              </w:pBdr>
              <w:ind w:left="0" w:firstLine="0"/>
              <w:jc w:val="both"/>
              <w:rPr>
                <w:rFonts w:ascii="Verdana" w:hAnsi="Verdana" w:cs="Times New Roman"/>
                <w:bCs/>
                <w:sz w:val="20"/>
                <w:szCs w:val="20"/>
              </w:rPr>
            </w:pPr>
          </w:p>
        </w:tc>
        <w:tc>
          <w:tcPr>
            <w:tcW w:w="7493" w:type="dxa"/>
            <w:tcBorders>
              <w:top w:val="single" w:sz="4" w:space="0" w:color="auto"/>
              <w:left w:val="single" w:sz="4" w:space="0" w:color="auto"/>
              <w:bottom w:val="single" w:sz="4" w:space="0" w:color="auto"/>
              <w:right w:val="single" w:sz="4" w:space="0" w:color="auto"/>
            </w:tcBorders>
          </w:tcPr>
          <w:p w14:paraId="2F7CFEE1" w14:textId="77777777" w:rsidR="00536E86" w:rsidRDefault="00536E86" w:rsidP="00536E86">
            <w:pPr>
              <w:jc w:val="both"/>
              <w:rPr>
                <w:rFonts w:ascii="Verdana" w:hAnsi="Verdana" w:cs="Times New Roman"/>
                <w:bCs/>
                <w:i/>
                <w:iCs/>
                <w:sz w:val="20"/>
                <w:szCs w:val="20"/>
              </w:rPr>
            </w:pPr>
            <w:r>
              <w:rPr>
                <w:rFonts w:ascii="Verdana" w:hAnsi="Verdana" w:cs="Times New Roman"/>
                <w:bCs/>
                <w:i/>
                <w:iCs/>
                <w:sz w:val="20"/>
                <w:szCs w:val="20"/>
              </w:rPr>
              <w:t xml:space="preserve">Planuojama tiekėjų prašyti pateikti pasiūlymą, kuriame būtų nurodytas metinis nuomos mokestis, kuris tiekėjui būtų mokamas kas metus (iš viso 3 mokėjimai, nes nuomos trukmė – 3 metai). </w:t>
            </w:r>
          </w:p>
          <w:p w14:paraId="75A4ECCC" w14:textId="77777777" w:rsidR="00536E86" w:rsidRDefault="00536E86" w:rsidP="00536E86">
            <w:pPr>
              <w:jc w:val="both"/>
              <w:rPr>
                <w:rFonts w:ascii="Verdana" w:hAnsi="Verdana" w:cs="Times New Roman"/>
                <w:bCs/>
                <w:i/>
                <w:iCs/>
                <w:sz w:val="20"/>
                <w:szCs w:val="20"/>
              </w:rPr>
            </w:pPr>
            <w:r>
              <w:rPr>
                <w:rFonts w:ascii="Verdana" w:hAnsi="Verdana" w:cs="Times New Roman"/>
                <w:bCs/>
                <w:i/>
                <w:iCs/>
                <w:sz w:val="20"/>
                <w:szCs w:val="20"/>
              </w:rPr>
              <w:t xml:space="preserve">Jei tokia kainodara nepriimtina, prašome nurodyti kokią konkrečiai kainodarą siūlytumėte? </w:t>
            </w:r>
          </w:p>
          <w:p w14:paraId="4AF79D22" w14:textId="77797BAE" w:rsidR="00536E86" w:rsidRPr="00C7611F" w:rsidRDefault="00536E86" w:rsidP="00536E86">
            <w:pPr>
              <w:jc w:val="both"/>
              <w:rPr>
                <w:rFonts w:ascii="Verdana" w:hAnsi="Verdana" w:cs="Times New Roman"/>
                <w:bCs/>
                <w:i/>
                <w:iCs/>
                <w:sz w:val="20"/>
                <w:szCs w:val="20"/>
              </w:rPr>
            </w:pPr>
            <w:r>
              <w:rPr>
                <w:rFonts w:ascii="Verdana" w:hAnsi="Verdana" w:cs="Times New Roman"/>
                <w:bCs/>
                <w:i/>
                <w:iCs/>
                <w:sz w:val="20"/>
                <w:szCs w:val="20"/>
              </w:rPr>
              <w:t>Jei siūlytumėte valandinio įkainio kainodarą, prašome įvardinti kiekvieną darbą, kuris patenka į įkainį ir jūsų įsivaizduojamas apimtis (valandų trukmę), įvertinus techninėje specifikacijoje aprašytą Perkančiosios organizacijos poreikį/jo apimtį, bei jūsų siūlomą valandinį įkainį (eurais be PVM).</w:t>
            </w:r>
          </w:p>
        </w:tc>
        <w:tc>
          <w:tcPr>
            <w:tcW w:w="3545" w:type="dxa"/>
            <w:tcBorders>
              <w:top w:val="single" w:sz="4" w:space="0" w:color="auto"/>
              <w:left w:val="single" w:sz="4" w:space="0" w:color="auto"/>
              <w:bottom w:val="single" w:sz="4" w:space="0" w:color="auto"/>
              <w:right w:val="single" w:sz="4" w:space="0" w:color="auto"/>
            </w:tcBorders>
          </w:tcPr>
          <w:p w14:paraId="18540981" w14:textId="271B456F" w:rsidR="00536E86" w:rsidRPr="00C7611F" w:rsidRDefault="00536E86" w:rsidP="00536E86">
            <w:pPr>
              <w:jc w:val="both"/>
              <w:rPr>
                <w:rFonts w:ascii="Verdana" w:hAnsi="Verdana" w:cs="Times New Roman"/>
                <w:bCs/>
                <w:sz w:val="20"/>
                <w:szCs w:val="20"/>
              </w:rPr>
            </w:pPr>
            <w:r>
              <w:rPr>
                <w:rFonts w:ascii="Verdana" w:hAnsi="Verdana" w:cs="Times New Roman"/>
                <w:bCs/>
                <w:sz w:val="20"/>
                <w:szCs w:val="20"/>
              </w:rPr>
              <w:t>Tinka</w:t>
            </w:r>
          </w:p>
        </w:tc>
        <w:tc>
          <w:tcPr>
            <w:tcW w:w="3544" w:type="dxa"/>
            <w:tcBorders>
              <w:top w:val="single" w:sz="4" w:space="0" w:color="auto"/>
              <w:left w:val="single" w:sz="4" w:space="0" w:color="auto"/>
              <w:bottom w:val="single" w:sz="4" w:space="0" w:color="auto"/>
              <w:right w:val="single" w:sz="4" w:space="0" w:color="auto"/>
            </w:tcBorders>
          </w:tcPr>
          <w:p w14:paraId="484008DB" w14:textId="77777777" w:rsidR="0077796E" w:rsidRDefault="0077796E" w:rsidP="0077796E">
            <w:pPr>
              <w:pStyle w:val="Default"/>
              <w:jc w:val="both"/>
              <w:rPr>
                <w:sz w:val="20"/>
                <w:szCs w:val="20"/>
              </w:rPr>
            </w:pPr>
            <w:r>
              <w:rPr>
                <w:sz w:val="20"/>
                <w:szCs w:val="20"/>
              </w:rPr>
              <w:t xml:space="preserve">Taip, jei mokėjimai bus vykdomi už metus į priekį. </w:t>
            </w:r>
          </w:p>
          <w:p w14:paraId="3997C338" w14:textId="77777777" w:rsidR="00536E86" w:rsidRDefault="00536E86" w:rsidP="00536E86">
            <w:pPr>
              <w:jc w:val="both"/>
              <w:rPr>
                <w:rFonts w:ascii="Verdana" w:hAnsi="Verdana" w:cs="Times New Roman"/>
                <w:bCs/>
                <w:sz w:val="20"/>
                <w:szCs w:val="20"/>
              </w:rPr>
            </w:pPr>
          </w:p>
        </w:tc>
      </w:tr>
      <w:tr w:rsidR="00536E86" w:rsidRPr="00C7611F" w14:paraId="3B5B1EAD" w14:textId="541F45AA" w:rsidTr="00536E86">
        <w:trPr>
          <w:trHeight w:val="484"/>
        </w:trPr>
        <w:tc>
          <w:tcPr>
            <w:tcW w:w="1005" w:type="dxa"/>
            <w:tcBorders>
              <w:top w:val="single" w:sz="4" w:space="0" w:color="auto"/>
              <w:left w:val="single" w:sz="4" w:space="0" w:color="auto"/>
              <w:bottom w:val="single" w:sz="4" w:space="0" w:color="auto"/>
              <w:right w:val="single" w:sz="4" w:space="0" w:color="auto"/>
            </w:tcBorders>
          </w:tcPr>
          <w:p w14:paraId="3323550B" w14:textId="77777777" w:rsidR="00536E86" w:rsidRPr="00C7611F" w:rsidRDefault="00536E86" w:rsidP="00536E86">
            <w:pPr>
              <w:numPr>
                <w:ilvl w:val="0"/>
                <w:numId w:val="4"/>
              </w:numPr>
              <w:pBdr>
                <w:top w:val="nil"/>
                <w:left w:val="nil"/>
                <w:bottom w:val="nil"/>
                <w:right w:val="nil"/>
                <w:between w:val="nil"/>
                <w:bar w:val="nil"/>
              </w:pBdr>
              <w:ind w:left="0" w:firstLine="0"/>
              <w:jc w:val="both"/>
              <w:rPr>
                <w:rFonts w:ascii="Verdana" w:hAnsi="Verdana" w:cs="Times New Roman"/>
                <w:bCs/>
                <w:sz w:val="20"/>
                <w:szCs w:val="20"/>
              </w:rPr>
            </w:pPr>
          </w:p>
        </w:tc>
        <w:tc>
          <w:tcPr>
            <w:tcW w:w="7493" w:type="dxa"/>
            <w:tcBorders>
              <w:top w:val="single" w:sz="4" w:space="0" w:color="auto"/>
              <w:left w:val="single" w:sz="4" w:space="0" w:color="auto"/>
              <w:bottom w:val="single" w:sz="4" w:space="0" w:color="auto"/>
              <w:right w:val="single" w:sz="4" w:space="0" w:color="auto"/>
            </w:tcBorders>
          </w:tcPr>
          <w:p w14:paraId="6D8263D4" w14:textId="6E879E32" w:rsidR="00536E86" w:rsidRPr="00C7611F" w:rsidRDefault="00536E86" w:rsidP="00536E86">
            <w:pPr>
              <w:jc w:val="both"/>
              <w:rPr>
                <w:rFonts w:ascii="Verdana" w:hAnsi="Verdana" w:cs="Times New Roman"/>
                <w:bCs/>
                <w:i/>
                <w:iCs/>
                <w:sz w:val="20"/>
                <w:szCs w:val="20"/>
              </w:rPr>
            </w:pPr>
            <w:r w:rsidRPr="00C7611F">
              <w:rPr>
                <w:rFonts w:ascii="Verdana" w:hAnsi="Verdana" w:cs="Times New Roman"/>
                <w:bCs/>
                <w:i/>
                <w:iCs/>
                <w:sz w:val="20"/>
                <w:szCs w:val="20"/>
              </w:rPr>
              <w:t>Ar dalyvautumėte šiame pirkime? Jeigu „Ne“, prašome nurodyti kodėl.</w:t>
            </w:r>
          </w:p>
        </w:tc>
        <w:tc>
          <w:tcPr>
            <w:tcW w:w="3545" w:type="dxa"/>
            <w:tcBorders>
              <w:top w:val="single" w:sz="4" w:space="0" w:color="auto"/>
              <w:left w:val="single" w:sz="4" w:space="0" w:color="auto"/>
              <w:bottom w:val="single" w:sz="4" w:space="0" w:color="auto"/>
              <w:right w:val="single" w:sz="4" w:space="0" w:color="auto"/>
            </w:tcBorders>
          </w:tcPr>
          <w:p w14:paraId="3E3CBE3E" w14:textId="5C437808" w:rsidR="00536E86" w:rsidRDefault="00536E86" w:rsidP="00536E86">
            <w:pPr>
              <w:jc w:val="both"/>
              <w:rPr>
                <w:rFonts w:ascii="Verdana" w:hAnsi="Verdana" w:cs="Times New Roman"/>
                <w:bCs/>
                <w:sz w:val="20"/>
                <w:szCs w:val="20"/>
              </w:rPr>
            </w:pPr>
            <w:r>
              <w:rPr>
                <w:rFonts w:ascii="Verdana" w:hAnsi="Verdana" w:cs="Times New Roman"/>
                <w:bCs/>
                <w:sz w:val="20"/>
                <w:szCs w:val="20"/>
              </w:rPr>
              <w:t>Taip</w:t>
            </w:r>
          </w:p>
        </w:tc>
        <w:tc>
          <w:tcPr>
            <w:tcW w:w="3544" w:type="dxa"/>
            <w:tcBorders>
              <w:top w:val="single" w:sz="4" w:space="0" w:color="auto"/>
              <w:left w:val="single" w:sz="4" w:space="0" w:color="auto"/>
              <w:bottom w:val="single" w:sz="4" w:space="0" w:color="auto"/>
              <w:right w:val="single" w:sz="4" w:space="0" w:color="auto"/>
            </w:tcBorders>
          </w:tcPr>
          <w:p w14:paraId="5AEA690D" w14:textId="285B24A1" w:rsidR="00536E86" w:rsidRDefault="00AB34DD" w:rsidP="00536E86">
            <w:pPr>
              <w:jc w:val="both"/>
              <w:rPr>
                <w:rFonts w:ascii="Verdana" w:hAnsi="Verdana" w:cs="Times New Roman"/>
                <w:bCs/>
                <w:sz w:val="20"/>
                <w:szCs w:val="20"/>
              </w:rPr>
            </w:pPr>
            <w:r>
              <w:rPr>
                <w:rFonts w:ascii="Verdana" w:hAnsi="Verdana" w:cs="Times New Roman"/>
                <w:bCs/>
                <w:sz w:val="20"/>
                <w:szCs w:val="20"/>
              </w:rPr>
              <w:t>Taip</w:t>
            </w:r>
          </w:p>
        </w:tc>
      </w:tr>
    </w:tbl>
    <w:p w14:paraId="1CE226FA" w14:textId="77777777" w:rsidR="006C215B" w:rsidRDefault="006C215B" w:rsidP="00256B43">
      <w:pPr>
        <w:pStyle w:val="ListParagraph"/>
        <w:tabs>
          <w:tab w:val="left" w:pos="321"/>
        </w:tabs>
        <w:spacing w:before="60" w:after="60"/>
        <w:jc w:val="both"/>
        <w:rPr>
          <w:rFonts w:ascii="Verdana" w:hAnsi="Verdana" w:cs="Times New Roman"/>
          <w:i/>
          <w:iCs/>
          <w:sz w:val="20"/>
          <w:szCs w:val="20"/>
          <w:lang w:val="lt-LT"/>
        </w:rPr>
      </w:pPr>
    </w:p>
    <w:p w14:paraId="4AD84BFB" w14:textId="0E801E9A" w:rsidR="00536E86" w:rsidRPr="00516581" w:rsidRDefault="00536E86" w:rsidP="00536E86">
      <w:pPr>
        <w:pStyle w:val="ListParagraph"/>
        <w:tabs>
          <w:tab w:val="left" w:pos="1134"/>
        </w:tabs>
        <w:spacing w:before="120" w:after="0"/>
        <w:ind w:left="0" w:firstLine="709"/>
        <w:contextualSpacing w:val="0"/>
        <w:jc w:val="both"/>
        <w:rPr>
          <w:rFonts w:ascii="Verdana" w:hAnsi="Verdana" w:cs="Times New Roman"/>
          <w:sz w:val="20"/>
          <w:szCs w:val="20"/>
          <w:lang w:val="lt-LT"/>
        </w:rPr>
      </w:pPr>
      <w:r w:rsidRPr="00516581">
        <w:rPr>
          <w:rFonts w:ascii="Verdana" w:hAnsi="Verdana" w:cs="Times New Roman"/>
          <w:sz w:val="20"/>
          <w:szCs w:val="20"/>
          <w:lang w:val="lt-LT"/>
        </w:rPr>
        <w:t>Pridedame, įvertinus rinkos konsultacijos metu gautą informaciją, atitinkamai patikslintą techninės specifikacijos projektą (priedas).</w:t>
      </w:r>
    </w:p>
    <w:p w14:paraId="66E7BD5D" w14:textId="77777777" w:rsidR="00536E86" w:rsidRPr="00516581" w:rsidRDefault="00536E86" w:rsidP="00536E86">
      <w:pPr>
        <w:pStyle w:val="ListParagraph"/>
        <w:tabs>
          <w:tab w:val="left" w:pos="1134"/>
        </w:tabs>
        <w:spacing w:before="120"/>
        <w:ind w:left="0" w:firstLine="709"/>
        <w:contextualSpacing w:val="0"/>
        <w:jc w:val="both"/>
        <w:rPr>
          <w:rFonts w:ascii="Verdana" w:hAnsi="Verdana" w:cs="Times New Roman"/>
          <w:sz w:val="20"/>
          <w:szCs w:val="20"/>
          <w:lang w:val="lt-LT"/>
        </w:rPr>
      </w:pPr>
      <w:r w:rsidRPr="00516581">
        <w:rPr>
          <w:rFonts w:ascii="Verdana" w:hAnsi="Verdana" w:cs="Times New Roman"/>
          <w:sz w:val="20"/>
          <w:szCs w:val="20"/>
          <w:lang w:val="lt-LT"/>
        </w:rPr>
        <w:t>Informuojame, kad Perkančioji organizacija artimiausiu metu planuoja skelbti skelbimą apie pirkimą. Prašome sekti informaciją CVP IS.</w:t>
      </w:r>
    </w:p>
    <w:p w14:paraId="6358892D" w14:textId="77777777" w:rsidR="00536E86" w:rsidRPr="00516581" w:rsidRDefault="00536E86" w:rsidP="00536E86">
      <w:pPr>
        <w:pStyle w:val="ListParagraph"/>
        <w:tabs>
          <w:tab w:val="left" w:pos="1134"/>
        </w:tabs>
        <w:spacing w:before="120"/>
        <w:ind w:left="0" w:firstLine="709"/>
        <w:jc w:val="both"/>
        <w:rPr>
          <w:rFonts w:ascii="Verdana" w:hAnsi="Verdana" w:cs="Times New Roman"/>
          <w:sz w:val="20"/>
          <w:szCs w:val="20"/>
          <w:lang w:val="lt-LT"/>
        </w:rPr>
      </w:pPr>
      <w:r w:rsidRPr="00516581">
        <w:rPr>
          <w:rFonts w:ascii="Verdana" w:hAnsi="Verdana" w:cs="Times New Roman"/>
          <w:sz w:val="20"/>
          <w:szCs w:val="20"/>
          <w:lang w:val="lt-LT"/>
        </w:rPr>
        <w:lastRenderedPageBreak/>
        <w:t>Taip pat Perkančioji organizacija atkreipia tiekėjų, ketinančių dalyvauti po šios rinkos konsultacijos paskelbtame pirkime, dėmesį į tai, jog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pirkimo vykdytojas galėtų identifikuoti konsultacijos teikėją ir konsultacijos esmę)“</w:t>
      </w:r>
      <w:r w:rsidRPr="00516581">
        <w:rPr>
          <w:rStyle w:val="FootnoteReference"/>
          <w:rFonts w:ascii="Verdana" w:hAnsi="Verdana" w:cs="Times New Roman"/>
          <w:sz w:val="20"/>
          <w:szCs w:val="20"/>
          <w:lang w:val="lt-LT"/>
        </w:rPr>
        <w:footnoteReference w:id="2"/>
      </w:r>
      <w:r w:rsidRPr="00516581">
        <w:rPr>
          <w:rFonts w:ascii="Verdana" w:hAnsi="Verdana" w:cs="Times New Roman"/>
          <w:sz w:val="20"/>
          <w:szCs w:val="20"/>
          <w:lang w:val="lt-LT"/>
        </w:rPr>
        <w:t>.</w:t>
      </w:r>
    </w:p>
    <w:p w14:paraId="56936EDE" w14:textId="77777777" w:rsidR="00536E86" w:rsidRPr="00516581" w:rsidRDefault="00536E86" w:rsidP="00536E86">
      <w:pPr>
        <w:pStyle w:val="ListParagraph"/>
        <w:tabs>
          <w:tab w:val="left" w:pos="1134"/>
        </w:tabs>
        <w:spacing w:before="120" w:after="0"/>
        <w:ind w:left="0" w:firstLine="709"/>
        <w:contextualSpacing w:val="0"/>
        <w:jc w:val="both"/>
        <w:rPr>
          <w:rFonts w:ascii="Verdana" w:hAnsi="Verdana" w:cs="Times New Roman"/>
          <w:sz w:val="20"/>
          <w:szCs w:val="20"/>
          <w:lang w:val="lt-LT"/>
        </w:rPr>
      </w:pPr>
    </w:p>
    <w:p w14:paraId="3B0EC5C2" w14:textId="23A2003E" w:rsidR="00536E86" w:rsidRPr="00412385" w:rsidRDefault="00536E86" w:rsidP="00536E86">
      <w:pPr>
        <w:pStyle w:val="ListParagraph"/>
        <w:tabs>
          <w:tab w:val="left" w:pos="1134"/>
        </w:tabs>
        <w:spacing w:after="0"/>
        <w:ind w:left="0" w:firstLine="709"/>
        <w:contextualSpacing w:val="0"/>
        <w:jc w:val="both"/>
        <w:rPr>
          <w:rFonts w:ascii="Verdana" w:hAnsi="Verdana" w:cs="Times New Roman"/>
          <w:sz w:val="20"/>
          <w:szCs w:val="20"/>
          <w:lang w:val="lt-LT"/>
        </w:rPr>
      </w:pPr>
      <w:r w:rsidRPr="00516581">
        <w:rPr>
          <w:rFonts w:ascii="Verdana" w:hAnsi="Verdana" w:cs="Times New Roman"/>
          <w:sz w:val="20"/>
          <w:szCs w:val="20"/>
          <w:lang w:val="lt-LT"/>
        </w:rPr>
        <w:t>PRIEDAS: Patikslint</w:t>
      </w:r>
      <w:r w:rsidR="007B3748">
        <w:rPr>
          <w:rFonts w:ascii="Verdana" w:hAnsi="Verdana" w:cs="Times New Roman"/>
          <w:sz w:val="20"/>
          <w:szCs w:val="20"/>
          <w:lang w:val="lt-LT"/>
        </w:rPr>
        <w:t>os</w:t>
      </w:r>
      <w:r w:rsidRPr="00516581">
        <w:rPr>
          <w:rFonts w:ascii="Verdana" w:hAnsi="Verdana" w:cs="Times New Roman"/>
          <w:sz w:val="20"/>
          <w:szCs w:val="20"/>
          <w:lang w:val="lt-LT"/>
        </w:rPr>
        <w:t xml:space="preserve"> techninė</w:t>
      </w:r>
      <w:r w:rsidR="007B3748">
        <w:rPr>
          <w:rFonts w:ascii="Verdana" w:hAnsi="Verdana" w:cs="Times New Roman"/>
          <w:sz w:val="20"/>
          <w:szCs w:val="20"/>
          <w:lang w:val="lt-LT"/>
        </w:rPr>
        <w:t>s</w:t>
      </w:r>
      <w:r w:rsidRPr="00516581">
        <w:rPr>
          <w:rFonts w:ascii="Verdana" w:hAnsi="Verdana" w:cs="Times New Roman"/>
          <w:sz w:val="20"/>
          <w:szCs w:val="20"/>
          <w:lang w:val="lt-LT"/>
        </w:rPr>
        <w:t xml:space="preserve"> specifikacij</w:t>
      </w:r>
      <w:r w:rsidR="007B3748">
        <w:rPr>
          <w:rFonts w:ascii="Verdana" w:hAnsi="Verdana" w:cs="Times New Roman"/>
          <w:sz w:val="20"/>
          <w:szCs w:val="20"/>
          <w:lang w:val="lt-LT"/>
        </w:rPr>
        <w:t>os projektas</w:t>
      </w:r>
      <w:r w:rsidRPr="00516581">
        <w:rPr>
          <w:rFonts w:ascii="Verdana" w:hAnsi="Verdana" w:cs="Times New Roman"/>
          <w:sz w:val="20"/>
          <w:szCs w:val="20"/>
          <w:lang w:val="lt-LT"/>
        </w:rPr>
        <w:t>.</w:t>
      </w:r>
    </w:p>
    <w:p w14:paraId="57AEDD6C" w14:textId="77777777" w:rsidR="00536E86" w:rsidRPr="000A572A" w:rsidRDefault="00536E86" w:rsidP="00256B43">
      <w:pPr>
        <w:pStyle w:val="ListParagraph"/>
        <w:tabs>
          <w:tab w:val="left" w:pos="321"/>
        </w:tabs>
        <w:spacing w:before="60" w:after="60"/>
        <w:jc w:val="both"/>
        <w:rPr>
          <w:rFonts w:ascii="Verdana" w:hAnsi="Verdana" w:cs="Times New Roman"/>
          <w:i/>
          <w:iCs/>
          <w:sz w:val="20"/>
          <w:szCs w:val="20"/>
          <w:lang w:val="lt-LT"/>
        </w:rPr>
      </w:pPr>
    </w:p>
    <w:sectPr w:rsidR="00536E86" w:rsidRPr="000A572A" w:rsidSect="00536E86">
      <w:pgSz w:w="16840" w:h="11907" w:orient="landscape"/>
      <w:pgMar w:top="1701" w:right="567" w:bottom="567" w:left="567"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E78B" w14:textId="77777777" w:rsidR="00BD5DA8" w:rsidRDefault="00BD5DA8" w:rsidP="00536E86">
      <w:pPr>
        <w:spacing w:after="0" w:line="240" w:lineRule="auto"/>
      </w:pPr>
      <w:r>
        <w:separator/>
      </w:r>
    </w:p>
  </w:endnote>
  <w:endnote w:type="continuationSeparator" w:id="0">
    <w:p w14:paraId="20A41B4D" w14:textId="77777777" w:rsidR="00BD5DA8" w:rsidRDefault="00BD5DA8" w:rsidP="00536E86">
      <w:pPr>
        <w:spacing w:after="0" w:line="240" w:lineRule="auto"/>
      </w:pPr>
      <w:r>
        <w:continuationSeparator/>
      </w:r>
    </w:p>
  </w:endnote>
  <w:endnote w:type="continuationNotice" w:id="1">
    <w:p w14:paraId="7EA4D130" w14:textId="77777777" w:rsidR="00BD5DA8" w:rsidRDefault="00BD5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94B0A" w14:textId="77777777" w:rsidR="00BD5DA8" w:rsidRDefault="00BD5DA8" w:rsidP="00536E86">
      <w:pPr>
        <w:spacing w:after="0" w:line="240" w:lineRule="auto"/>
      </w:pPr>
      <w:r>
        <w:separator/>
      </w:r>
    </w:p>
  </w:footnote>
  <w:footnote w:type="continuationSeparator" w:id="0">
    <w:p w14:paraId="45D366B7" w14:textId="77777777" w:rsidR="00BD5DA8" w:rsidRDefault="00BD5DA8" w:rsidP="00536E86">
      <w:pPr>
        <w:spacing w:after="0" w:line="240" w:lineRule="auto"/>
      </w:pPr>
      <w:r>
        <w:continuationSeparator/>
      </w:r>
    </w:p>
  </w:footnote>
  <w:footnote w:type="continuationNotice" w:id="1">
    <w:p w14:paraId="71DDA5AA" w14:textId="77777777" w:rsidR="00BD5DA8" w:rsidRDefault="00BD5DA8">
      <w:pPr>
        <w:spacing w:after="0" w:line="240" w:lineRule="auto"/>
      </w:pPr>
    </w:p>
  </w:footnote>
  <w:footnote w:id="2">
    <w:p w14:paraId="736B1DD6" w14:textId="77777777" w:rsidR="00536E86" w:rsidRPr="00224EE7" w:rsidRDefault="00536E86" w:rsidP="00536E86">
      <w:pPr>
        <w:pStyle w:val="FootnoteText"/>
        <w:tabs>
          <w:tab w:val="left" w:pos="284"/>
        </w:tabs>
        <w:jc w:val="both"/>
        <w:rPr>
          <w:rFonts w:ascii="Verdana" w:hAnsi="Verdana"/>
          <w:lang w:val="lt-LT"/>
        </w:rPr>
      </w:pPr>
      <w:r>
        <w:rPr>
          <w:rStyle w:val="FootnoteReference"/>
        </w:rPr>
        <w:footnoteRef/>
      </w:r>
      <w:hyperlink r:id="rId1" w:history="1">
        <w:r w:rsidRPr="00B450B5">
          <w:rPr>
            <w:rStyle w:val="Hyperlink"/>
            <w:rFonts w:ascii="Verdana" w:hAnsi="Verdana"/>
            <w:sz w:val="16"/>
            <w:szCs w:val="16"/>
          </w:rPr>
          <w:t>https://klausk.vpt.lt/hc/lt/articles/11650592354076-Kada-tiek%C4%97jas-pildydamas-EBVPD-III-dalies-Pa%C5%A1alinimo-pagrindai-C13-skilt%C4%AF-%C4%AF-klausim%C4%85-Tiesioginis-arba-netiesioginis-dalyvavimas-rengiant-%C5%A1i%C4%85-proced%C5%ABr%C4%85-tur%C4%97t%C5%B3-atsakyti-Taip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5A74A73"/>
    <w:multiLevelType w:val="hybridMultilevel"/>
    <w:tmpl w:val="07B64E4A"/>
    <w:lvl w:ilvl="0" w:tplc="A106EF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8110643"/>
    <w:multiLevelType w:val="hybridMultilevel"/>
    <w:tmpl w:val="67FCA538"/>
    <w:lvl w:ilvl="0" w:tplc="B058A2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278097638">
    <w:abstractNumId w:val="3"/>
  </w:num>
  <w:num w:numId="2" w16cid:durableId="2021349239">
    <w:abstractNumId w:val="0"/>
  </w:num>
  <w:num w:numId="3" w16cid:durableId="1431244278">
    <w:abstractNumId w:val="5"/>
  </w:num>
  <w:num w:numId="4"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2406078">
    <w:abstractNumId w:val="1"/>
  </w:num>
  <w:num w:numId="6" w16cid:durableId="1681081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rawingGridVerticalSpacing w:val="299"/>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31C70"/>
    <w:rsid w:val="000455F2"/>
    <w:rsid w:val="000725BC"/>
    <w:rsid w:val="00074DFE"/>
    <w:rsid w:val="000905A3"/>
    <w:rsid w:val="000A572A"/>
    <w:rsid w:val="000E3EF8"/>
    <w:rsid w:val="001206D5"/>
    <w:rsid w:val="0015228A"/>
    <w:rsid w:val="00160A26"/>
    <w:rsid w:val="00162C3E"/>
    <w:rsid w:val="00162F3B"/>
    <w:rsid w:val="001767CA"/>
    <w:rsid w:val="001A0FC8"/>
    <w:rsid w:val="001A4DBE"/>
    <w:rsid w:val="001C53F5"/>
    <w:rsid w:val="001D39FD"/>
    <w:rsid w:val="001D5EED"/>
    <w:rsid w:val="001E427F"/>
    <w:rsid w:val="001E45A3"/>
    <w:rsid w:val="001F0B5D"/>
    <w:rsid w:val="002105E9"/>
    <w:rsid w:val="00235559"/>
    <w:rsid w:val="00256B43"/>
    <w:rsid w:val="00265300"/>
    <w:rsid w:val="0028135C"/>
    <w:rsid w:val="002A157C"/>
    <w:rsid w:val="002A3C3D"/>
    <w:rsid w:val="002A5583"/>
    <w:rsid w:val="002A5A9E"/>
    <w:rsid w:val="002B7EDF"/>
    <w:rsid w:val="002D3120"/>
    <w:rsid w:val="002D4091"/>
    <w:rsid w:val="002D6CDA"/>
    <w:rsid w:val="002F6ADA"/>
    <w:rsid w:val="00323DBB"/>
    <w:rsid w:val="003379AD"/>
    <w:rsid w:val="0035276A"/>
    <w:rsid w:val="00371317"/>
    <w:rsid w:val="00384620"/>
    <w:rsid w:val="003952CD"/>
    <w:rsid w:val="003B1D84"/>
    <w:rsid w:val="003B4B2B"/>
    <w:rsid w:val="003B65DB"/>
    <w:rsid w:val="003C2477"/>
    <w:rsid w:val="003E244D"/>
    <w:rsid w:val="003E62E8"/>
    <w:rsid w:val="003F695B"/>
    <w:rsid w:val="00400028"/>
    <w:rsid w:val="004218C3"/>
    <w:rsid w:val="00427979"/>
    <w:rsid w:val="00427BA4"/>
    <w:rsid w:val="00436E6E"/>
    <w:rsid w:val="00461997"/>
    <w:rsid w:val="00461EDA"/>
    <w:rsid w:val="004A6F35"/>
    <w:rsid w:val="004D38A9"/>
    <w:rsid w:val="004D6ED3"/>
    <w:rsid w:val="004D749F"/>
    <w:rsid w:val="004F2A8E"/>
    <w:rsid w:val="00503744"/>
    <w:rsid w:val="00505A5F"/>
    <w:rsid w:val="00516581"/>
    <w:rsid w:val="00524698"/>
    <w:rsid w:val="005276C1"/>
    <w:rsid w:val="00536E86"/>
    <w:rsid w:val="00540B6A"/>
    <w:rsid w:val="00542A0F"/>
    <w:rsid w:val="00542B26"/>
    <w:rsid w:val="005514AA"/>
    <w:rsid w:val="00567904"/>
    <w:rsid w:val="005C3164"/>
    <w:rsid w:val="005E622A"/>
    <w:rsid w:val="005F7D96"/>
    <w:rsid w:val="006324CF"/>
    <w:rsid w:val="006477BE"/>
    <w:rsid w:val="00653197"/>
    <w:rsid w:val="006607BC"/>
    <w:rsid w:val="00662103"/>
    <w:rsid w:val="00667F72"/>
    <w:rsid w:val="0067595B"/>
    <w:rsid w:val="0068557E"/>
    <w:rsid w:val="006976EF"/>
    <w:rsid w:val="006C175A"/>
    <w:rsid w:val="006C215B"/>
    <w:rsid w:val="006C6FEE"/>
    <w:rsid w:val="006D2376"/>
    <w:rsid w:val="006D4936"/>
    <w:rsid w:val="0070753C"/>
    <w:rsid w:val="007412DF"/>
    <w:rsid w:val="00745828"/>
    <w:rsid w:val="00746A30"/>
    <w:rsid w:val="0075191C"/>
    <w:rsid w:val="00751AC3"/>
    <w:rsid w:val="00764550"/>
    <w:rsid w:val="0077796E"/>
    <w:rsid w:val="0079128D"/>
    <w:rsid w:val="007A6C14"/>
    <w:rsid w:val="007B024C"/>
    <w:rsid w:val="007B3748"/>
    <w:rsid w:val="007C249F"/>
    <w:rsid w:val="007C24D2"/>
    <w:rsid w:val="007D6233"/>
    <w:rsid w:val="007E1E40"/>
    <w:rsid w:val="007F232E"/>
    <w:rsid w:val="008278B2"/>
    <w:rsid w:val="00832D9D"/>
    <w:rsid w:val="00844EC8"/>
    <w:rsid w:val="008476F0"/>
    <w:rsid w:val="00862176"/>
    <w:rsid w:val="00874342"/>
    <w:rsid w:val="008A6EDA"/>
    <w:rsid w:val="008A7AC9"/>
    <w:rsid w:val="008B0071"/>
    <w:rsid w:val="008B2862"/>
    <w:rsid w:val="008D0104"/>
    <w:rsid w:val="008D0812"/>
    <w:rsid w:val="008D27ED"/>
    <w:rsid w:val="008D68A4"/>
    <w:rsid w:val="008E1B6C"/>
    <w:rsid w:val="008E6116"/>
    <w:rsid w:val="008F3263"/>
    <w:rsid w:val="00902907"/>
    <w:rsid w:val="0090647A"/>
    <w:rsid w:val="00906C3A"/>
    <w:rsid w:val="00913634"/>
    <w:rsid w:val="0091634E"/>
    <w:rsid w:val="009200C1"/>
    <w:rsid w:val="00936012"/>
    <w:rsid w:val="0093647A"/>
    <w:rsid w:val="00941FC2"/>
    <w:rsid w:val="009473E8"/>
    <w:rsid w:val="00947583"/>
    <w:rsid w:val="009578C2"/>
    <w:rsid w:val="00962758"/>
    <w:rsid w:val="00967822"/>
    <w:rsid w:val="009A197A"/>
    <w:rsid w:val="009B6761"/>
    <w:rsid w:val="009C540C"/>
    <w:rsid w:val="009C724C"/>
    <w:rsid w:val="009D79FC"/>
    <w:rsid w:val="009F5889"/>
    <w:rsid w:val="00A05467"/>
    <w:rsid w:val="00A205A6"/>
    <w:rsid w:val="00A2383D"/>
    <w:rsid w:val="00A250A4"/>
    <w:rsid w:val="00A37DBA"/>
    <w:rsid w:val="00A51913"/>
    <w:rsid w:val="00A52410"/>
    <w:rsid w:val="00A56E59"/>
    <w:rsid w:val="00A60FED"/>
    <w:rsid w:val="00A618FA"/>
    <w:rsid w:val="00A6208A"/>
    <w:rsid w:val="00A71B79"/>
    <w:rsid w:val="00AB34DD"/>
    <w:rsid w:val="00AD7710"/>
    <w:rsid w:val="00AE5962"/>
    <w:rsid w:val="00AF7DFF"/>
    <w:rsid w:val="00B00DCF"/>
    <w:rsid w:val="00B01CE3"/>
    <w:rsid w:val="00B234F6"/>
    <w:rsid w:val="00B25E75"/>
    <w:rsid w:val="00B60DB2"/>
    <w:rsid w:val="00B721E8"/>
    <w:rsid w:val="00B77E09"/>
    <w:rsid w:val="00BA6263"/>
    <w:rsid w:val="00BB43A7"/>
    <w:rsid w:val="00BD0E39"/>
    <w:rsid w:val="00BD5DA8"/>
    <w:rsid w:val="00BE26AF"/>
    <w:rsid w:val="00BE32A1"/>
    <w:rsid w:val="00BE656F"/>
    <w:rsid w:val="00BF4424"/>
    <w:rsid w:val="00C0383B"/>
    <w:rsid w:val="00C07A71"/>
    <w:rsid w:val="00C21FC3"/>
    <w:rsid w:val="00C26426"/>
    <w:rsid w:val="00C36EC6"/>
    <w:rsid w:val="00C476ED"/>
    <w:rsid w:val="00C743F4"/>
    <w:rsid w:val="00C7611F"/>
    <w:rsid w:val="00C91718"/>
    <w:rsid w:val="00C95C4A"/>
    <w:rsid w:val="00CA0E36"/>
    <w:rsid w:val="00CB57F9"/>
    <w:rsid w:val="00CC06AA"/>
    <w:rsid w:val="00D52443"/>
    <w:rsid w:val="00D53A39"/>
    <w:rsid w:val="00D54F79"/>
    <w:rsid w:val="00D73A7A"/>
    <w:rsid w:val="00D73DCF"/>
    <w:rsid w:val="00D915FF"/>
    <w:rsid w:val="00D97F55"/>
    <w:rsid w:val="00DA1CFC"/>
    <w:rsid w:val="00DC45C6"/>
    <w:rsid w:val="00DE3D54"/>
    <w:rsid w:val="00DE5623"/>
    <w:rsid w:val="00DE724E"/>
    <w:rsid w:val="00DE7D11"/>
    <w:rsid w:val="00E037CA"/>
    <w:rsid w:val="00E06F29"/>
    <w:rsid w:val="00E0779A"/>
    <w:rsid w:val="00E22623"/>
    <w:rsid w:val="00E271AB"/>
    <w:rsid w:val="00E5266B"/>
    <w:rsid w:val="00E618CE"/>
    <w:rsid w:val="00E912D3"/>
    <w:rsid w:val="00E93084"/>
    <w:rsid w:val="00E93F6E"/>
    <w:rsid w:val="00EA30F8"/>
    <w:rsid w:val="00EB37BC"/>
    <w:rsid w:val="00EB5E6F"/>
    <w:rsid w:val="00ED72B5"/>
    <w:rsid w:val="00EE3D50"/>
    <w:rsid w:val="00EF2594"/>
    <w:rsid w:val="00EF46D5"/>
    <w:rsid w:val="00F04A69"/>
    <w:rsid w:val="00F0772E"/>
    <w:rsid w:val="00F32F97"/>
    <w:rsid w:val="00F41CC5"/>
    <w:rsid w:val="00F449FD"/>
    <w:rsid w:val="00F75AC6"/>
    <w:rsid w:val="00F761F5"/>
    <w:rsid w:val="00F84B39"/>
    <w:rsid w:val="00F97136"/>
    <w:rsid w:val="00F976A9"/>
    <w:rsid w:val="00FA5F1C"/>
    <w:rsid w:val="00FA5FEE"/>
    <w:rsid w:val="00FB0262"/>
    <w:rsid w:val="00FB5DFA"/>
    <w:rsid w:val="00FC2974"/>
    <w:rsid w:val="00FC3E34"/>
    <w:rsid w:val="00FC541A"/>
    <w:rsid w:val="00FD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table" w:styleId="TableGrid">
    <w:name w:val="Table Grid"/>
    <w:basedOn w:val="TableNormal"/>
    <w:uiPriority w:val="39"/>
    <w:rsid w:val="003379AD"/>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6ADA"/>
    <w:pPr>
      <w:spacing w:after="0" w:line="240" w:lineRule="auto"/>
    </w:pPr>
  </w:style>
  <w:style w:type="paragraph" w:styleId="FootnoteText">
    <w:name w:val="footnote text"/>
    <w:basedOn w:val="Normal"/>
    <w:link w:val="FootnoteTextChar"/>
    <w:uiPriority w:val="99"/>
    <w:semiHidden/>
    <w:unhideWhenUsed/>
    <w:rsid w:val="00536E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6E86"/>
    <w:rPr>
      <w:sz w:val="20"/>
      <w:szCs w:val="20"/>
    </w:rPr>
  </w:style>
  <w:style w:type="character" w:styleId="FootnoteReference">
    <w:name w:val="footnote reference"/>
    <w:basedOn w:val="DefaultParagraphFont"/>
    <w:uiPriority w:val="99"/>
    <w:semiHidden/>
    <w:unhideWhenUsed/>
    <w:rsid w:val="00536E86"/>
    <w:rPr>
      <w:vertAlign w:val="superscript"/>
    </w:rPr>
  </w:style>
  <w:style w:type="paragraph" w:customStyle="1" w:styleId="Default">
    <w:name w:val="Default"/>
    <w:rsid w:val="0077796E"/>
    <w:pPr>
      <w:autoSpaceDE w:val="0"/>
      <w:autoSpaceDN w:val="0"/>
      <w:adjustRightInd w:val="0"/>
      <w:spacing w:after="0" w:line="240" w:lineRule="auto"/>
    </w:pPr>
    <w:rPr>
      <w:rFonts w:ascii="Verdana" w:hAnsi="Verdana" w:cs="Verdana"/>
      <w:color w:val="000000"/>
      <w:sz w:val="24"/>
      <w:szCs w:val="24"/>
      <w:lang w:val="lt-LT"/>
    </w:rPr>
  </w:style>
  <w:style w:type="paragraph" w:styleId="Header">
    <w:name w:val="header"/>
    <w:basedOn w:val="Normal"/>
    <w:link w:val="HeaderChar"/>
    <w:uiPriority w:val="99"/>
    <w:semiHidden/>
    <w:unhideWhenUsed/>
    <w:rsid w:val="002D3120"/>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D3120"/>
  </w:style>
  <w:style w:type="paragraph" w:styleId="Footer">
    <w:name w:val="footer"/>
    <w:basedOn w:val="Normal"/>
    <w:link w:val="FooterChar"/>
    <w:uiPriority w:val="99"/>
    <w:semiHidden/>
    <w:unhideWhenUsed/>
    <w:rsid w:val="002D3120"/>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D3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64431">
      <w:bodyDiv w:val="1"/>
      <w:marLeft w:val="0"/>
      <w:marRight w:val="0"/>
      <w:marTop w:val="0"/>
      <w:marBottom w:val="0"/>
      <w:divBdr>
        <w:top w:val="none" w:sz="0" w:space="0" w:color="auto"/>
        <w:left w:val="none" w:sz="0" w:space="0" w:color="auto"/>
        <w:bottom w:val="none" w:sz="0" w:space="0" w:color="auto"/>
        <w:right w:val="none" w:sz="0" w:space="0" w:color="auto"/>
      </w:divBdr>
    </w:div>
    <w:div w:id="144264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650592354076-Kada-tiek%C4%97jas-pildydamas-EBVPD-III-dalies-Pa%C5%A1alinimo-pagrindai-C13-skilt%C4%AF-%C4%AF-klausim%C4%85-Tiesioginis-arba-netiesioginis-dalyvavimas-rengiant-%C5%A1i%C4%85-proced%C5%ABr%C4%85-tur%C4%97t%C5%B3-atsakyti-T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EA57FC9C1ED6E40A99BA72952A8DE20" ma:contentTypeVersion="3" ma:contentTypeDescription="Kurkite naują dokumentą." ma:contentTypeScope="" ma:versionID="883adcfa35b7fffad687a79d0bc55527">
  <xsd:schema xmlns:xsd="http://www.w3.org/2001/XMLSchema" xmlns:xs="http://www.w3.org/2001/XMLSchema" xmlns:p="http://schemas.microsoft.com/office/2006/metadata/properties" xmlns:ns2="aa57c145-7ad1-49e3-b07e-ef0a1b5dffa5" targetNamespace="http://schemas.microsoft.com/office/2006/metadata/properties" ma:root="true" ma:fieldsID="4a8bc397dc3b743727f470a8844173dd" ns2:_="">
    <xsd:import namespace="aa57c145-7ad1-49e3-b07e-ef0a1b5dff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7c145-7ad1-49e3-b07e-ef0a1b5df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67426-3F42-493E-95C7-CC5436770F45}">
  <ds:schemaRefs>
    <ds:schemaRef ds:uri="http://schemas.openxmlformats.org/officeDocument/2006/bibliography"/>
  </ds:schemaRefs>
</ds:datastoreItem>
</file>

<file path=customXml/itemProps2.xml><?xml version="1.0" encoding="utf-8"?>
<ds:datastoreItem xmlns:ds="http://schemas.openxmlformats.org/officeDocument/2006/customXml" ds:itemID="{A8B9FCF0-DCD3-430F-B195-27A6837C4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7c145-7ad1-49e3-b07e-ef0a1b5df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A68A5-1AA1-4F8E-8D99-7A98C9FA1219}">
  <ds:schemaRefs>
    <ds:schemaRef ds:uri="http://schemas.microsoft.com/sharepoint/v3/contenttype/forms"/>
  </ds:schemaRefs>
</ds:datastoreItem>
</file>

<file path=customXml/itemProps4.xml><?xml version="1.0" encoding="utf-8"?>
<ds:datastoreItem xmlns:ds="http://schemas.openxmlformats.org/officeDocument/2006/customXml" ds:itemID="{CCC43127-DBC5-4B59-BC44-CE29243DA086}">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aa57c145-7ad1-49e3-b07e-ef0a1b5dffa5"/>
    <ds:schemaRef ds:uri="http://purl.org/dc/dcmitype/"/>
    <ds:schemaRef ds:uri="http://schemas.microsoft.com/office/2006/documentManagement/types"/>
    <ds:schemaRef ds:uri="http://www.w3.org/XML/1998/namespace"/>
    <ds:schemaRef ds:uri="http://purl.org/dc/te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370</TotalTime>
  <Pages>4</Pages>
  <Words>4553</Words>
  <Characters>2596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Urbelionytė</cp:lastModifiedBy>
  <cp:revision>144</cp:revision>
  <dcterms:created xsi:type="dcterms:W3CDTF">2023-04-17T08:03:00Z</dcterms:created>
  <dcterms:modified xsi:type="dcterms:W3CDTF">2025-05-09T09:27:00Z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0x010100CEA57FC9C1ED6E40A99BA72952A8DE20</vt:lpwstr>
  </property>
</Properties>
</file>