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jc w:val="right"/>
        <w:rPr>
          <w:rFonts w:ascii="Times New Roman" w:hAnsi="Times New Roman" w:eastAsia="Calibri" w:cs="Times New Roman"/>
          <w:color w:val="auto"/>
          <w:sz w:val="22"/>
          <w:szCs w:val="22"/>
        </w:rPr>
      </w:pPr>
      <w:bookmarkStart w:id="0" w:name="_Hlk128554551"/>
      <w:bookmarkStart w:id="1" w:name="_Hlk127981074"/>
      <w:bookmarkStart w:id="2" w:name="_Ref38539939"/>
      <w:bookmarkStart w:id="3" w:name="_Ref38541068"/>
      <w:bookmarkStart w:id="4" w:name="_Ref38885053"/>
      <w:bookmarkStart w:id="5" w:name="_Ref38899023"/>
      <w:bookmarkStart w:id="6" w:name="_Toc124404957"/>
      <w:bookmarkStart w:id="7" w:name="_4d34og8"/>
      <w:bookmarkEnd w:id="7"/>
      <w:r>
        <w:rPr>
          <w:rFonts w:eastAsia="Calibri" w:cs="Times New Roman" w:ascii="Times New Roman" w:hAnsi="Times New Roman"/>
          <w:color w:val="auto"/>
          <w:sz w:val="22"/>
          <w:szCs w:val="22"/>
        </w:rPr>
        <w:t>Pirkimo sąlygų 2 priedas „Techninė specifikacija“</w:t>
      </w:r>
      <w:bookmarkEnd w:id="2"/>
      <w:bookmarkEnd w:id="3"/>
      <w:bookmarkEnd w:id="4"/>
      <w:bookmarkEnd w:id="5"/>
      <w:bookmarkEnd w:id="6"/>
    </w:p>
    <w:p>
      <w:pPr>
        <w:pStyle w:val="Normal"/>
        <w:jc w:val="right"/>
        <w:rPr>
          <w:sz w:val="22"/>
          <w:szCs w:val="22"/>
          <w:lang w:val="lt-LT"/>
        </w:rPr>
      </w:pPr>
      <w:r>
        <w:rPr>
          <w:sz w:val="22"/>
          <w:szCs w:val="22"/>
          <w:lang w:val="lt-LT"/>
        </w:rPr>
      </w:r>
    </w:p>
    <w:p>
      <w:pPr>
        <w:pStyle w:val="Normal"/>
        <w:ind w:firstLine="720"/>
        <w:jc w:val="center"/>
        <w:rPr>
          <w:b/>
          <w:bCs/>
          <w:sz w:val="22"/>
          <w:szCs w:val="22"/>
          <w:lang w:val="lt-LT"/>
        </w:rPr>
      </w:pPr>
      <w:r>
        <w:rPr>
          <w:b/>
          <w:bCs/>
          <w:sz w:val="22"/>
          <w:szCs w:val="22"/>
          <w:lang w:val="lt-LT"/>
        </w:rPr>
        <w:t>KRIZINIŲ ĮVYKIŲ SKAMBUČIŲ CENTRO IR MOBILIŲJŲ PSICHOLOGINIŲ KRIZIŲ ĮVEIKIMO KOMANDŲ VEIKLOS ORGANIZAVIMO IR VIEŠINIMO PASLAUGŲ PIRKIMO TECHNINĖ SPECIFIKACIJA</w:t>
      </w:r>
    </w:p>
    <w:p>
      <w:pPr>
        <w:pStyle w:val="Normal"/>
        <w:ind w:firstLine="720"/>
        <w:jc w:val="center"/>
        <w:rPr>
          <w:b/>
          <w:bCs/>
          <w:sz w:val="22"/>
          <w:szCs w:val="22"/>
          <w:lang w:val="lt-LT"/>
        </w:rPr>
      </w:pPr>
      <w:r>
        <w:rPr>
          <w:b/>
          <w:bCs/>
          <w:sz w:val="22"/>
          <w:szCs w:val="22"/>
          <w:lang w:val="lt-LT"/>
        </w:rPr>
      </w:r>
    </w:p>
    <w:p>
      <w:pPr>
        <w:pStyle w:val="Normal"/>
        <w:ind w:firstLine="720"/>
        <w:jc w:val="center"/>
        <w:rPr>
          <w:b/>
          <w:bCs/>
          <w:sz w:val="22"/>
          <w:szCs w:val="22"/>
          <w:lang w:val="lt-LT"/>
        </w:rPr>
      </w:pPr>
      <w:r>
        <w:rPr>
          <w:b/>
          <w:bCs/>
          <w:sz w:val="22"/>
          <w:szCs w:val="22"/>
          <w:lang w:val="lt-LT"/>
        </w:rPr>
        <w:t>I.</w:t>
      </w:r>
      <w:r>
        <w:rPr>
          <w:sz w:val="22"/>
          <w:szCs w:val="22"/>
          <w:lang w:val="lt-LT"/>
        </w:rPr>
        <w:t xml:space="preserve"> </w:t>
      </w:r>
      <w:r>
        <w:rPr>
          <w:b/>
          <w:bCs/>
          <w:sz w:val="22"/>
          <w:szCs w:val="22"/>
          <w:lang w:val="lt-LT"/>
        </w:rPr>
        <w:t>BENDROSIOS NUOSTATOS</w:t>
      </w:r>
    </w:p>
    <w:p>
      <w:pPr>
        <w:pStyle w:val="ListParagraph"/>
        <w:ind w:firstLine="720" w:left="0"/>
        <w:jc w:val="both"/>
        <w:rPr>
          <w:sz w:val="22"/>
          <w:szCs w:val="22"/>
          <w:lang w:val="lt-LT"/>
        </w:rPr>
      </w:pPr>
      <w:r>
        <w:rPr>
          <w:sz w:val="22"/>
          <w:szCs w:val="22"/>
          <w:lang w:val="lt-LT"/>
        </w:rPr>
        <w:t>1.</w:t>
      </w:r>
      <w:r>
        <w:rPr>
          <w:b/>
          <w:bCs/>
          <w:sz w:val="22"/>
          <w:szCs w:val="22"/>
          <w:lang w:val="lt-LT"/>
        </w:rPr>
        <w:t xml:space="preserve"> </w:t>
      </w:r>
      <w:r>
        <w:rPr>
          <w:sz w:val="22"/>
          <w:szCs w:val="22"/>
          <w:lang w:val="lt-LT"/>
        </w:rPr>
        <w:t>Pirkimas vykdomas vadovaujantis  Psichikos sveikatos stiprinimo, psichosocialinės pagalbos ir savižudybių prevencijos intervencijų plėtojimo 2025-2027 metų veiksmų plano, patvirtinto Lietuvos Respublikos sveikatos apsaugos ministro 2025 m. sausio 20 d. įsakymu Nr. V-30 „Dėl Psichikos sveikatos stiprinimo, psichosocialinės pagalbos ir savižudybių prevencijos intervencijų plėtojimo 2025 - 2027 metų veiksmų plano patvirtinimo“ , 4.1. papunkčiu.</w:t>
      </w:r>
    </w:p>
    <w:p>
      <w:pPr>
        <w:pStyle w:val="ListParagraph"/>
        <w:ind w:firstLine="720" w:left="0"/>
        <w:jc w:val="both"/>
        <w:rPr>
          <w:b/>
          <w:bCs/>
          <w:sz w:val="22"/>
          <w:szCs w:val="22"/>
          <w:lang w:val="lt-LT"/>
        </w:rPr>
      </w:pPr>
      <w:r>
        <w:rPr>
          <w:sz w:val="22"/>
          <w:szCs w:val="22"/>
          <w:lang w:val="lt-LT"/>
        </w:rPr>
        <w:t xml:space="preserve">2. </w:t>
      </w:r>
      <w:r>
        <w:rPr>
          <w:b/>
          <w:bCs/>
          <w:sz w:val="22"/>
          <w:szCs w:val="22"/>
          <w:lang w:val="lt-LT"/>
        </w:rPr>
        <w:t>Pirkimo objektas</w:t>
      </w:r>
      <w:r>
        <w:rPr>
          <w:sz w:val="22"/>
          <w:szCs w:val="22"/>
          <w:lang w:val="lt-LT"/>
        </w:rPr>
        <w:t xml:space="preserve"> – </w:t>
      </w:r>
      <w:r>
        <w:rPr>
          <w:b/>
          <w:bCs/>
          <w:sz w:val="22"/>
          <w:szCs w:val="22"/>
          <w:lang w:val="lt-LT"/>
        </w:rPr>
        <w:t xml:space="preserve">Krizinių įvykių skambučių centro ir mobiliųjų psichologinių krizių įveikimo komandų veiklos organizavimo ir viešinimopaslaugos. </w:t>
      </w:r>
      <w:r>
        <w:rPr>
          <w:sz w:val="22"/>
          <w:szCs w:val="22"/>
          <w:lang w:val="lt-LT"/>
        </w:rPr>
        <w:t>BVPŽ kodas 85121270-6 (Psichiatrų arba psichologų paslaugos). Paslaugų teikimo laikotarpis –</w:t>
      </w:r>
      <w:r>
        <w:rPr>
          <w:b/>
          <w:bCs/>
          <w:sz w:val="22"/>
          <w:szCs w:val="22"/>
          <w:lang w:val="lt-LT"/>
        </w:rPr>
        <w:t xml:space="preserve"> 12 (dvylika) mėnesių. </w:t>
      </w:r>
      <w:r>
        <w:rPr>
          <w:sz w:val="22"/>
          <w:szCs w:val="22"/>
          <w:lang w:val="lt-LT"/>
        </w:rPr>
        <w:t xml:space="preserve">Sutartis su laimėtoju bus laikoma sudaryta ir įsigalios nuo Sutarties pasirašymo dienos (antrosios Šalies pasirašymo dieną) ir galios, kol Šalys sutars ją nutraukti arba kol Sutarties galiojimas pasibaigs (visiškai įvykdomi įsipareigojimai, išperkama maksimali Sutarties kaina). Šalių abipusiu rašytiniu Susitarimu Sutartis tomis pačiomis sąlygomis (nedidinant Sutarties kainos) gali būti pratęsta 1 (vieną) kartą ne ilgesniam kaip 2 (dviejų) mėnesių laikotarpiui, jeigu yra išlikęs poreikis ir esant aplinkybei, kai </w:t>
      </w:r>
      <w:r>
        <w:rPr>
          <w:rFonts w:eastAsia="Arial"/>
          <w:sz w:val="22"/>
          <w:szCs w:val="22"/>
          <w:lang w:val="lt-LT"/>
        </w:rPr>
        <w:t>Pirkėjas neišpirko Paslaugų pagal Sutartį ir nėra išnaudota Sutarties kaina.</w:t>
      </w:r>
      <w:r>
        <w:rPr>
          <w:sz w:val="22"/>
          <w:szCs w:val="22"/>
          <w:lang w:val="lt-LT"/>
        </w:rPr>
        <w:t xml:space="preserve"> Bendras paslaugų teikimo laikotarpis, įskaitant pratęsimus, negali būti ilgesnis nei 15 (penkiolika) mėnesių, įskaitant 30 kalendorinių dienų paslaugų apmokėjimui.</w:t>
      </w:r>
      <w:r>
        <w:rPr>
          <w:color w:val="FF0000"/>
          <w:sz w:val="22"/>
          <w:szCs w:val="22"/>
          <w:lang w:val="lt-LT"/>
        </w:rPr>
        <w:t> </w:t>
      </w:r>
    </w:p>
    <w:p>
      <w:pPr>
        <w:pStyle w:val="ListParagraph"/>
        <w:numPr>
          <w:ilvl w:val="0"/>
          <w:numId w:val="1"/>
        </w:numPr>
        <w:tabs>
          <w:tab w:val="clear" w:pos="1296"/>
          <w:tab w:val="left" w:pos="993" w:leader="none"/>
        </w:tabs>
        <w:ind w:firstLine="709" w:left="0"/>
        <w:jc w:val="both"/>
        <w:rPr>
          <w:b/>
          <w:bCs/>
          <w:sz w:val="22"/>
          <w:szCs w:val="22"/>
          <w:lang w:val="lt-LT"/>
        </w:rPr>
      </w:pPr>
      <w:r>
        <w:rPr>
          <w:b/>
          <w:bCs/>
          <w:sz w:val="22"/>
          <w:szCs w:val="22"/>
          <w:lang w:val="lt-LT"/>
        </w:rPr>
        <w:t>Maksimali pirkimui skirta lėšų suma, kuri negali būti viršyta</w:t>
      </w:r>
      <w:r>
        <w:rPr>
          <w:sz w:val="22"/>
          <w:szCs w:val="22"/>
          <w:lang w:val="lt-LT"/>
        </w:rPr>
        <w:t xml:space="preserve"> - </w:t>
      </w:r>
      <w:r>
        <w:rPr>
          <w:b/>
          <w:bCs/>
          <w:sz w:val="22"/>
          <w:szCs w:val="22"/>
          <w:lang w:val="lt-LT"/>
        </w:rPr>
        <w:t>226 611, 57 Eur be PVM ir 274 200, 00</w:t>
      </w:r>
      <w:r>
        <w:rPr>
          <w:sz w:val="22"/>
          <w:szCs w:val="22"/>
          <w:lang w:val="lt-LT"/>
        </w:rPr>
        <w:t xml:space="preserve"> </w:t>
      </w:r>
      <w:r>
        <w:rPr>
          <w:b/>
          <w:bCs/>
          <w:sz w:val="22"/>
          <w:szCs w:val="22"/>
          <w:lang w:val="lt-LT"/>
        </w:rPr>
        <w:t xml:space="preserve">Eur su PVM. </w:t>
      </w:r>
      <w:r>
        <w:rPr>
          <w:sz w:val="22"/>
          <w:szCs w:val="22"/>
          <w:lang w:val="lt-LT"/>
        </w:rPr>
        <w:t xml:space="preserve">Maksimali vienos pirkimo dalies 1 mobiliosios komandos paslaugoms skirta lėšų suma - </w:t>
      </w:r>
      <w:r>
        <w:rPr>
          <w:b/>
          <w:bCs/>
          <w:sz w:val="22"/>
          <w:szCs w:val="22"/>
          <w:lang w:val="lt-LT"/>
        </w:rPr>
        <w:t>75 537, 19  Eur be PVM ir  91 400,00 Eur su PVM.</w:t>
      </w:r>
    </w:p>
    <w:p>
      <w:pPr>
        <w:pStyle w:val="ListParagraph"/>
        <w:ind w:firstLine="720" w:left="0"/>
        <w:jc w:val="both"/>
        <w:rPr>
          <w:sz w:val="22"/>
          <w:szCs w:val="22"/>
          <w:lang w:val="lt-LT"/>
        </w:rPr>
      </w:pPr>
      <w:r>
        <w:rPr>
          <w:sz w:val="22"/>
          <w:szCs w:val="22"/>
          <w:lang w:val="lt-LT"/>
        </w:rPr>
        <w:t xml:space="preserve">4. </w:t>
      </w:r>
      <w:r>
        <w:rPr>
          <w:b/>
          <w:bCs/>
          <w:sz w:val="22"/>
          <w:szCs w:val="22"/>
          <w:lang w:val="lt-LT"/>
        </w:rPr>
        <w:t>Pirkimas skaidomas</w:t>
      </w:r>
      <w:r>
        <w:rPr>
          <w:sz w:val="22"/>
          <w:szCs w:val="22"/>
          <w:lang w:val="lt-LT"/>
        </w:rPr>
        <w:t xml:space="preserve"> į  3 dalis, pasiūlymą galima pateikti vienai, kelioms arba visoms pirkimo dalims: I dalis. Krizinių įvykių skambučių centro ir mobiliųjų psichologinių krizių įveikimo komandų veiklos organizavimo ir viešinimo paslaugos (MPKĮKP) Rytų Lietuvos regione; II dalis. Krizinių įvoių skambučių centro ir mobiliųjų psichologinių krizių įveikimo komandų veiklos organizavimo ir viešinimas  paslaugos (MPKĮKP) Vidurio Lietuvos regione; III dalis. Krizinių įvykių skambučių centro ir mobiliųjų psichologinių krizių įveikimo komandų veiklos organizavimo ir viešinimo paslaugos (MPKĮKP) Vakarų Lietuvos regione.</w:t>
      </w:r>
    </w:p>
    <w:p>
      <w:pPr>
        <w:pStyle w:val="ListParagraph"/>
        <w:ind w:firstLine="720" w:left="0"/>
        <w:jc w:val="both"/>
        <w:rPr>
          <w:sz w:val="22"/>
          <w:szCs w:val="22"/>
          <w:lang w:val="lt-LT"/>
        </w:rPr>
      </w:pPr>
      <w:r>
        <w:rPr>
          <w:sz w:val="22"/>
          <w:szCs w:val="22"/>
          <w:lang w:val="lt-LT"/>
        </w:rPr>
        <w:t xml:space="preserve">5. </w:t>
      </w:r>
      <w:r>
        <w:rPr>
          <w:b/>
          <w:bCs/>
          <w:sz w:val="22"/>
          <w:szCs w:val="22"/>
          <w:lang w:val="lt-LT"/>
        </w:rPr>
        <w:t>Perkamos paslaugos 3 dalims pagal apskritis:</w:t>
      </w:r>
      <w:r>
        <w:rPr>
          <w:sz w:val="22"/>
          <w:szCs w:val="22"/>
          <w:lang w:val="lt-LT"/>
        </w:rPr>
        <w:t xml:space="preserve"> </w:t>
      </w:r>
    </w:p>
    <w:p>
      <w:pPr>
        <w:pStyle w:val="ListParagraph"/>
        <w:ind w:firstLine="720" w:left="0"/>
        <w:jc w:val="both"/>
        <w:rPr>
          <w:sz w:val="22"/>
          <w:szCs w:val="22"/>
          <w:lang w:val="lt-LT"/>
        </w:rPr>
      </w:pPr>
      <w:r>
        <w:rPr>
          <w:b/>
          <w:bCs/>
          <w:sz w:val="22"/>
          <w:szCs w:val="22"/>
          <w:lang w:val="lt-LT"/>
        </w:rPr>
        <w:t>I pirkimo dalis</w:t>
      </w:r>
      <w:r>
        <w:rPr>
          <w:sz w:val="22"/>
          <w:szCs w:val="22"/>
          <w:lang w:val="lt-LT"/>
        </w:rPr>
        <w:t xml:space="preserve"> – Rytų Lietuvos regionas: Vilniaus m., Vilniaus r., Šalčininkų r., Biržų r., Trakų r., Širvintų r., Anykščių r., Kupiškio r., Rokiškio r., Zarasų r., Visagino, Ignalinos r., Švenčionių r., Molėtų r. ir Utenos r. savivaldybės.</w:t>
      </w:r>
    </w:p>
    <w:p>
      <w:pPr>
        <w:pStyle w:val="ListParagraph"/>
        <w:ind w:firstLine="720" w:left="0"/>
        <w:jc w:val="both"/>
        <w:rPr>
          <w:sz w:val="22"/>
          <w:szCs w:val="22"/>
          <w:lang w:val="lt-LT"/>
        </w:rPr>
      </w:pPr>
      <w:r>
        <w:rPr>
          <w:b/>
          <w:bCs/>
          <w:sz w:val="22"/>
          <w:szCs w:val="22"/>
          <w:lang w:val="lt-LT"/>
        </w:rPr>
        <w:t>II pirkimo dalis</w:t>
      </w:r>
      <w:r>
        <w:rPr>
          <w:sz w:val="22"/>
          <w:szCs w:val="22"/>
          <w:lang w:val="lt-LT"/>
        </w:rPr>
        <w:t xml:space="preserve"> – Vidurio Lietuvos regionas: Kauno m., Kauno r., Jonavos r., Kaišiadorių r., Prienų r., Birštono, Alytaus m., Alytaus r., Lazdijų r., Druskininkų, Kalvarijos, Marijampolės, Vilkaviškio r., Kazlų Rūdos r., Kėdainių r., Varėnos r., Panevėžio m., Panevėžio r., Ukmergės r., ir Elektrėnų savivaldybės.</w:t>
      </w:r>
    </w:p>
    <w:p>
      <w:pPr>
        <w:pStyle w:val="ListParagraph"/>
        <w:ind w:firstLine="720" w:left="0"/>
        <w:jc w:val="both"/>
        <w:rPr>
          <w:sz w:val="22"/>
          <w:szCs w:val="22"/>
          <w:lang w:val="lt-LT"/>
        </w:rPr>
      </w:pPr>
      <w:r>
        <w:rPr>
          <w:b/>
          <w:bCs/>
          <w:sz w:val="22"/>
          <w:szCs w:val="22"/>
          <w:lang w:val="lt-LT"/>
        </w:rPr>
        <w:t>III pirkimo dalis</w:t>
      </w:r>
      <w:r>
        <w:rPr>
          <w:sz w:val="22"/>
          <w:szCs w:val="22"/>
          <w:lang w:val="lt-LT"/>
        </w:rPr>
        <w:t xml:space="preserve"> – Vakarų Lietuvos regionas: Klaipėdos m., Klaipėdos r., Šilutės r., Šilalės r., Tauragės r., Jurbarko r., Pagėgių, Neringos, Palangos m., Kretingos r., Skuodo r., Mažeikių r., Akmenės r., Joniškio r., Šiaulių m., Šiaulių r., Kelmės r., Telšių r., Plungės r., Rietavo, Radviliškio r., Raseinių r., Pakruojo r., Pasvalio r., Šakių r. savivaldybės.</w:t>
      </w:r>
    </w:p>
    <w:p>
      <w:pPr>
        <w:pStyle w:val="ListParagraph"/>
        <w:ind w:firstLine="720" w:left="0"/>
        <w:jc w:val="both"/>
        <w:rPr>
          <w:sz w:val="22"/>
          <w:szCs w:val="22"/>
          <w:lang w:val="lt-LT"/>
        </w:rPr>
      </w:pPr>
      <w:r>
        <w:rPr>
          <w:sz w:val="22"/>
          <w:szCs w:val="22"/>
          <w:lang w:val="lt-LT"/>
        </w:rPr>
      </w:r>
    </w:p>
    <w:p>
      <w:pPr>
        <w:pStyle w:val="ListParagraph"/>
        <w:ind w:firstLine="720" w:left="0"/>
        <w:jc w:val="center"/>
        <w:rPr>
          <w:b/>
          <w:bCs/>
          <w:sz w:val="22"/>
          <w:szCs w:val="22"/>
          <w:lang w:val="lt-LT"/>
        </w:rPr>
      </w:pPr>
      <w:r>
        <w:rPr>
          <w:b/>
          <w:bCs/>
          <w:sz w:val="22"/>
          <w:szCs w:val="22"/>
          <w:lang w:val="lt-LT"/>
        </w:rPr>
        <w:t>II. SĄVOKOS IR APIBRĖŽIMAI</w:t>
      </w:r>
    </w:p>
    <w:p>
      <w:pPr>
        <w:pStyle w:val="ListParagraph"/>
        <w:tabs>
          <w:tab w:val="clear" w:pos="1296"/>
          <w:tab w:val="left" w:pos="1843" w:leader="none"/>
        </w:tabs>
        <w:ind w:firstLine="720" w:left="0"/>
        <w:jc w:val="both"/>
        <w:rPr>
          <w:sz w:val="22"/>
          <w:szCs w:val="22"/>
          <w:lang w:val="lt-LT"/>
        </w:rPr>
      </w:pPr>
      <w:r>
        <w:rPr>
          <w:sz w:val="22"/>
          <w:szCs w:val="22"/>
          <w:lang w:val="lt-LT"/>
        </w:rPr>
        <w:t xml:space="preserve">6. Pagrindinės sąvokos ir apibrėžimai nurodyti Lietuvos Respublikos sveikatos apsaugos ministro 2021-05-21 įsakymu Nr. V-1163 ,,Dėl Psichologinių krizių valdymo paslaugų organizavimo tvarkos aprašo patvirtinimo“ patvirtinto Psichologinių krizių valdymo paslaugų organizavimo tvarkos aprašo </w:t>
      </w:r>
      <w:hyperlink r:id="rId2">
        <w:r>
          <w:rPr>
            <w:rStyle w:val="Hyperlink"/>
            <w:sz w:val="22"/>
            <w:szCs w:val="22"/>
            <w:lang w:val="lt-LT"/>
          </w:rPr>
          <w:t>(</w:t>
        </w:r>
        <w:r>
          <w:rPr>
            <w:rStyle w:val="Hyperlink"/>
            <w:sz w:val="22"/>
            <w:szCs w:val="22"/>
            <w:lang w:val="lt-LT"/>
          </w:rPr>
          <w:t>toliau - Aprašas)</w:t>
        </w:r>
      </w:hyperlink>
      <w:r>
        <w:rPr>
          <w:sz w:val="22"/>
          <w:szCs w:val="22"/>
          <w:lang w:val="lt-LT"/>
        </w:rPr>
        <w:t xml:space="preserve"> I skyriuje. </w:t>
      </w:r>
    </w:p>
    <w:p>
      <w:pPr>
        <w:pStyle w:val="ListParagraph"/>
        <w:tabs>
          <w:tab w:val="clear" w:pos="1296"/>
          <w:tab w:val="left" w:pos="1843" w:leader="none"/>
        </w:tabs>
        <w:ind w:firstLine="720" w:left="0"/>
        <w:jc w:val="both"/>
        <w:rPr>
          <w:sz w:val="22"/>
          <w:szCs w:val="22"/>
          <w:lang w:val="lt-LT"/>
        </w:rPr>
      </w:pPr>
      <w:r>
        <w:rPr>
          <w:sz w:val="22"/>
          <w:szCs w:val="22"/>
          <w:lang w:val="lt-LT"/>
        </w:rPr>
        <w:t xml:space="preserve">7. </w:t>
      </w:r>
      <w:r>
        <w:rPr>
          <w:rFonts w:eastAsia="Calibri"/>
          <w:sz w:val="22"/>
          <w:szCs w:val="22"/>
          <w:lang w:val="lt-LT"/>
        </w:rPr>
        <w:t>Mobiliosios komandos veiklos organizavimas ir  koordinavimas apima: užduočių iš Skambučių cento priėmimą, MPKĮK specialistų surinkimą, vykimo į krizės vietą organizavimą, ataskaitų rengimą ir pateikimą Perkančiajai organizacijai, kitus organizacinius darbus bendradarbiaujant su Skambučių centru bei kitos su konsultavimu, susijusios veiklos organizavimas: užmokestis specialistui už veiklos koordinavimą, transporto nuomos išlaidos, kuro išlaidos, ryšių paslaugos, kiti organizaciniai darbai, bendradarbiaujant su Skambučių centru.</w:t>
      </w:r>
    </w:p>
    <w:p>
      <w:pPr>
        <w:pStyle w:val="ListParagraph"/>
        <w:tabs>
          <w:tab w:val="clear" w:pos="1296"/>
          <w:tab w:val="left" w:pos="1843" w:leader="none"/>
        </w:tabs>
        <w:ind w:firstLine="720" w:left="0"/>
        <w:jc w:val="both"/>
        <w:rPr>
          <w:sz w:val="22"/>
          <w:szCs w:val="22"/>
          <w:lang w:val="lt-LT"/>
        </w:rPr>
      </w:pPr>
      <w:r>
        <w:rPr>
          <w:sz w:val="22"/>
          <w:szCs w:val="22"/>
          <w:lang w:val="lt-LT"/>
        </w:rPr>
        <w:t xml:space="preserve">  </w:t>
      </w:r>
    </w:p>
    <w:p>
      <w:pPr>
        <w:pStyle w:val="ListParagraph"/>
        <w:tabs>
          <w:tab w:val="clear" w:pos="1296"/>
          <w:tab w:val="left" w:pos="1843" w:leader="none"/>
        </w:tabs>
        <w:ind w:firstLine="720" w:left="0"/>
        <w:jc w:val="both"/>
        <w:rPr>
          <w:sz w:val="22"/>
          <w:szCs w:val="22"/>
          <w:lang w:val="lt-LT"/>
        </w:rPr>
      </w:pPr>
      <w:r>
        <w:rPr>
          <w:sz w:val="22"/>
          <w:szCs w:val="22"/>
          <w:lang w:val="lt-LT"/>
        </w:rPr>
      </w:r>
    </w:p>
    <w:p>
      <w:pPr>
        <w:pStyle w:val="ListParagraph"/>
        <w:ind w:firstLine="720" w:left="0"/>
        <w:jc w:val="center"/>
        <w:rPr>
          <w:b/>
          <w:bCs/>
          <w:sz w:val="22"/>
          <w:szCs w:val="22"/>
          <w:lang w:val="lt-LT"/>
        </w:rPr>
      </w:pPr>
      <w:r>
        <w:rPr>
          <w:b/>
          <w:bCs/>
          <w:sz w:val="22"/>
          <w:szCs w:val="22"/>
          <w:lang w:val="lt-LT"/>
        </w:rPr>
        <w:t>III. PERKAMŲ PASLAUGŲ APRAŠYMAS</w:t>
      </w:r>
    </w:p>
    <w:p>
      <w:pPr>
        <w:pStyle w:val="ListParagraph"/>
        <w:tabs>
          <w:tab w:val="clear" w:pos="1296"/>
          <w:tab w:val="left" w:pos="851" w:leader="none"/>
          <w:tab w:val="left" w:pos="993" w:leader="none"/>
        </w:tabs>
        <w:ind w:firstLine="720" w:left="0"/>
        <w:jc w:val="both"/>
        <w:rPr>
          <w:sz w:val="22"/>
          <w:szCs w:val="22"/>
          <w:lang w:val="lt-LT"/>
        </w:rPr>
      </w:pPr>
      <w:r>
        <w:rPr>
          <w:sz w:val="22"/>
          <w:szCs w:val="22"/>
          <w:lang w:val="lt-LT"/>
        </w:rPr>
        <w:t xml:space="preserve">8. Perkamos paslaugos: </w:t>
      </w:r>
      <w:r>
        <w:rPr>
          <w:b/>
          <w:bCs/>
          <w:sz w:val="22"/>
          <w:szCs w:val="22"/>
          <w:lang w:val="lt-LT"/>
        </w:rPr>
        <w:t xml:space="preserve">Krizinių įvykių skambučių centro ir mobiliųjų psichologinių krizių įveikimo komandų veiklos organizavimo ir viešinimo </w:t>
      </w:r>
      <w:r>
        <w:rPr>
          <w:sz w:val="22"/>
          <w:szCs w:val="22"/>
          <w:lang w:val="lt-LT"/>
        </w:rPr>
        <w:t xml:space="preserve">(MPKĮK) paslaugos. Tai specialistų, atitinkančių Apraše nustatytus reikalavimus, vykdančių krizinio įvykio intervenciją ir postvenciją psichologinę krizę išgyvenantiems asmenims ir (ar) jų grupėms, grupių paslaugos.                </w:t>
      </w:r>
    </w:p>
    <w:p>
      <w:pPr>
        <w:pStyle w:val="ListParagraph"/>
        <w:tabs>
          <w:tab w:val="clear" w:pos="1296"/>
          <w:tab w:val="left" w:pos="851" w:leader="none"/>
          <w:tab w:val="left" w:pos="993" w:leader="none"/>
        </w:tabs>
        <w:ind w:firstLine="720" w:left="0"/>
        <w:jc w:val="both"/>
        <w:rPr>
          <w:sz w:val="22"/>
          <w:szCs w:val="22"/>
          <w:lang w:val="lt-LT"/>
        </w:rPr>
      </w:pPr>
      <w:r>
        <w:rPr>
          <w:sz w:val="22"/>
          <w:szCs w:val="22"/>
          <w:lang w:val="lt-LT"/>
        </w:rPr>
        <w:t xml:space="preserve">9. MPKĮK paslaugos perkamos regioniniu principu, maksimaliai 3 komandos ir veiks 3 regionuose (Vakarų Lietuvos, Vidurio Lietuvos ir Rytų Lietuvos), apims visas 60 savivaldybių. Esant poreikiui, MPKĮK komandos paslaugas gali teikti bet kurioje regiono savivaldybėje neviršijant maksimaliai skirtų lėšų vienai komandai. </w:t>
      </w:r>
    </w:p>
    <w:p>
      <w:pPr>
        <w:pStyle w:val="ListParagraph"/>
        <w:tabs>
          <w:tab w:val="clear" w:pos="1296"/>
          <w:tab w:val="left" w:pos="851" w:leader="none"/>
          <w:tab w:val="left" w:pos="993" w:leader="none"/>
        </w:tabs>
        <w:ind w:firstLine="720" w:left="0"/>
        <w:jc w:val="both"/>
        <w:rPr>
          <w:sz w:val="22"/>
          <w:szCs w:val="22"/>
          <w:lang w:val="lt-LT"/>
        </w:rPr>
      </w:pPr>
      <w:r>
        <w:rPr>
          <w:sz w:val="22"/>
          <w:szCs w:val="22"/>
          <w:lang w:val="lt-LT"/>
        </w:rPr>
        <w:t>10. MPKĮK funkcijos yra nurodytos Aprašo 14 - 20 punktuose.</w:t>
      </w:r>
    </w:p>
    <w:p>
      <w:pPr>
        <w:pStyle w:val="ListParagraph"/>
        <w:ind w:firstLine="720" w:left="0"/>
        <w:jc w:val="both"/>
        <w:rPr>
          <w:sz w:val="22"/>
          <w:szCs w:val="22"/>
          <w:lang w:val="lt-LT"/>
        </w:rPr>
      </w:pPr>
      <w:r>
        <w:rPr>
          <w:sz w:val="22"/>
          <w:szCs w:val="22"/>
          <w:lang w:val="lt-LT"/>
        </w:rPr>
        <w:t xml:space="preserve">11. Tiekėjas užtikrina susisiekimo su MPKĮK galimybę </w:t>
      </w:r>
      <w:r>
        <w:rPr>
          <w:sz w:val="22"/>
          <w:szCs w:val="22"/>
          <w:shd w:fill="FFFFFF" w:val="clear"/>
          <w:lang w:val="lt-LT"/>
        </w:rPr>
        <w:t>pirmadieniais, antradieniais, trečiadieniais, ketvirtadieniais, penktadieniais nuo 9 val. iki 19 val., ir šeštadieniais nuo 9 val. iki 15 val., įskaitant šventines dienas,</w:t>
      </w:r>
      <w:r>
        <w:rPr>
          <w:sz w:val="22"/>
          <w:szCs w:val="22"/>
          <w:lang w:val="lt-LT"/>
        </w:rPr>
        <w:t xml:space="preserve"> priimti Skambučių centro užduotis organizuoti mobiliosios komandos vykimą į krizės vietą. </w:t>
      </w:r>
    </w:p>
    <w:p>
      <w:pPr>
        <w:pStyle w:val="ListParagraph"/>
        <w:ind w:firstLine="720" w:left="0"/>
        <w:jc w:val="both"/>
        <w:rPr>
          <w:sz w:val="22"/>
          <w:szCs w:val="22"/>
          <w:lang w:val="lt-LT"/>
        </w:rPr>
      </w:pPr>
      <w:r>
        <w:rPr>
          <w:sz w:val="22"/>
          <w:szCs w:val="22"/>
          <w:lang w:val="lt-LT"/>
        </w:rPr>
        <w:t xml:space="preserve">12. MPKĮK paslaugoms teikti gauna užduotį iš Skambučių centro. </w:t>
      </w:r>
    </w:p>
    <w:p>
      <w:pPr>
        <w:pStyle w:val="ListParagraph"/>
        <w:ind w:firstLine="720" w:left="0"/>
        <w:jc w:val="both"/>
        <w:rPr>
          <w:sz w:val="22"/>
          <w:szCs w:val="22"/>
          <w:lang w:val="lt-LT"/>
        </w:rPr>
      </w:pPr>
      <w:r>
        <w:rPr>
          <w:sz w:val="22"/>
          <w:szCs w:val="22"/>
          <w:lang w:val="lt-LT"/>
        </w:rPr>
        <w:t>13. MPKĮK bendradarbiauja su kitomis mobiliosiomis komandomis, Skambučių centru bei krizinio įvykio vietoje už jo valdymą atsakingais asmenimis paslaugų organizavimo ir koordinavimo klausimais. Tiekėjas turi bendradarbiauti su Skambučių centru pagal pasirašytą tarpusavio bendradarbiavimo sutartį, sudarytą Tiekėjo iniciatyva ne vėliau nei per 2 (dvi) savaites po Sutarties pasirašymo. Sutarties objektas - MPKĮK paslaugų organizavimas ir koordinavimas.</w:t>
      </w:r>
    </w:p>
    <w:p>
      <w:pPr>
        <w:pStyle w:val="ListParagraph"/>
        <w:ind w:firstLine="720" w:left="0"/>
        <w:jc w:val="both"/>
        <w:rPr>
          <w:sz w:val="22"/>
          <w:szCs w:val="22"/>
          <w:lang w:val="lt-LT"/>
        </w:rPr>
      </w:pPr>
      <w:r>
        <w:rPr>
          <w:sz w:val="22"/>
          <w:szCs w:val="22"/>
          <w:lang w:val="lt-LT"/>
        </w:rPr>
        <w:t>14. Tiekėjas užtikrina galimybę MPKĮK specialistams, o MPKĮK specialistai privalo dalyvauti mokymuose, supervizijose, intervizijose (toliau – mokymai), mobiliųjų komandų metodiniuose susitikimuose, kuriuos organizuoja Skambučių centras nuotoliniu ir (ar) kontaktiniu būdu. Kiekvienas mobilios komandos narys, turėjęs atvejį,  privalo dalyvauti supervizijoje ir (ar) intervizijoje, o kitiems, neturėjusiems atvejo, dalyvauti rekomenduojama. Dalyvavimas mokymuose įeina į specialistų darbo laiką. Mokymai yra finansuojami Skambučių centro projekto ,,Psichologinių krizių pagalbos centras” lėšomis.</w:t>
      </w:r>
    </w:p>
    <w:p>
      <w:pPr>
        <w:pStyle w:val="ListParagraph"/>
        <w:ind w:firstLine="720" w:left="0"/>
        <w:jc w:val="both"/>
        <w:rPr>
          <w:b/>
          <w:bCs/>
          <w:sz w:val="22"/>
          <w:szCs w:val="22"/>
          <w:lang w:val="lt-LT"/>
        </w:rPr>
      </w:pPr>
      <w:r>
        <w:rPr>
          <w:b/>
          <w:bCs/>
          <w:sz w:val="22"/>
          <w:szCs w:val="22"/>
          <w:lang w:val="lt-LT"/>
        </w:rPr>
        <w:t xml:space="preserve"> </w:t>
      </w:r>
    </w:p>
    <w:p>
      <w:pPr>
        <w:pStyle w:val="Normal"/>
        <w:ind w:firstLine="720"/>
        <w:jc w:val="center"/>
        <w:rPr>
          <w:b/>
          <w:bCs/>
          <w:sz w:val="22"/>
          <w:szCs w:val="22"/>
          <w:lang w:val="lt-LT"/>
        </w:rPr>
      </w:pPr>
      <w:r>
        <w:rPr>
          <w:b/>
          <w:bCs/>
          <w:sz w:val="22"/>
          <w:szCs w:val="22"/>
          <w:lang w:val="lt-LT"/>
        </w:rPr>
        <w:t>IV. REIKALAVIMAI</w:t>
      </w:r>
      <w:r>
        <w:rPr>
          <w:sz w:val="22"/>
          <w:szCs w:val="22"/>
          <w:lang w:val="lt-LT"/>
        </w:rPr>
        <w:t xml:space="preserve"> </w:t>
      </w:r>
      <w:r>
        <w:rPr>
          <w:b/>
          <w:bCs/>
          <w:sz w:val="22"/>
          <w:szCs w:val="22"/>
          <w:lang w:val="lt-LT"/>
        </w:rPr>
        <w:t>PASLAUGOMS</w:t>
      </w:r>
    </w:p>
    <w:p>
      <w:pPr>
        <w:pStyle w:val="ListParagraph"/>
        <w:ind w:firstLine="720" w:left="0"/>
        <w:jc w:val="both"/>
        <w:rPr>
          <w:sz w:val="22"/>
          <w:szCs w:val="22"/>
          <w:lang w:val="lt-LT"/>
        </w:rPr>
      </w:pPr>
      <w:r>
        <w:rPr>
          <w:sz w:val="22"/>
          <w:szCs w:val="22"/>
          <w:lang w:val="lt-LT"/>
        </w:rPr>
        <w:t xml:space="preserve"> </w:t>
      </w:r>
      <w:r>
        <w:rPr>
          <w:sz w:val="22"/>
          <w:szCs w:val="22"/>
          <w:lang w:val="lt-LT"/>
        </w:rPr>
        <w:t xml:space="preserve">15. Rekomenduotinas maksimalus atvejų skaičius yra 4 atvejai per mėnesį ir sutarties galiojimo laikotarpiu gali kisti, t. y. didėti, </w:t>
      </w:r>
      <w:r>
        <w:rPr>
          <w:color w:val="333333"/>
          <w:sz w:val="22"/>
          <w:szCs w:val="22"/>
          <w:lang w:val="lt-LT"/>
        </w:rPr>
        <w:t xml:space="preserve">neviršijant mėnesiui 21 p. nustatytų darbo valandų skaičiaus per mėnėsį, </w:t>
      </w:r>
      <w:r>
        <w:rPr>
          <w:sz w:val="22"/>
          <w:szCs w:val="22"/>
          <w:lang w:val="lt-LT"/>
        </w:rPr>
        <w:t xml:space="preserve">ar mažėti. Apie atvejų skaičiaus didėjimo pokytį tiekėjas privalo informuoti Perkančiąją organizaciją raštu.    </w:t>
      </w:r>
    </w:p>
    <w:p>
      <w:pPr>
        <w:pStyle w:val="ListParagraph"/>
        <w:ind w:firstLine="720" w:left="0"/>
        <w:jc w:val="both"/>
        <w:rPr>
          <w:sz w:val="22"/>
          <w:szCs w:val="22"/>
          <w:lang w:val="lt-LT"/>
        </w:rPr>
      </w:pPr>
      <w:r>
        <w:rPr>
          <w:sz w:val="22"/>
          <w:szCs w:val="22"/>
          <w:lang w:val="lt-LT"/>
        </w:rPr>
        <w:t xml:space="preserve">16. MPKĮK paslaugos užtikrinamos pagal užduotis, gautas iš Skambučių centro. MPKĮK reagavimo į gautą užduotį iš Skambučių centro, laikas nustatytas Aprašo 19 p. Esant poreikiui, komanda gali inicijuoti paslaugų teikimą ir pati. </w:t>
      </w:r>
    </w:p>
    <w:p>
      <w:pPr>
        <w:pStyle w:val="ListParagraph"/>
        <w:ind w:firstLine="720" w:left="0"/>
        <w:jc w:val="both"/>
        <w:rPr>
          <w:sz w:val="22"/>
          <w:szCs w:val="22"/>
          <w:lang w:val="lt-LT"/>
        </w:rPr>
      </w:pPr>
      <w:r>
        <w:rPr>
          <w:sz w:val="22"/>
          <w:szCs w:val="22"/>
          <w:lang w:val="lt-LT"/>
        </w:rPr>
        <w:t>17. Pagal Aprašo 21 p. vienas iš MPKĮK specialistų koordinuoja MPKĮK veiklą, kuris turi atitikti Aprašo 27.1 papunktyje nurodytus reikalavimus. Šis specialistas atlieka MPKĮK vadovo funkcijas (pirminė ir pakartotinė komunikacija su paslaugos gavėju, MPKĮK darbo koordinavimas, dalyvavimas Skambučių centro organizuojamame grįžtamojo ryšio rinkimo procese ir kitos Apraše nurodytos funkcijos užtikrinant MPKĮK darbą).</w:t>
      </w:r>
    </w:p>
    <w:p>
      <w:pPr>
        <w:pStyle w:val="ListParagraph"/>
        <w:ind w:firstLine="720" w:left="0"/>
        <w:jc w:val="both"/>
        <w:rPr>
          <w:sz w:val="22"/>
          <w:szCs w:val="22"/>
          <w:lang w:val="lt-LT"/>
        </w:rPr>
      </w:pPr>
      <w:r>
        <w:rPr>
          <w:sz w:val="22"/>
          <w:szCs w:val="22"/>
          <w:lang w:val="lt-LT"/>
        </w:rPr>
        <w:t xml:space="preserve">18. MPKĮK bendradarbiauja tarpusavyje ir, esant poreikiui, pagal Skambučių centro suformuotą užduotį, jei tuo metu nėra atvejo, Skambučių centro prašymu gali vykti teikti paslaugas ir į kitas apskritis. </w:t>
      </w:r>
    </w:p>
    <w:p>
      <w:pPr>
        <w:pStyle w:val="ListParagraph"/>
        <w:ind w:firstLine="720" w:left="0"/>
        <w:jc w:val="both"/>
        <w:rPr>
          <w:sz w:val="22"/>
          <w:szCs w:val="22"/>
          <w:lang w:val="lt-LT"/>
        </w:rPr>
      </w:pPr>
      <w:r>
        <w:rPr>
          <w:sz w:val="22"/>
          <w:szCs w:val="22"/>
          <w:lang w:val="lt-LT"/>
        </w:rPr>
        <w:t xml:space="preserve">19. MPKĮK  paslaugų turinys ir etapai apibrėžti Aprašo 15-17 p. </w:t>
      </w:r>
    </w:p>
    <w:p>
      <w:pPr>
        <w:pStyle w:val="ListParagraph"/>
        <w:ind w:firstLine="720" w:left="0"/>
        <w:jc w:val="both"/>
        <w:rPr>
          <w:sz w:val="22"/>
          <w:szCs w:val="22"/>
          <w:lang w:val="lt-LT"/>
        </w:rPr>
      </w:pPr>
      <w:r>
        <w:rPr>
          <w:sz w:val="22"/>
          <w:szCs w:val="22"/>
          <w:lang w:val="lt-LT"/>
        </w:rPr>
        <w:t>20. MPKĮK išvykstamosios kontaktinės konsultacijos krizinio įvykio vietoje ir nuotolinis konsultavimas yra reglamentuoti Aprašo 23 p. ir 32 p.</w:t>
      </w:r>
    </w:p>
    <w:p>
      <w:pPr>
        <w:pStyle w:val="ListParagraph"/>
        <w:ind w:firstLine="720" w:left="0"/>
        <w:jc w:val="both"/>
        <w:rPr>
          <w:sz w:val="22"/>
          <w:szCs w:val="22"/>
          <w:lang w:val="lt-LT"/>
        </w:rPr>
      </w:pPr>
      <w:r>
        <w:rPr>
          <w:sz w:val="22"/>
          <w:szCs w:val="22"/>
          <w:lang w:val="lt-LT"/>
        </w:rPr>
        <w:t>21. MPKĮK 1 krizinio įvykio išvykstamajam konsultavimui (Aprašo 15,16 p.) iš viso skiriama vidutiniškai 10, esant poreikiui pratęsiama ne ilgiau nei iki 14 darbo valandų, sumuojant visų specialistų darbo laiką. Iš viso maksimalus MPKĮK specialistų darbo  valandų skaičius  - iki 56 val. per mėnesį.</w:t>
      </w:r>
    </w:p>
    <w:p>
      <w:pPr>
        <w:pStyle w:val="ListParagraph"/>
        <w:ind w:firstLine="720" w:left="0"/>
        <w:jc w:val="both"/>
        <w:rPr>
          <w:sz w:val="22"/>
          <w:szCs w:val="22"/>
          <w:lang w:val="lt-LT"/>
        </w:rPr>
      </w:pPr>
      <w:r>
        <w:rPr>
          <w:sz w:val="22"/>
          <w:szCs w:val="22"/>
          <w:lang w:val="lt-LT"/>
        </w:rPr>
        <w:t>21.1 į krizinio įvykio išvykstamąjį konsultavimo darbo valandas neskaičiuojama pirminis kontaktas telefonu susitariant dėl atvykimo sąlygų (vietos, laiko ir kita) ir pagalbos teikimo būdų; psichologinės pagalbos (intervencijų) teikimo plano sudarymas; kelionės į / iš įvykio trukmė, tačiau pirminio kontakto, plano sudarymo ir kelionės išlaidos / sąnaudos, kaip ir kitos su išvykstamuoju konsultavimu susijusios išlaidos / sąnaudos, įskaičiuojamos į išvykstamojo konsultavimo įkainį.</w:t>
      </w:r>
    </w:p>
    <w:p>
      <w:pPr>
        <w:pStyle w:val="ListParagraph"/>
        <w:ind w:firstLine="720" w:left="0"/>
        <w:jc w:val="both"/>
        <w:rPr>
          <w:sz w:val="22"/>
          <w:szCs w:val="22"/>
          <w:lang w:val="lt-LT"/>
        </w:rPr>
      </w:pPr>
      <w:r>
        <w:rPr>
          <w:sz w:val="22"/>
          <w:szCs w:val="22"/>
          <w:lang w:val="lt-LT"/>
        </w:rPr>
        <w:t>22. MPKĮK tęstinės konsultacijos apibrėžtos Aprašo 17.4 p. Iš viso per mėnesį tęstinėms konsultacijoms skiriamas maksimalus MPKĮK specialistų darbo valandų skaičius – iki 14 val.</w:t>
      </w:r>
    </w:p>
    <w:p>
      <w:pPr>
        <w:pStyle w:val="ListParagraph"/>
        <w:ind w:firstLine="720" w:left="0"/>
        <w:jc w:val="both"/>
        <w:rPr>
          <w:sz w:val="22"/>
          <w:szCs w:val="22"/>
          <w:lang w:val="lt-LT"/>
        </w:rPr>
      </w:pPr>
      <w:r>
        <w:rPr>
          <w:sz w:val="22"/>
          <w:szCs w:val="22"/>
          <w:lang w:val="lt-LT"/>
        </w:rPr>
        <w:t>22.1 į tęstinių konsultacijų darbo valandas neskaičiuojamas krizinio įvykio valdymo veiksmų plano  rengimas ir / ar papildymas ir pakartotinio kontakto su paslaugos gavėju vykdymas, tačiau krizinio įvykio valdymo veiksmų plano  sudarymas ir / ar papildymas ir pakartotinis kontaktas, įskaičiuojamas į tęstinių konsultacijų įkainį.</w:t>
      </w:r>
    </w:p>
    <w:p>
      <w:pPr>
        <w:pStyle w:val="ListParagraph"/>
        <w:ind w:firstLine="720" w:left="0"/>
        <w:jc w:val="both"/>
        <w:rPr>
          <w:sz w:val="22"/>
          <w:szCs w:val="22"/>
          <w:lang w:val="lt-LT"/>
        </w:rPr>
      </w:pPr>
      <w:r>
        <w:rPr>
          <w:sz w:val="22"/>
          <w:szCs w:val="22"/>
          <w:lang w:val="lt-LT"/>
        </w:rPr>
        <w:t xml:space="preserve">23. Įvykio vietoje pagalbą teikia mažiausiai du MPKĮK specialistai: bent vienas specialistas turi atitikti Aprašo 27.1 papunktyje nurodytus reikalavimus (pirkimo sąlygų 4 priedas), kiti – Aprašo 27.1 ar 27.2 papunkčiuose nurodytus reikalavimus (pirkimo sąlygų 4 priedas). </w:t>
      </w:r>
    </w:p>
    <w:p>
      <w:pPr>
        <w:pStyle w:val="ListParagraph"/>
        <w:ind w:firstLine="720" w:left="0"/>
        <w:jc w:val="both"/>
        <w:rPr>
          <w:sz w:val="22"/>
          <w:szCs w:val="22"/>
          <w:lang w:val="lt-LT"/>
        </w:rPr>
      </w:pPr>
      <w:r>
        <w:rPr>
          <w:sz w:val="22"/>
          <w:szCs w:val="22"/>
          <w:lang w:val="lt-LT"/>
        </w:rPr>
        <w:t>24. MPKĮK paslaugų teikėjas renka informaciją apie kiekvienos mobiliosios komandos teikiamas paslaugas pagal Aprašo 31 p. 2 priede pateiktą formą.</w:t>
      </w:r>
    </w:p>
    <w:p>
      <w:pPr>
        <w:pStyle w:val="ListParagraph"/>
        <w:ind w:firstLine="720" w:left="0"/>
        <w:jc w:val="both"/>
        <w:rPr>
          <w:sz w:val="22"/>
          <w:szCs w:val="22"/>
          <w:lang w:val="lt-LT"/>
        </w:rPr>
      </w:pPr>
      <w:r>
        <w:rPr>
          <w:sz w:val="22"/>
          <w:szCs w:val="22"/>
          <w:lang w:val="lt-LT"/>
        </w:rPr>
        <w:t>25. MPKĮK  paslaugų teikėjas teikia paslaugų mėnesio ataskaitas Perkančiajai organizacijai pagal Aprašo 3 priede pateiktą Mobiliosios komandos paslaugų mėnesio pavyzdinę ataskaitą, kuri pateikiama Aprašo 3 priede. Perkančioji organizacija pasilieka teisę paprašyti pateikti Aprašo 2 priede nurodytus duomenis.</w:t>
      </w:r>
    </w:p>
    <w:p>
      <w:pPr>
        <w:pStyle w:val="Normal"/>
        <w:tabs>
          <w:tab w:val="clear" w:pos="1296"/>
          <w:tab w:val="left" w:pos="1843" w:leader="none"/>
          <w:tab w:val="left" w:pos="10348" w:leader="none"/>
        </w:tabs>
        <w:ind w:firstLine="720"/>
        <w:jc w:val="both"/>
        <w:rPr>
          <w:sz w:val="22"/>
          <w:szCs w:val="22"/>
          <w:lang w:val="lt-LT"/>
        </w:rPr>
      </w:pPr>
      <w:r>
        <w:rPr>
          <w:sz w:val="22"/>
          <w:szCs w:val="22"/>
          <w:lang w:val="lt-LT"/>
        </w:rPr>
        <w:t xml:space="preserve">26. MPKĮK organizuoja suteiktų konsultacijų vertinimą pagal Aprašo 18 p. </w:t>
      </w:r>
    </w:p>
    <w:p>
      <w:pPr>
        <w:pStyle w:val="ListParagraph"/>
        <w:tabs>
          <w:tab w:val="clear" w:pos="1296"/>
          <w:tab w:val="left" w:pos="142" w:leader="none"/>
          <w:tab w:val="left" w:pos="1560" w:leader="none"/>
          <w:tab w:val="left" w:pos="1701" w:leader="none"/>
          <w:tab w:val="left" w:pos="1843" w:leader="none"/>
          <w:tab w:val="left" w:pos="10348" w:leader="none"/>
        </w:tabs>
        <w:ind w:firstLine="720" w:left="0"/>
        <w:jc w:val="both"/>
        <w:rPr>
          <w:sz w:val="22"/>
          <w:szCs w:val="22"/>
          <w:lang w:val="lt-LT"/>
        </w:rPr>
      </w:pPr>
      <w:r>
        <w:rPr>
          <w:sz w:val="22"/>
          <w:szCs w:val="22"/>
          <w:lang w:val="lt-LT"/>
        </w:rPr>
        <w:t xml:space="preserve">27. MPKĮK atstovas dalyvauja Perkančiosios organizacijos organizuojamuose susitikimuose su visų MPKĮK atstovais tikslu aptarti paslaugų įgyvendinimo rezultatus bei tobulinimo galimybes. </w:t>
      </w:r>
    </w:p>
    <w:p>
      <w:pPr>
        <w:pStyle w:val="ListParagraph"/>
        <w:tabs>
          <w:tab w:val="clear" w:pos="1296"/>
          <w:tab w:val="left" w:pos="142" w:leader="none"/>
          <w:tab w:val="left" w:pos="1560" w:leader="none"/>
          <w:tab w:val="left" w:pos="1701" w:leader="none"/>
          <w:tab w:val="left" w:pos="1843" w:leader="none"/>
          <w:tab w:val="left" w:pos="10348" w:leader="none"/>
        </w:tabs>
        <w:ind w:firstLine="720" w:left="0"/>
        <w:jc w:val="both"/>
        <w:rPr>
          <w:sz w:val="22"/>
          <w:szCs w:val="22"/>
          <w:lang w:val="lt-LT"/>
        </w:rPr>
      </w:pPr>
      <w:r>
        <w:rPr>
          <w:sz w:val="22"/>
          <w:szCs w:val="22"/>
          <w:lang w:val="lt-LT"/>
        </w:rPr>
        <w:t xml:space="preserve">28. </w:t>
      </w:r>
      <w:r>
        <w:rPr>
          <w:b/>
          <w:bCs/>
          <w:sz w:val="22"/>
          <w:szCs w:val="22"/>
          <w:lang w:val="lt-LT"/>
        </w:rPr>
        <w:t>Už patalpų MPKĮK  paslaugoms teikti organizavimą atsako MPKĮK paslaugų teikėjas. Patalpos turi būti tinkamos teikti individualias ir grupines konsultacijas, užtikrinant paslaugų gavėjų konfidencialumą.</w:t>
      </w:r>
    </w:p>
    <w:p>
      <w:pPr>
        <w:pStyle w:val="ListParagraph"/>
        <w:tabs>
          <w:tab w:val="clear" w:pos="1296"/>
          <w:tab w:val="left" w:pos="142" w:leader="none"/>
          <w:tab w:val="left" w:pos="1560" w:leader="none"/>
          <w:tab w:val="left" w:pos="1701" w:leader="none"/>
          <w:tab w:val="left" w:pos="1843" w:leader="none"/>
          <w:tab w:val="left" w:pos="10348" w:leader="none"/>
        </w:tabs>
        <w:ind w:firstLine="720" w:left="0"/>
        <w:jc w:val="both"/>
        <w:rPr>
          <w:sz w:val="22"/>
          <w:szCs w:val="22"/>
          <w:lang w:val="lt-LT"/>
        </w:rPr>
      </w:pPr>
      <w:r>
        <w:rPr>
          <w:sz w:val="22"/>
          <w:szCs w:val="22"/>
          <w:lang w:val="lt-LT"/>
        </w:rPr>
        <w:t>29. Įvykus įvykiui, ekstremaliajam įvykiui, ypatingam įvykiui, ekstremaliajai situacijai ar krizei, kaip tai apibrėžta Krizių valdymo ir civilinės saugos įstatyme, gavus ekstremaliosios situacijos operacijų vadovo užduotį, paslauga vykdoma nedelsiant, t. y. įsipareigojama organizuoti pagalbą valstybės ir (ar) savivaldybės mastu.</w:t>
      </w:r>
    </w:p>
    <w:p>
      <w:pPr>
        <w:pStyle w:val="ListParagraph"/>
        <w:tabs>
          <w:tab w:val="clear" w:pos="1296"/>
          <w:tab w:val="left" w:pos="142" w:leader="none"/>
          <w:tab w:val="left" w:pos="1560" w:leader="none"/>
          <w:tab w:val="left" w:pos="1701" w:leader="none"/>
          <w:tab w:val="left" w:pos="1843" w:leader="none"/>
          <w:tab w:val="left" w:pos="10348" w:leader="none"/>
        </w:tabs>
        <w:ind w:firstLine="720" w:left="0"/>
        <w:jc w:val="both"/>
        <w:rPr>
          <w:sz w:val="22"/>
          <w:szCs w:val="22"/>
          <w:lang w:val="lt-LT"/>
        </w:rPr>
      </w:pPr>
      <w:r>
        <w:rPr>
          <w:sz w:val="22"/>
          <w:szCs w:val="22"/>
          <w:lang w:val="lt-LT"/>
        </w:rPr>
        <w:t>30. Asmens duomenys, gaunami teikiant MPKĮK paslaugas, turi būti tvarkomi pagal Aprašo  33 p. ir 34 p.</w:t>
      </w:r>
    </w:p>
    <w:p>
      <w:pPr>
        <w:pStyle w:val="Normal"/>
        <w:tabs>
          <w:tab w:val="clear" w:pos="1296"/>
          <w:tab w:val="left" w:pos="10348" w:leader="none"/>
          <w:tab w:val="left" w:pos="10915" w:leader="none"/>
          <w:tab w:val="left" w:pos="11057" w:leader="none"/>
        </w:tabs>
        <w:ind w:firstLine="720"/>
        <w:jc w:val="center"/>
        <w:rPr>
          <w:b/>
          <w:bCs/>
          <w:sz w:val="22"/>
          <w:szCs w:val="22"/>
          <w:lang w:val="lt-LT"/>
        </w:rPr>
      </w:pPr>
      <w:r>
        <w:rPr>
          <w:b/>
          <w:bCs/>
          <w:sz w:val="22"/>
          <w:szCs w:val="22"/>
          <w:lang w:val="lt-LT"/>
        </w:rPr>
        <w:t>V. PASLAUGOS KAINA</w:t>
      </w:r>
    </w:p>
    <w:p>
      <w:pPr>
        <w:pStyle w:val="ListParagraph"/>
        <w:tabs>
          <w:tab w:val="clear" w:pos="1296"/>
          <w:tab w:val="left" w:pos="142" w:leader="none"/>
          <w:tab w:val="left" w:pos="709" w:leader="none"/>
          <w:tab w:val="left" w:pos="1276" w:leader="none"/>
          <w:tab w:val="left" w:pos="1701" w:leader="none"/>
          <w:tab w:val="left" w:pos="1843" w:leader="none"/>
          <w:tab w:val="left" w:pos="10348" w:leader="none"/>
        </w:tabs>
        <w:ind w:firstLine="720" w:left="0"/>
        <w:jc w:val="both"/>
        <w:rPr>
          <w:sz w:val="22"/>
          <w:szCs w:val="22"/>
          <w:lang w:val="lt-LT"/>
        </w:rPr>
      </w:pPr>
      <w:r>
        <w:rPr>
          <w:sz w:val="22"/>
          <w:szCs w:val="22"/>
          <w:lang w:val="lt-LT"/>
        </w:rPr>
        <w:t>31. Teikiant pasiūlymą nurodoma bendra paslaugos kaina su visomis tiekėjo išlaidomis, susijusiomis su paslaugos teikimu, su visais mokesčiais ir rinkliavomis, tame tarpe ir PVM, mokėtinais į Lietuvos Respublikos biudžetą ir fondus. Tiekėjas paslaugos kainą teikia atsižvelgdamas ir įvertinęs psichologų darbo trukmę teikiant paslaugas pagal techninę specifikaciją.</w:t>
      </w:r>
    </w:p>
    <w:p>
      <w:pPr>
        <w:pStyle w:val="ListParagraph"/>
        <w:tabs>
          <w:tab w:val="clear" w:pos="1296"/>
          <w:tab w:val="left" w:pos="142" w:leader="none"/>
          <w:tab w:val="left" w:pos="709" w:leader="none"/>
          <w:tab w:val="left" w:pos="1276" w:leader="none"/>
          <w:tab w:val="left" w:pos="1701" w:leader="none"/>
          <w:tab w:val="left" w:pos="1843" w:leader="none"/>
          <w:tab w:val="left" w:pos="10348" w:leader="none"/>
        </w:tabs>
        <w:ind w:firstLine="720" w:left="0"/>
        <w:jc w:val="both"/>
        <w:rPr>
          <w:sz w:val="22"/>
          <w:szCs w:val="22"/>
          <w:lang w:val="lt-LT"/>
        </w:rPr>
      </w:pPr>
      <w:r>
        <w:rPr>
          <w:sz w:val="22"/>
          <w:szCs w:val="22"/>
          <w:lang w:val="lt-LT"/>
        </w:rPr>
        <w:t>32. MPKĮK  paslaugas sudaro:</w:t>
      </w:r>
    </w:p>
    <w:p>
      <w:pPr>
        <w:pStyle w:val="ListParagraph"/>
        <w:tabs>
          <w:tab w:val="clear" w:pos="1296"/>
          <w:tab w:val="left" w:pos="142" w:leader="none"/>
          <w:tab w:val="left" w:pos="709" w:leader="none"/>
          <w:tab w:val="left" w:pos="1276" w:leader="none"/>
          <w:tab w:val="left" w:pos="1843" w:leader="none"/>
          <w:tab w:val="left" w:pos="10348" w:leader="none"/>
        </w:tabs>
        <w:ind w:firstLine="720" w:left="0"/>
        <w:jc w:val="both"/>
        <w:rPr>
          <w:sz w:val="22"/>
          <w:szCs w:val="22"/>
          <w:lang w:val="lt-LT"/>
        </w:rPr>
      </w:pPr>
      <w:r>
        <w:rPr>
          <w:sz w:val="22"/>
          <w:szCs w:val="22"/>
          <w:lang w:val="lt-LT"/>
        </w:rPr>
        <w:t>32.1. Mobiliųjų psichologinių krizių įveikimo komandos organizavimo ir koordinavimo  paslaugos.</w:t>
      </w:r>
    </w:p>
    <w:p>
      <w:pPr>
        <w:pStyle w:val="ListParagraph"/>
        <w:tabs>
          <w:tab w:val="clear" w:pos="1296"/>
          <w:tab w:val="left" w:pos="142" w:leader="none"/>
          <w:tab w:val="left" w:pos="709" w:leader="none"/>
          <w:tab w:val="left" w:pos="1276" w:leader="none"/>
          <w:tab w:val="left" w:pos="1843" w:leader="none"/>
          <w:tab w:val="left" w:pos="10348" w:leader="none"/>
        </w:tabs>
        <w:ind w:firstLine="720" w:left="0"/>
        <w:jc w:val="both"/>
        <w:rPr>
          <w:sz w:val="22"/>
          <w:szCs w:val="22"/>
          <w:lang w:val="lt-LT"/>
        </w:rPr>
      </w:pPr>
      <w:r>
        <w:rPr>
          <w:sz w:val="22"/>
          <w:szCs w:val="22"/>
          <w:lang w:val="lt-LT"/>
        </w:rPr>
        <w:t>32.2. Krizinio ir tęstinio konsultavimo paslaugos.</w:t>
      </w:r>
    </w:p>
    <w:p>
      <w:pPr>
        <w:pStyle w:val="ListParagraph"/>
        <w:tabs>
          <w:tab w:val="clear" w:pos="1296"/>
          <w:tab w:val="left" w:pos="142" w:leader="none"/>
          <w:tab w:val="left" w:pos="709" w:leader="none"/>
          <w:tab w:val="left" w:pos="1276" w:leader="none"/>
          <w:tab w:val="left" w:pos="1843" w:leader="none"/>
          <w:tab w:val="left" w:pos="10348" w:leader="none"/>
        </w:tabs>
        <w:ind w:firstLine="720" w:left="0"/>
        <w:jc w:val="both"/>
        <w:rPr>
          <w:sz w:val="22"/>
          <w:szCs w:val="22"/>
          <w:lang w:val="lt-LT"/>
        </w:rPr>
      </w:pPr>
      <w:r>
        <w:rPr>
          <w:sz w:val="22"/>
          <w:szCs w:val="22"/>
          <w:lang w:val="lt-LT"/>
        </w:rPr>
      </w:r>
    </w:p>
    <w:p>
      <w:pPr>
        <w:pStyle w:val="ListParagraph"/>
        <w:tabs>
          <w:tab w:val="clear" w:pos="1296"/>
          <w:tab w:val="left" w:pos="142" w:leader="none"/>
          <w:tab w:val="left" w:pos="709" w:leader="none"/>
          <w:tab w:val="left" w:pos="1276" w:leader="none"/>
          <w:tab w:val="left" w:pos="1843" w:leader="none"/>
          <w:tab w:val="left" w:pos="10348" w:leader="none"/>
        </w:tabs>
        <w:ind w:firstLine="720" w:left="0"/>
        <w:jc w:val="center"/>
        <w:rPr>
          <w:b/>
          <w:bCs/>
          <w:sz w:val="22"/>
          <w:szCs w:val="22"/>
          <w:lang w:val="lt-LT"/>
        </w:rPr>
      </w:pPr>
      <w:bookmarkStart w:id="8" w:name="_Hlk128554551"/>
      <w:bookmarkStart w:id="9" w:name="_Hlk127981074"/>
      <w:r>
        <w:rPr>
          <w:b/>
          <w:bCs/>
          <w:sz w:val="22"/>
          <w:szCs w:val="22"/>
          <w:lang w:val="lt-LT"/>
        </w:rPr>
        <w:t>VI. KITI REIKALAVIMAI</w:t>
      </w:r>
      <w:bookmarkEnd w:id="8"/>
      <w:bookmarkEnd w:id="9"/>
    </w:p>
    <w:p>
      <w:pPr>
        <w:pStyle w:val="ListParagraph"/>
        <w:tabs>
          <w:tab w:val="clear" w:pos="1296"/>
          <w:tab w:val="left" w:pos="0" w:leader="none"/>
        </w:tabs>
        <w:ind w:firstLine="709" w:left="0"/>
        <w:jc w:val="both"/>
        <w:rPr>
          <w:sz w:val="22"/>
          <w:szCs w:val="22"/>
          <w:lang w:val="lt-LT"/>
        </w:rPr>
      </w:pPr>
      <w:r>
        <w:rPr>
          <w:sz w:val="22"/>
          <w:szCs w:val="22"/>
          <w:lang w:val="lt-LT"/>
        </w:rPr>
        <w:t xml:space="preserve">33. </w:t>
      </w:r>
      <w:r>
        <w:rPr>
          <w:color w:val="000000"/>
          <w:sz w:val="22"/>
          <w:szCs w:val="22"/>
          <w:lang w:val="lt-LT"/>
        </w:rPr>
        <w:t>Atliekamas žaliasis pirkimas.</w:t>
      </w:r>
      <w:r>
        <w:rPr>
          <w:sz w:val="22"/>
          <w:szCs w:val="22"/>
          <w:lang w:val="lt-LT"/>
        </w:rPr>
        <w:t xml:space="preserve"> Pirkimas vykdomas vadovaujantis Lietuvos Respublikos aplinkos ministro 2011 m. birželio 28 d. įsakymo Nr. D1-508 „</w:t>
      </w:r>
      <w:hyperlink r:id="rId3">
        <w:r>
          <w:rPr>
            <w:rStyle w:val="Hyperlink"/>
            <w:color w:val="0070C0"/>
            <w:sz w:val="22"/>
            <w:szCs w:val="22"/>
            <w:lang w:val="lt-LT"/>
          </w:rPr>
          <w:t>Dėl Aplinkos apsaugos kriterijų taikymo, vykdant žaliuosius pirkimus, tvarkos aprašo patvirtinimo</w:t>
        </w:r>
      </w:hyperlink>
      <w:r>
        <w:rPr>
          <w:sz w:val="22"/>
          <w:szCs w:val="22"/>
          <w:lang w:val="lt-LT"/>
        </w:rPr>
        <w:t>“ (toliau - Tvarkos aprašas) 4 punktu ir laikomas žaliuoju, nes atitinka 4.4.3 ir 4.4.4.1. papunkčiuose nustatytas sąlygas:</w:t>
      </w:r>
    </w:p>
    <w:p>
      <w:pPr>
        <w:pStyle w:val="ListParagraph"/>
        <w:tabs>
          <w:tab w:val="clear" w:pos="1296"/>
          <w:tab w:val="left" w:pos="0" w:leader="none"/>
        </w:tabs>
        <w:ind w:firstLine="709" w:left="0"/>
        <w:jc w:val="both"/>
        <w:rPr>
          <w:sz w:val="22"/>
          <w:szCs w:val="22"/>
          <w:lang w:val="lt-LT"/>
        </w:rPr>
      </w:pPr>
      <w:r>
        <w:rPr>
          <w:sz w:val="22"/>
          <w:szCs w:val="22"/>
          <w:lang w:val="lt-LT"/>
        </w:rPr>
        <w:t>33.1.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tabs>
          <w:tab w:val="clear" w:pos="1296"/>
          <w:tab w:val="left" w:pos="0" w:leader="none"/>
        </w:tabs>
        <w:ind w:firstLine="709" w:left="0"/>
        <w:jc w:val="both"/>
        <w:rPr>
          <w:sz w:val="22"/>
          <w:szCs w:val="22"/>
          <w:lang w:val="lt-LT"/>
        </w:rPr>
      </w:pPr>
      <w:r>
        <w:rPr>
          <w:sz w:val="22"/>
          <w:szCs w:val="22"/>
          <w:lang w:val="lt-LT"/>
        </w:rPr>
        <w:t>33.2.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Normal"/>
        <w:widowControl w:val="false"/>
        <w:tabs>
          <w:tab w:val="clear" w:pos="1296"/>
          <w:tab w:val="left" w:pos="426" w:leader="none"/>
        </w:tabs>
        <w:ind w:firstLine="720"/>
        <w:jc w:val="both"/>
        <w:rPr>
          <w:rFonts w:eastAsia="" w:eastAsiaTheme="minorEastAsia"/>
          <w:i/>
          <w:i/>
          <w:iCs/>
          <w:sz w:val="22"/>
          <w:szCs w:val="22"/>
          <w:lang w:val="lt-LT"/>
        </w:rPr>
      </w:pPr>
      <w:r>
        <w:rPr>
          <w:sz w:val="22"/>
          <w:szCs w:val="22"/>
          <w:lang w:val="lt-LT"/>
        </w:rPr>
        <w:t xml:space="preserve"> </w:t>
      </w:r>
    </w:p>
    <w:sectPr>
      <w:type w:val="nextPage"/>
      <w:pgSz w:w="11906" w:h="16838"/>
      <w:pgMar w:left="1701" w:right="567" w:gutter="0" w:header="0"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1440" w:hanging="360"/>
      </w:pPr>
      <w:rPr>
        <w:b w:val="false"/>
        <w:bCs w:val="false"/>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b42"/>
    <w:pPr>
      <w:widowControl/>
      <w:bidi w:val="0"/>
      <w:spacing w:lineRule="auto" w:line="240" w:before="0" w:after="0"/>
      <w:jc w:val="left"/>
    </w:pPr>
    <w:rPr>
      <w:rFonts w:ascii="Times New Roman" w:hAnsi="Times New Roman" w:eastAsia="Times New Roman" w:cs="Times New Roman"/>
      <w:color w:val="auto"/>
      <w:kern w:val="0"/>
      <w:sz w:val="24"/>
      <w:szCs w:val="24"/>
      <w:lang w:val="en-US" w:eastAsia="lt-LT" w:bidi="ar-SA"/>
    </w:rPr>
  </w:style>
  <w:style w:type="paragraph" w:styleId="Heading2">
    <w:name w:val="Heading 2"/>
    <w:basedOn w:val="Normal"/>
    <w:next w:val="Normal"/>
    <w:link w:val="Antrat2Diagrama"/>
    <w:uiPriority w:val="9"/>
    <w:unhideWhenUsed/>
    <w:qFormat/>
    <w:rsid w:val="00d345b5"/>
    <w:pPr>
      <w:keepNext w:val="true"/>
      <w:keepLines/>
      <w:suppressAutoHyphens w:val="true"/>
      <w:spacing w:before="120" w:after="0"/>
      <w:outlineLvl w:val="1"/>
    </w:pPr>
    <w:rPr>
      <w:rFonts w:ascii="Calibri Light" w:hAnsi="Calibri Light" w:eastAsia="" w:cs="" w:asciiTheme="majorHAnsi" w:cstheme="majorBidi" w:eastAsiaTheme="majorEastAsia" w:hAnsiTheme="majorHAnsi"/>
      <w:color w:themeColor="accent2" w:val="ED7D31"/>
      <w:sz w:val="36"/>
      <w:szCs w:val="36"/>
      <w:lang w:val="lt-LT"/>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34"/>
    <w:qFormat/>
    <w:rsid w:val="00c12b42"/>
    <w:rPr>
      <w:rFonts w:ascii="Times New Roman" w:hAnsi="Times New Roman" w:eastAsia="Times New Roman" w:cs="Times New Roman"/>
      <w:sz w:val="24"/>
      <w:szCs w:val="24"/>
      <w:lang w:val="en-US" w:eastAsia="lt-LT"/>
    </w:rPr>
  </w:style>
  <w:style w:type="character" w:styleId="Hyperlink">
    <w:name w:val="Hyperlink"/>
    <w:basedOn w:val="DefaultParagraphFont"/>
    <w:uiPriority w:val="99"/>
    <w:unhideWhenUsed/>
    <w:rsid w:val="5405a4a7"/>
    <w:rPr>
      <w:color w:val="0563C1"/>
      <w:u w:val="single"/>
    </w:rPr>
  </w:style>
  <w:style w:type="character" w:styleId="KomentarotekstasDiagrama" w:customStyle="1">
    <w:name w:val="Komentaro tekstas Diagrama"/>
    <w:basedOn w:val="DefaultParagraphFont"/>
    <w:link w:val="Annotationtext"/>
    <w:uiPriority w:val="99"/>
    <w:semiHidden/>
    <w:qFormat/>
    <w:rPr>
      <w:rFonts w:ascii="Times New Roman" w:hAnsi="Times New Roman" w:eastAsia="Times New Roman" w:cs="Times New Roman"/>
      <w:sz w:val="20"/>
      <w:szCs w:val="20"/>
      <w:lang w:val="en-US" w:eastAsia="lt-LT"/>
    </w:rPr>
  </w:style>
  <w:style w:type="character" w:styleId="Annotationreference">
    <w:name w:val="annotation reference"/>
    <w:basedOn w:val="DefaultParagraphFont"/>
    <w:uiPriority w:val="99"/>
    <w:semiHidden/>
    <w:unhideWhenUsed/>
    <w:qFormat/>
    <w:rPr>
      <w:sz w:val="16"/>
      <w:szCs w:val="16"/>
    </w:rPr>
  </w:style>
  <w:style w:type="character" w:styleId="Antrat2Diagrama" w:customStyle="1">
    <w:name w:val="Antraštė 2 Diagrama"/>
    <w:basedOn w:val="DefaultParagraphFont"/>
    <w:link w:val="Heading2"/>
    <w:uiPriority w:val="9"/>
    <w:qFormat/>
    <w:rsid w:val="00d345b5"/>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KomentarotemaDiagrama" w:customStyle="1">
    <w:name w:val="Komentaro tema Diagrama"/>
    <w:basedOn w:val="KomentarotekstasDiagrama"/>
    <w:link w:val="Annotationsubject"/>
    <w:uiPriority w:val="99"/>
    <w:semiHidden/>
    <w:qFormat/>
    <w:rsid w:val="00fb64ac"/>
    <w:rPr>
      <w:rFonts w:ascii="Times New Roman" w:hAnsi="Times New Roman" w:eastAsia="Times New Roman" w:cs="Times New Roman"/>
      <w:b/>
      <w:bCs/>
      <w:sz w:val="20"/>
      <w:szCs w:val="20"/>
      <w:lang w:val="en-US" w:eastAsia="lt-L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astasis1" w:customStyle="1">
    <w:name w:val="Įprastasis1"/>
    <w:qFormat/>
    <w:rsid w:val="00c12b42"/>
    <w:pPr>
      <w:widowControl/>
      <w:bidi w:val="0"/>
      <w:spacing w:lineRule="auto" w:line="240" w:before="0" w:after="0"/>
      <w:jc w:val="left"/>
    </w:pPr>
    <w:rPr>
      <w:rFonts w:ascii="Times New Roman" w:hAnsi="Times New Roman" w:eastAsia="Times New Roman" w:cs="Times New Roman"/>
      <w:color w:val="auto"/>
      <w:kern w:val="0"/>
      <w:sz w:val="24"/>
      <w:szCs w:val="24"/>
      <w:lang w:val="en-US" w:eastAsia="lt-LT" w:bidi="ar-SA"/>
    </w:rPr>
  </w:style>
  <w:style w:type="paragraph" w:styleId="ListParagraph">
    <w:name w:val="List Paragraph"/>
    <w:basedOn w:val="Normal"/>
    <w:link w:val="SraopastraipaDiagrama"/>
    <w:uiPriority w:val="34"/>
    <w:qFormat/>
    <w:rsid w:val="00c12b42"/>
    <w:pPr>
      <w:spacing w:before="0" w:after="0"/>
      <w:ind w:left="720"/>
      <w:contextualSpacing/>
    </w:pPr>
    <w:rPr/>
  </w:style>
  <w:style w:type="paragraph" w:styleId="3" w:customStyle="1">
    <w:name w:val="Стиль3"/>
    <w:basedOn w:val="Normal"/>
    <w:qFormat/>
    <w:rsid w:val="00c12b42"/>
    <w:pPr>
      <w:jc w:val="center"/>
    </w:pPr>
    <w:rPr>
      <w:szCs w:val="20"/>
      <w:lang w:val="en-GB" w:eastAsia="en-US"/>
    </w:rPr>
  </w:style>
  <w:style w:type="paragraph" w:styleId="Revision">
    <w:name w:val="Revision"/>
    <w:uiPriority w:val="99"/>
    <w:semiHidden/>
    <w:qFormat/>
    <w:rsid w:val="00ae3185"/>
    <w:pPr>
      <w:widowControl/>
      <w:bidi w:val="0"/>
      <w:spacing w:lineRule="auto" w:line="240" w:before="0" w:after="0"/>
      <w:jc w:val="left"/>
    </w:pPr>
    <w:rPr>
      <w:rFonts w:ascii="Times New Roman" w:hAnsi="Times New Roman" w:eastAsia="Times New Roman" w:cs="Times New Roman"/>
      <w:color w:val="auto"/>
      <w:kern w:val="0"/>
      <w:sz w:val="24"/>
      <w:szCs w:val="24"/>
      <w:lang w:val="en-US" w:eastAsia="lt-LT" w:bidi="ar-SA"/>
    </w:rPr>
  </w:style>
  <w:style w:type="paragraph" w:styleId="Annotationtext">
    <w:name w:val="annotation text"/>
    <w:basedOn w:val="Normal"/>
    <w:link w:val="KomentarotekstasDiagrama"/>
    <w:uiPriority w:val="99"/>
    <w:semiHidden/>
    <w:unhideWhenUsed/>
    <w:qFormat/>
    <w:pPr/>
    <w:rPr>
      <w:sz w:val="20"/>
      <w:szCs w:val="20"/>
    </w:rPr>
  </w:style>
  <w:style w:type="paragraph" w:styleId="Annotationsubject">
    <w:name w:val="annotation subject"/>
    <w:basedOn w:val="Annotationtext"/>
    <w:next w:val="Annotationtext"/>
    <w:link w:val="KomentarotemaDiagrama"/>
    <w:uiPriority w:val="99"/>
    <w:semiHidden/>
    <w:unhideWhenUsed/>
    <w:qFormat/>
    <w:rsid w:val="00fb64ac"/>
    <w:pPr/>
    <w:rPr>
      <w:b/>
      <w:bCs/>
    </w:rPr>
  </w:style>
  <w:style w:type="paragraph" w:styleId="S1lygis" w:customStyle="1">
    <w:name w:val="_S 1 lygis"/>
    <w:basedOn w:val="Normal"/>
    <w:qFormat/>
    <w:rsid w:val="00034c72"/>
    <w:pPr>
      <w:numPr>
        <w:ilvl w:val="0"/>
        <w:numId w:val="2"/>
      </w:numPr>
      <w:suppressAutoHyphens w:val="true"/>
      <w:spacing w:before="240" w:after="240"/>
    </w:pPr>
    <w:rPr>
      <w:b/>
      <w:lang w:val="lt-LT"/>
    </w:rPr>
  </w:style>
  <w:style w:type="paragraph" w:styleId="S2lygis" w:customStyle="1">
    <w:name w:val="_S 2 lygis"/>
    <w:basedOn w:val="Normal"/>
    <w:qFormat/>
    <w:rsid w:val="00034c72"/>
    <w:pPr>
      <w:numPr>
        <w:ilvl w:val="1"/>
        <w:numId w:val="2"/>
      </w:numPr>
      <w:suppressAutoHyphens w:val="true"/>
      <w:spacing w:before="120" w:after="120"/>
      <w:jc w:val="both"/>
    </w:pPr>
    <w:rPr>
      <w:lang w:val="lt-LT"/>
    </w:rPr>
  </w:style>
  <w:style w:type="paragraph" w:styleId="S3lygis" w:customStyle="1">
    <w:name w:val="_S 3 lygis"/>
    <w:basedOn w:val="S2lygis"/>
    <w:qFormat/>
    <w:rsid w:val="00034c72"/>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c12b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D/2abe0571ba6d11eb91e294a1358e77e9/asr" TargetMode="External"/><Relationship Id="rId3" Type="http://schemas.openxmlformats.org/officeDocument/2006/relationships/hyperlink" Target="https://www.e-tar.lt/portal/lt/legalAct/TAR.4B60A8C9678B/as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6" ma:contentTypeDescription="Create a new document." ma:contentTypeScope="" ma:versionID="a54f6f905ef5b4dd7ee1b29c9edebc1b">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6aa46341172f20f91d7862f887850e88"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documentManagement>
</p:properties>
</file>

<file path=customXml/itemProps1.xml><?xml version="1.0" encoding="utf-8"?>
<ds:datastoreItem xmlns:ds="http://schemas.openxmlformats.org/officeDocument/2006/customXml" ds:itemID="{0988C118-EB38-4596-980C-A30EB726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BA47A-F4A5-498C-BB40-980F598C30EB}">
  <ds:schemaRefs>
    <ds:schemaRef ds:uri="http://schemas.microsoft.com/sharepoint/v3/contenttype/forms"/>
  </ds:schemaRefs>
</ds:datastoreItem>
</file>

<file path=customXml/itemProps3.xml><?xml version="1.0" encoding="utf-8"?>
<ds:datastoreItem xmlns:ds="http://schemas.openxmlformats.org/officeDocument/2006/customXml" ds:itemID="{A9CF10D3-029D-4D9D-A37F-9C5FC616C80F}">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LibreOffice/7.6.4.1$Windows_X86_64 LibreOffice_project/e19e193f88cd6c0525a17fb7a176ed8e6a3e2aa1</Application>
  <AppVersion>15.0000</AppVersion>
  <Pages>4</Pages>
  <Words>1760</Words>
  <Characters>12084</Characters>
  <CharactersWithSpaces>13859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2024-02-13T11:25:00Z</dcterms:created>
  <dc:creator>Jūratė Morkvėnaitė-Paulauskienė</dc:creator>
  <dc:description/>
  <dc:language>en-US</dc:language>
  <cp:lastModifiedBy/>
  <dcterms:modified xsi:type="dcterms:W3CDTF">2025-05-09T22:16:10Z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