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567" w:leader="none"/>
          <w:tab w:val="left" w:pos="851" w:leader="none"/>
        </w:tabs>
        <w:jc w:val="center"/>
        <w:rPr/>
      </w:pPr>
      <w:r>
        <w:rPr>
          <w:b/>
          <w:bCs/>
          <w:caps/>
        </w:rPr>
        <w:t>paslaugų pirkimo-pardavimo sutarties Specialiosios sąlygos</w:t>
      </w:r>
    </w:p>
    <w:p>
      <w:pPr>
        <w:pStyle w:val="Normal"/>
        <w:jc w:val="center"/>
        <w:rPr/>
      </w:pPr>
      <w:r>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4"/>
        <w:gridCol w:w="2182"/>
        <w:gridCol w:w="2359"/>
        <w:gridCol w:w="2572"/>
      </w:tblGrid>
      <w:tr>
        <w:trPr/>
        <w:tc>
          <w:tcPr>
            <w:tcW w:w="244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b/>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tcPr>
          <w:p>
            <w:pPr>
              <w:pStyle w:val="NoSpacing"/>
              <w:tabs>
                <w:tab w:val="clear" w:pos="709"/>
                <w:tab w:val="left" w:pos="993" w:leader="none"/>
              </w:tabs>
              <w:spacing w:before="0" w:after="0"/>
              <w:contextualSpacing/>
              <w:jc w:val="both"/>
              <w:rPr>
                <w:rFonts w:ascii="Times New Roman" w:hAnsi="Times New Roman" w:cs="Times New Roman"/>
                <w:sz w:val="24"/>
                <w:szCs w:val="24"/>
                <w:lang w:val="lt-LT"/>
              </w:rPr>
            </w:pPr>
            <w:r>
              <w:rPr>
                <w:rFonts w:eastAsia="Calibri" w:cs="Times New Roman" w:ascii="Times New Roman" w:hAnsi="Times New Roman"/>
                <w:sz w:val="24"/>
                <w:szCs w:val="24"/>
                <w:lang w:val="lt-LT"/>
              </w:rPr>
              <w:t>Krizinių įvykių skambučių centro ir mobiliųjų psichologinių krizių įveikimo komandų veiklos organizavimo ir viešinimo paslaugų pirkimas</w:t>
            </w:r>
          </w:p>
        </w:tc>
      </w:tr>
      <w:tr>
        <w:trPr/>
        <w:tc>
          <w:tcPr>
            <w:tcW w:w="2444"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Sutarties data</w:t>
            </w:r>
          </w:p>
        </w:tc>
        <w:tc>
          <w:tcPr>
            <w:tcW w:w="2182"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c>
          <w:tcPr>
            <w:tcW w:w="2359" w:type="dxa"/>
            <w:tcBorders>
              <w:top w:val="single" w:sz="4" w:space="0" w:color="000000"/>
              <w:left w:val="single" w:sz="4" w:space="0" w:color="000000"/>
              <w:bottom w:val="single" w:sz="4" w:space="0" w:color="000000"/>
              <w:right w:val="single" w:sz="4" w:space="0" w:color="000000"/>
            </w:tcBorders>
          </w:tcPr>
          <w:p>
            <w:pPr>
              <w:pStyle w:val="Normal"/>
              <w:jc w:val="both"/>
              <w:rPr/>
            </w:pPr>
            <w:r>
              <w:rPr>
                <w:b/>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pPr>
            <w:r>
              <w:rPr/>
            </w:r>
          </w:p>
        </w:tc>
      </w:tr>
    </w:tbl>
    <w:p>
      <w:pPr>
        <w:pStyle w:val="Normal"/>
        <w:jc w:val="both"/>
        <w:rPr/>
      </w:pPr>
      <w:r>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b/>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r>
          </w:p>
          <w:p>
            <w:pPr>
              <w:pStyle w:val="Normal"/>
              <w:jc w:val="center"/>
              <w:rPr>
                <w:b/>
              </w:rPr>
            </w:pPr>
            <w:r>
              <w:rPr>
                <w:b/>
              </w:rPr>
            </w:r>
          </w:p>
          <w:p>
            <w:pPr>
              <w:pStyle w:val="Normal"/>
              <w:jc w:val="center"/>
              <w:rPr>
                <w:b/>
              </w:rPr>
            </w:pPr>
            <w:r>
              <w:rPr>
                <w:b/>
              </w:rPr>
            </w:r>
          </w:p>
          <w:p>
            <w:pPr>
              <w:pStyle w:val="Normal"/>
              <w:rPr>
                <w:b/>
              </w:rPr>
            </w:pPr>
            <w:r>
              <w:rPr>
                <w:b/>
              </w:rPr>
            </w:r>
          </w:p>
          <w:p>
            <w:pPr>
              <w:pStyle w:val="Normal"/>
              <w:rPr/>
            </w:pPr>
            <w:r>
              <w:rPr>
                <w:b/>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b/>
                <w:bCs/>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pPr>
            <w:r>
              <w:rPr>
                <w:rFonts w:cs="Times New Roman"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cs="Times New Roman"/>
              </w:rPr>
            </w:pPr>
            <w:r>
              <w:rPr>
                <w:rFonts w:cs="Times New Roman" w:ascii="Times New Roman" w:hAnsi="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b/>
              </w:rPr>
            </w:pPr>
            <w:r>
              <w:rPr>
                <w:b/>
              </w:rPr>
            </w:r>
          </w:p>
          <w:p>
            <w:pPr>
              <w:pStyle w:val="Normal"/>
              <w:rPr>
                <w:b/>
              </w:rPr>
            </w:pPr>
            <w:r>
              <w:rPr>
                <w:b/>
              </w:rPr>
            </w:r>
          </w:p>
          <w:p>
            <w:pPr>
              <w:pStyle w:val="Normal"/>
              <w:rPr>
                <w:b/>
              </w:rPr>
            </w:pPr>
            <w:r>
              <w:rPr>
                <w:b/>
              </w:rPr>
            </w:r>
          </w:p>
          <w:p>
            <w:pPr>
              <w:pStyle w:val="Normal"/>
              <w:rPr/>
            </w:pPr>
            <w:r>
              <w:rPr>
                <w:b/>
              </w:rPr>
              <w:t>1.2. Tiekėjas</w:t>
            </w:r>
          </w:p>
          <w:p>
            <w:pPr>
              <w:pStyle w:val="Normal"/>
              <w:rPr>
                <w:color w:val="227ACB"/>
              </w:rPr>
            </w:pPr>
            <w:r>
              <w:rPr>
                <w:color w:val="227ACB"/>
              </w:rPr>
              <w:t>(jei Tiekėjas yra fizinis asmuo, skiltys atitinkamai pakoreguojamos.</w:t>
            </w:r>
          </w:p>
          <w:p>
            <w:pPr>
              <w:pStyle w:val="Normal"/>
              <w:rPr>
                <w:color w:val="227ACB"/>
              </w:rPr>
            </w:pPr>
            <w:r>
              <w:rPr>
                <w:color w:val="227ACB"/>
              </w:rPr>
              <w:t>Jei Tiekėjas yra tiekėjų grupė, skiltys pildomos įterpiant kiekvieno grupės nario informaciją)</w:t>
            </w:r>
          </w:p>
          <w:p>
            <w:pPr>
              <w:pStyle w:val="Normal"/>
              <w:rPr>
                <w:b/>
              </w:rPr>
            </w:pPr>
            <w:r>
              <w:rPr>
                <w:b/>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pPr>
            <w:r>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pPr>
            <w:r>
              <w:rPr/>
            </w:r>
          </w:p>
        </w:tc>
      </w:tr>
    </w:tbl>
    <w:p>
      <w:pPr>
        <w:pStyle w:val="Normal"/>
        <w:jc w:val="both"/>
        <w:rPr/>
      </w:pPr>
      <w:r>
        <w:rPr/>
      </w:r>
    </w:p>
    <w:tbl>
      <w:tblPr>
        <w:tblW w:w="953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95"/>
        <w:gridCol w:w="19"/>
        <w:gridCol w:w="2111"/>
        <w:gridCol w:w="4309"/>
      </w:tblGrid>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2. ATSAKINGI ASMENYS</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2.1. Pirkėjo kontaktiniai asmenys, atsakingi už Sutarties vykdymą, Paslaugų priėmimą, Sąskaitų per informacinę sistemą SABIS priėmimą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227ACB"/>
              </w:rPr>
            </w:pPr>
            <w:r>
              <w:rPr>
                <w:color w:val="227ACB"/>
              </w:rPr>
              <w:t>(nurodyti padalinį / skyrių, pareigas, vardą, pavardę, tel., el. paštą)</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2.2. Tiekėjo kontaktiniai asmenys, atsakingi už Sutarties vykdymą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227ACB"/>
              </w:rPr>
            </w:pPr>
            <w:r>
              <w:rPr>
                <w:color w:val="227ACB"/>
              </w:rPr>
              <w:t>(nurodyti padalinį / skyrių, pareigas, vardą, pavardę, tel., el. paštą)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3. SUTARTIES DALYKAS</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3.1. Sutarties dalykas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227ACB"/>
              </w:rPr>
            </w:pPr>
            <w:r>
              <w:rPr/>
              <w:t>Tiekėjas įsipareigoja Sutartyje numatytomis sąlygomis suteikti Pirkėjui mobiliųjų psichologinių krizių įveikimo komandų veiklos organizavimo ir vykdymo paslaugas (toliau – Paslaugos),</w:t>
            </w:r>
            <w:r>
              <w:rPr>
                <w:color w:val="227ACB"/>
              </w:rPr>
              <w:t xml:space="preserve"> [pasirinktinai]:</w:t>
            </w:r>
          </w:p>
          <w:p>
            <w:pPr>
              <w:pStyle w:val="S3lygis"/>
              <w:numPr>
                <w:ilvl w:val="0"/>
                <w:numId w:val="0"/>
              </w:numPr>
              <w:tabs>
                <w:tab w:val="clear" w:pos="709"/>
                <w:tab w:val="left" w:pos="993" w:leader="none"/>
                <w:tab w:val="left" w:pos="1134" w:leader="none"/>
              </w:tabs>
              <w:spacing w:before="0" w:after="0"/>
              <w:ind w:hanging="0" w:left="0"/>
              <w:rPr/>
            </w:pPr>
            <w:r>
              <w:rPr/>
              <w:t xml:space="preserve">I dalis - Krizinių įvykių skambučių centro ir mobiliųjų psichologinių krizių įveikimo komandų veiklos organizavimo ir viešinimo </w:t>
            </w:r>
            <w:r>
              <w:rPr>
                <w:rFonts w:eastAsia="Calibri"/>
              </w:rPr>
              <w:t xml:space="preserve">paslaugos </w:t>
            </w:r>
            <w:r>
              <w:rPr/>
              <w:t>(MPKĮKP) Rytų Lietuvos regione;</w:t>
            </w:r>
          </w:p>
          <w:p>
            <w:pPr>
              <w:pStyle w:val="S3lygis"/>
              <w:numPr>
                <w:ilvl w:val="0"/>
                <w:numId w:val="0"/>
              </w:numPr>
              <w:tabs>
                <w:tab w:val="clear" w:pos="709"/>
                <w:tab w:val="left" w:pos="993" w:leader="none"/>
                <w:tab w:val="left" w:pos="1134" w:leader="none"/>
              </w:tabs>
              <w:spacing w:before="0" w:after="0"/>
              <w:ind w:firstLine="23" w:left="0"/>
              <w:rPr/>
            </w:pPr>
            <w:r>
              <w:rPr/>
              <w:t xml:space="preserve">II dalis Krizinių įvykių skambučių centro ir mobiliųjų psichologinių krizių įveikimo komandų veiklos organizavimo ir viešinimo </w:t>
            </w:r>
            <w:r>
              <w:rPr>
                <w:rFonts w:eastAsia="Calibri"/>
              </w:rPr>
              <w:t xml:space="preserve">paslaugos </w:t>
            </w:r>
            <w:r>
              <w:rPr/>
              <w:t>(MPKĮKP) Vidurio Lietuvos regione;</w:t>
            </w:r>
          </w:p>
          <w:p>
            <w:pPr>
              <w:pStyle w:val="S3lygis"/>
              <w:numPr>
                <w:ilvl w:val="0"/>
                <w:numId w:val="0"/>
              </w:numPr>
              <w:tabs>
                <w:tab w:val="clear" w:pos="709"/>
                <w:tab w:val="left" w:pos="993" w:leader="none"/>
                <w:tab w:val="left" w:pos="1134" w:leader="none"/>
              </w:tabs>
              <w:spacing w:before="0" w:after="0"/>
              <w:ind w:firstLine="23" w:left="0"/>
              <w:rPr/>
            </w:pPr>
            <w:r>
              <w:rPr/>
              <w:t xml:space="preserve">III dalis - Krizinių įvykių skambučių centro ir mobiliųjų psichologinių krizių įveikimo komandų veiklos organizavimo ir viešinimo </w:t>
            </w:r>
            <w:r>
              <w:rPr>
                <w:rFonts w:eastAsia="Calibri"/>
              </w:rPr>
              <w:t xml:space="preserve">paslaugos </w:t>
            </w:r>
            <w:r>
              <w:rPr/>
              <w:t xml:space="preserve">(MPKĮKP) Vakarų Lietuvos regione. </w:t>
            </w:r>
          </w:p>
          <w:p>
            <w:pPr>
              <w:pStyle w:val="Normal"/>
              <w:jc w:val="both"/>
              <w:rPr>
                <w:color w:val="227ACB"/>
              </w:rPr>
            </w:pPr>
            <w:r>
              <w:rPr>
                <w:color w:val="227ACB"/>
              </w:rPr>
            </w:r>
          </w:p>
          <w:p>
            <w:pPr>
              <w:pStyle w:val="Normal"/>
              <w:jc w:val="both"/>
              <w:rPr/>
            </w:pPr>
            <w:r>
              <w:rPr/>
              <w:t>Išsamus Paslaugų aprašymas ir kiti reikalavimai teikiamoms Paslaugoms nustatyti</w:t>
            </w:r>
            <w:r>
              <w:rPr>
                <w:shd w:fill="FFFFFF" w:val="clear"/>
              </w:rPr>
              <w:t xml:space="preserve"> Sutarties priede Nr. 1 „Techninė specifikacija“ (toliau – Techninė specifikacija) ir Sutarties priede Nr. 2 „Pasiūlymas“.</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3.2. Pirkimo pavadinimas ir numeris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rFonts w:eastAsia="Calibri" w:cs="Times New Roman" w:ascii="Times New Roman" w:hAnsi="Times New Roman"/>
              </w:rPr>
              <w:t xml:space="preserve">Krizinių įvykių skambučių centro ir mobiliųjų psichologinių krizių įveikimo komandų veiklos organizavimo ir viešinimo paslaugos </w:t>
            </w:r>
            <w:r>
              <w:rPr/>
              <w:t xml:space="preserve">(toliau – Paslaugos) </w:t>
            </w:r>
            <w:r>
              <w:rPr>
                <w:color w:val="227ACB"/>
              </w:rPr>
              <w:t>[</w:t>
            </w:r>
            <w:r>
              <w:rPr>
                <w:i/>
                <w:iCs/>
                <w:color w:val="227ACB"/>
              </w:rPr>
              <w:t>nurodyti pirkimo nr.</w:t>
            </w:r>
            <w:r>
              <w:rPr>
                <w:color w:val="227ACB"/>
              </w:rPr>
              <w:t>]</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3.3. Informacija apie Europos Sąjungos lėšomis finansuojamą projektą arba kitą projektą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 xml:space="preserve">4. PASLAUGŲ SUTEIKIMO TERMINAI IR PASLAUGŲ PERDAVIMO </w:t>
            </w:r>
            <w:r>
              <w:rPr/>
              <w:t>–</w:t>
            </w:r>
            <w:r>
              <w:rPr>
                <w:b/>
              </w:rPr>
              <w:t xml:space="preserve"> PRIĖMIMO TVARKA</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4.1. Paslaugų suteikimo terminai, kai Paslaugos teikiamos etapais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t>Tiekėjas įsipareigoja suteikti Paslaugas Techninėje specifikacijoje nurodytais terminais ir sąlygomis.</w:t>
            </w:r>
          </w:p>
          <w:p>
            <w:pPr>
              <w:pStyle w:val="Normal"/>
              <w:jc w:val="both"/>
              <w:rPr/>
            </w:pPr>
            <w:r>
              <w:rPr/>
            </w:r>
          </w:p>
          <w:p>
            <w:pPr>
              <w:pStyle w:val="Normal"/>
              <w:jc w:val="both"/>
              <w:rPr/>
            </w:pPr>
            <w:r>
              <w:rPr/>
              <w:t>Paslaugų teikimo laikotarpis -</w:t>
            </w:r>
            <w:r>
              <w:rPr>
                <w:b/>
                <w:bCs/>
              </w:rPr>
              <w:t xml:space="preserve"> </w:t>
            </w:r>
            <w:r>
              <w:rPr/>
              <w:t xml:space="preserve">12 (dvylika) mėnesių nuo Sutarties sudarymo ir įsigaliojimo dienos. Šalių </w:t>
            </w:r>
            <w:r>
              <w:rPr>
                <w:color w:val="auto"/>
              </w:rPr>
              <w:t xml:space="preserve">abipusiu rašytiniu Susitarimu Sutartis tomis pačiomis sąlygomis (nedidinant Sutarties kainos) gali būti pratęsta 1 (vieną) kartą ne ilgesniam kaip 2 (dviejų) mėnesių laikotarpiui, jeigu yra išlikęs poreikis ir </w:t>
            </w:r>
            <w:r>
              <w:rPr>
                <w:rFonts w:eastAsia="Arial"/>
                <w:color w:val="auto"/>
              </w:rPr>
              <w:t xml:space="preserve"> Pirkėjas neišpirko Paslaugų pagal Sutartį ir nėra išnaudota Sutarties kaina.</w:t>
            </w:r>
          </w:p>
          <w:p>
            <w:pPr>
              <w:pStyle w:val="Normal"/>
              <w:jc w:val="both"/>
              <w:rPr/>
            </w:pPr>
            <w:r>
              <w:rPr/>
            </w:r>
          </w:p>
          <w:p>
            <w:pPr>
              <w:pStyle w:val="Normal"/>
              <w:jc w:val="both"/>
              <w:rPr/>
            </w:pPr>
            <w:r>
              <w:rPr/>
              <w:t>Per 10 darbo dienų nuo Sutarties įsigaliojimo dienos ar kitu abipusiu susitarimu (el. paštu) nustatytu terminu, Tiekėjas pateikia suderinti teikiamų paslaugų grafiką.</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b/>
              </w:rPr>
            </w:pPr>
            <w:r>
              <w:rPr>
                <w:b/>
              </w:rPr>
              <w:t>4.2. Paslaugų / jų dalies / etapo / periodo suteikimo termino pratęsimas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t>Netaikoma</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b/>
              </w:rPr>
            </w:pPr>
            <w:r>
              <w:rPr>
                <w:b/>
              </w:rPr>
              <w:t>4.3. Užsakymų teikimo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1063"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4.4. Dėl minimalios Užsakymo vertės ar apimties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737"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4.5. Pateikiami dokumentai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color w:val="4472C4"/>
              </w:rPr>
            </w:pPr>
            <w:r>
              <w:rPr/>
              <w:t xml:space="preserve">Turi būti pateikiami šie dokumentai: </w:t>
            </w:r>
            <w:r>
              <w:rPr>
                <w:color w:val="4472C4"/>
              </w:rPr>
              <w:t xml:space="preserve"> </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Paslaugų perdavimo-priėmimo aktas;</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 xml:space="preserve">Paslaugų mėnesio ataskaita pagal </w:t>
            </w:r>
            <w:r>
              <w:rPr>
                <w:rFonts w:cs="Times New Roman" w:ascii="Times New Roman" w:hAnsi="Times New Roman"/>
                <w:sz w:val="24"/>
                <w:szCs w:val="24"/>
                <w:shd w:fill="FFFFFF" w:val="clear"/>
              </w:rPr>
              <w:t>Sutarties priedo Nr. 1 „Techninė specifikacija“ 25 punkte išdėstytą reikalavimą;</w:t>
            </w:r>
          </w:p>
          <w:p>
            <w:pPr>
              <w:pStyle w:val="ListParagraph"/>
              <w:numPr>
                <w:ilvl w:val="0"/>
                <w:numId w:val="1"/>
              </w:numPr>
              <w:jc w:val="both"/>
              <w:rPr>
                <w:rFonts w:ascii="Times New Roman" w:hAnsi="Times New Roman" w:cs="Times New Roman"/>
                <w:sz w:val="24"/>
                <w:szCs w:val="24"/>
              </w:rPr>
            </w:pPr>
            <w:r>
              <w:rPr>
                <w:rFonts w:cs="Times New Roman" w:ascii="Times New Roman" w:hAnsi="Times New Roman"/>
                <w:sz w:val="24"/>
                <w:szCs w:val="24"/>
              </w:rPr>
              <w:t>Sąskaita.</w:t>
            </w:r>
          </w:p>
          <w:p>
            <w:pPr>
              <w:pStyle w:val="Normal"/>
              <w:jc w:val="both"/>
              <w:rPr/>
            </w:pPr>
            <w:r>
              <w:rPr/>
              <w:t>Tiekėjui nepateikus nurodytų dokumentų, laikoma, kad Paslaugos neatitinka Sutartyje nustatytų reikalavimų.</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5. SUTARTIES KAINA IR ATSISKAITYMO TVARKA</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5.1. Sutarčiai taikomas kainos apskaičiavimo būdas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Fiksuoto įkainio kainodara</w:t>
            </w:r>
          </w:p>
          <w:p>
            <w:pPr>
              <w:pStyle w:val="Normal"/>
              <w:rPr/>
            </w:pPr>
            <w:r>
              <w:rPr/>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 xml:space="preserve">5.2. Pradinės Sutarties vertė ir Sutarties kaina, kai taikoma </w:t>
            </w:r>
            <w:r>
              <w:rPr>
                <w:b/>
                <w:u w:val="single"/>
              </w:rPr>
              <w:t>fiksuoto įkainio</w:t>
            </w:r>
            <w:r>
              <w:rPr>
                <w:b/>
              </w:rPr>
              <w:t xml:space="preserve"> kainodara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t xml:space="preserve">Pradinės </w:t>
            </w:r>
            <w:r>
              <w:rPr>
                <w:color w:val="auto"/>
              </w:rPr>
              <w:t>Sutarties vertė yra xx xxx,xx Eur (xxxxxxxxxxxxxxxx eurai, xx ct) be PVM.</w:t>
            </w:r>
          </w:p>
          <w:p>
            <w:pPr>
              <w:pStyle w:val="Normal"/>
              <w:jc w:val="both"/>
              <w:rPr>
                <w:color w:val="auto"/>
              </w:rPr>
            </w:pPr>
            <w:r>
              <w:rPr>
                <w:color w:val="auto"/>
              </w:rPr>
              <w:t>PVM sudaro xx xxx,xx Eur (xxxxxxxxxxxxxxxxx eurai, xx ct).</w:t>
            </w:r>
          </w:p>
          <w:p>
            <w:pPr>
              <w:pStyle w:val="Normal"/>
              <w:jc w:val="both"/>
              <w:rPr>
                <w:color w:val="auto"/>
              </w:rPr>
            </w:pPr>
            <w:r>
              <w:rPr>
                <w:color w:val="auto"/>
              </w:rPr>
              <w:t>Sutarties kaina yra xx xxx,xx Eur (xxxxxxxxxxxxxxxxxxxxxxxxx eurų, xx ct) su PVM (I pirkimo dalis).</w:t>
            </w:r>
          </w:p>
          <w:p>
            <w:pPr>
              <w:pStyle w:val="Normal"/>
              <w:jc w:val="both"/>
              <w:rPr/>
            </w:pPr>
            <w:r>
              <w:rPr/>
            </w:r>
          </w:p>
          <w:p>
            <w:pPr>
              <w:pStyle w:val="Normal"/>
              <w:jc w:val="both"/>
              <w:rPr>
                <w:color w:val="auto"/>
              </w:rPr>
            </w:pPr>
            <w:r>
              <w:rPr>
                <w:color w:val="auto"/>
              </w:rPr>
              <w:t>Sutarties vertė yra xx xxx,xx Eur (xxxxxxxxxxxxxxxxxx eurai, xx ct) be PVM.</w:t>
            </w:r>
          </w:p>
          <w:p>
            <w:pPr>
              <w:pStyle w:val="Normal"/>
              <w:jc w:val="both"/>
              <w:rPr>
                <w:color w:val="auto"/>
              </w:rPr>
            </w:pPr>
            <w:r>
              <w:rPr>
                <w:color w:val="auto"/>
              </w:rPr>
              <w:t>PVM sudaro xx xxx,xx Eur (xxxxxxxxxxxxxxxxxxx eurai, xx ct).</w:t>
            </w:r>
          </w:p>
          <w:p>
            <w:pPr>
              <w:pStyle w:val="Normal"/>
              <w:jc w:val="both"/>
              <w:rPr>
                <w:color w:val="auto"/>
              </w:rPr>
            </w:pPr>
            <w:r>
              <w:rPr>
                <w:color w:val="auto"/>
              </w:rPr>
              <w:t>Sutarties kaina yra xx xxx,xx Eur (xxxxxxxxxxxxxxxxxxxxxxxxxxx eurų, xx ct) su PVM (II pirkimo dalis).</w:t>
            </w:r>
          </w:p>
          <w:p>
            <w:pPr>
              <w:pStyle w:val="Normal"/>
              <w:jc w:val="both"/>
              <w:rPr/>
            </w:pPr>
            <w:r>
              <w:rPr/>
            </w:r>
          </w:p>
          <w:p>
            <w:pPr>
              <w:pStyle w:val="Normal"/>
              <w:jc w:val="both"/>
              <w:rPr>
                <w:color w:val="auto"/>
              </w:rPr>
            </w:pPr>
            <w:r>
              <w:rPr>
                <w:color w:val="auto"/>
              </w:rPr>
              <w:t>Sutarties vertė yra xx xxx,xx Eur (xxxxxxxxxxxxxxxxxxx eurai,    ct) be PVM.</w:t>
            </w:r>
          </w:p>
          <w:p>
            <w:pPr>
              <w:pStyle w:val="Normal"/>
              <w:jc w:val="both"/>
              <w:rPr>
                <w:color w:val="auto"/>
              </w:rPr>
            </w:pPr>
            <w:r>
              <w:rPr>
                <w:color w:val="auto"/>
              </w:rPr>
              <w:t>PVM sudaro xx xxx,xx Eur (xxxxxxxxxxxxxxxxxxx eurai, xx ct).</w:t>
            </w:r>
          </w:p>
          <w:p>
            <w:pPr>
              <w:pStyle w:val="Normal"/>
              <w:jc w:val="both"/>
              <w:rPr>
                <w:color w:val="auto"/>
              </w:rPr>
            </w:pPr>
            <w:r>
              <w:rPr>
                <w:color w:val="auto"/>
              </w:rPr>
              <w:t>Sutarties kaina yra xx xxx,xx Eur (xxxxxxxxxxxxxxxxxxxxxx eurų, xx ct) su PVM (III pirkimo dalis).</w:t>
            </w:r>
          </w:p>
          <w:p>
            <w:pPr>
              <w:pStyle w:val="Normal"/>
              <w:jc w:val="both"/>
              <w:rPr/>
            </w:pPr>
            <w:r>
              <w:rPr/>
            </w:r>
          </w:p>
          <w:p>
            <w:pPr>
              <w:pStyle w:val="Normal"/>
              <w:jc w:val="both"/>
              <w:rPr>
                <w:color w:val="227ACB"/>
              </w:rPr>
            </w:pPr>
            <w:r>
              <w:rPr>
                <w:color w:val="227ACB"/>
              </w:rPr>
              <w:t xml:space="preserve">Pasirašant sutartį paliekama pirkimo objekto dalis, dėl kurios sudaroma sutartis. </w:t>
            </w:r>
            <w:r>
              <w:rPr>
                <w:color w:val="007BB8"/>
              </w:rPr>
              <w:t>Perkančioji organizacija sudarys vieną sutartį dėl pirkimo dalių, dėl kurių laimėtoju nustatytas tas pats tiekėjas.</w:t>
            </w:r>
          </w:p>
          <w:p>
            <w:pPr>
              <w:pStyle w:val="Normal"/>
              <w:jc w:val="both"/>
              <w:rPr/>
            </w:pPr>
            <w:r>
              <w:rPr/>
            </w:r>
          </w:p>
          <w:p>
            <w:pPr>
              <w:pStyle w:val="Normal"/>
              <w:jc w:val="both"/>
              <w:rPr/>
            </w:pPr>
            <w:r>
              <w:rPr/>
              <w:t xml:space="preserve">Šioje Sutartyje Pradinės Sutarties vertė yra lygi </w:t>
            </w:r>
            <w:r>
              <w:rPr>
                <w:b/>
              </w:rPr>
              <w:t xml:space="preserve">maksimaliai pirkimui skirtai lėšų sumai be PVM </w:t>
            </w:r>
            <w:r>
              <w:rPr/>
              <w:t>pirkimo dokumentuose ir Sutartyje nurodytų Paslaugų įsigijimui Tiekėjo pasiūlyme nurodytais įkainiais be PVM.</w:t>
            </w:r>
            <w:r>
              <w:rPr>
                <w:color w:val="2B579A"/>
              </w:rPr>
              <w:t xml:space="preserve"> </w:t>
            </w:r>
            <w:r>
              <w:rPr/>
              <w:t>Pirkėjas perka Paslaugas pagal poreikį Sutartyje arba jos priede Nr. 2 nurodytais įkainiais, neviršijant Sutarties kainos. Sutartyje arba jos priede Nr. 2 atskirose eilutėse nurodytas Paslaugų kiekis gali būti keičiamas (didėti ar mažėti). Pirkėjas neįsipareigoja išpirkti preliminaraus Paslaugų kiekio ar bet kokios jo dalies.</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b/>
              </w:rPr>
            </w:pPr>
            <w:r>
              <w:rPr>
                <w:b/>
              </w:rPr>
              <w:t xml:space="preserve">5.3. Sutarties kainos / įkainių perskaičiavimas taikant </w:t>
            </w:r>
            <w:r>
              <w:rPr>
                <w:b/>
                <w:u w:val="single"/>
              </w:rPr>
              <w:t>peržiūros</w:t>
            </w:r>
            <w:r>
              <w:rPr>
                <w:b/>
              </w:rPr>
              <w:t xml:space="preserve"> taisykles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Sutarties  kaina bus perskaičiuojami:</w:t>
            </w:r>
          </w:p>
          <w:p>
            <w:pPr>
              <w:pStyle w:val="Normal"/>
              <w:rPr/>
            </w:pPr>
            <w:r>
              <w:rPr/>
              <w:t>5.3.1. dėl PVM tarifo pasikeitimo;</w:t>
            </w:r>
          </w:p>
          <w:p>
            <w:pPr>
              <w:pStyle w:val="Normal"/>
              <w:rPr/>
            </w:pPr>
            <w:r>
              <w:rPr/>
              <w:t>5.3.2. dėl kainų lygio pokyčio.</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5.3.1. Sutarties kainos / įkainių peržiūra dėl PVM tarifo pasikeitimo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pPr>
            <w:r>
              <w:rPr/>
            </w:r>
          </w:p>
          <w:p>
            <w:pPr>
              <w:pStyle w:val="Normal"/>
              <w:jc w:val="both"/>
              <w:rPr/>
            </w:pPr>
            <w:r>
              <w:rP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bCs/>
              </w:rPr>
              <w:t>5.3.2.</w:t>
            </w:r>
            <w:r>
              <w:rPr/>
              <w:t xml:space="preserve"> </w:t>
            </w:r>
            <w:r>
              <w:rPr>
                <w:b/>
                <w:bCs/>
              </w:rPr>
              <w:t>Sutarties kainos / įkainių peržiūra dėl kitų mokesčių, lemiančių Paslaugų kainos / įkainių pokytį, pasikeitimo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5.3.3. Sutarties įkainių peržiūra dėl kainų lygio pokyčio</w:t>
            </w:r>
          </w:p>
          <w:p>
            <w:pPr>
              <w:pStyle w:val="Normal"/>
              <w:rPr/>
            </w:pPr>
            <w:r>
              <w:rPr/>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nustatyta5.3.3.6 punkte, viršija 5 procentus. </w:t>
            </w:r>
          </w:p>
          <w:p>
            <w:pPr>
              <w:pStyle w:val="Normal"/>
              <w:jc w:val="both"/>
              <w:rPr/>
            </w:pPr>
            <w:r>
              <w:rPr/>
              <w:t>5.3.3.2. Sutarties įkainiai peržiūrimi tik tai Sutarties daliai, kuri nėra išpirkta, t. y. Paslaugoms, kurios nėra priimtos ir apmokėtos. Vėlesnė Sutarties įkainių peržiūra negali apimti laikotarpio, už kurį jau buvo atlikta peržiūra.</w:t>
            </w:r>
          </w:p>
          <w:p>
            <w:pPr>
              <w:pStyle w:val="Normal"/>
              <w:jc w:val="both"/>
              <w:rPr/>
            </w:pPr>
            <w:r>
              <w:rPr/>
              <w:t>5.3.3.3. Jeigu Paslaugų teikimas vėluoja dėl Tiekėjo kaltės, uždelstų suteikti Paslaugų įkainiai nėra perskaičiuojami dėl kainų lygio kilimo (gali būti mažinami, tačiau negali būti didinami).</w:t>
            </w:r>
          </w:p>
          <w:p>
            <w:pPr>
              <w:pStyle w:val="Normal"/>
              <w:jc w:val="both"/>
              <w:rPr/>
            </w:pPr>
            <w:r>
              <w:rPr/>
              <w:t>5.3.3.4. Atlikdamos Sutarties kainos peržiūrą 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p>
          <w:p>
            <w:pPr>
              <w:pStyle w:val="Normal"/>
              <w:jc w:val="both"/>
              <w:rPr/>
            </w:pPr>
            <w:r>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pPr>
              <w:pStyle w:val="Normal"/>
              <w:jc w:val="both"/>
              <w:rPr/>
            </w:pPr>
            <w:r>
              <w:rPr/>
              <w:t>5.3.3.6. Nauji Sutarties įkainiai apskaičiuojami pagal žemiau pateiktą formulę:</w:t>
            </w:r>
          </w:p>
          <w:p>
            <w:pPr>
              <w:pStyle w:val="Normal"/>
              <w:jc w:val="both"/>
              <w:rPr/>
            </w:pPr>
            <w:r>
              <w:rPr/>
              <w:drawing>
                <wp:inline distT="0" distB="0" distL="0" distR="0">
                  <wp:extent cx="1162050" cy="266700"/>
                  <wp:effectExtent l="0" t="0" r="0" b="0"/>
                  <wp:docPr id="1"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descr=""/>
                          <pic:cNvPicPr>
                            <a:picLocks noChangeAspect="1" noChangeArrowheads="1"/>
                          </pic:cNvPicPr>
                        </pic:nvPicPr>
                        <pic:blipFill>
                          <a:blip r:embed="rId2"/>
                          <a:stretch>
                            <a:fillRect/>
                          </a:stretch>
                        </pic:blipFill>
                        <pic:spPr bwMode="auto">
                          <a:xfrm>
                            <a:off x="0" y="0"/>
                            <a:ext cx="1162050" cy="266700"/>
                          </a:xfrm>
                          <a:prstGeom prst="rect">
                            <a:avLst/>
                          </a:prstGeom>
                        </pic:spPr>
                      </pic:pic>
                    </a:graphicData>
                  </a:graphic>
                </wp:inline>
              </w:drawing>
            </w:r>
            <w:r>
              <w:rPr/>
              <w:t>, kur a – įkainis (Eur be PVM) (jei peržiūra jau buvo atlikta, tai po paskutinio perskaičiavimo)</w:t>
            </w:r>
          </w:p>
          <w:p>
            <w:pPr>
              <w:pStyle w:val="Normal"/>
              <w:jc w:val="both"/>
              <w:rPr/>
            </w:pPr>
            <w:r>
              <w:rPr/>
              <w:t>a</w:t>
            </w:r>
            <w:r>
              <w:rPr>
                <w:vertAlign w:val="subscript"/>
              </w:rPr>
              <w:t>1</w:t>
            </w:r>
            <w:r>
              <w:rPr/>
              <w:t> – perskaičiuotas (pakeistas) įkainis (Eur be PVM)</w:t>
            </w:r>
          </w:p>
          <w:p>
            <w:pPr>
              <w:pStyle w:val="Normal"/>
              <w:jc w:val="both"/>
              <w:rPr/>
            </w:pPr>
            <w:r>
              <w:rPr/>
              <w:t>k – pagal vartotojų kainų indeksą apskaičiuotas Vartojimo prekių ir paslaugų kainų pokytis (padidėjimas arba sumažėjimas) (%). „k“ reikšmė skaičiuojama pagal formulę:</w:t>
            </w:r>
          </w:p>
          <w:p>
            <w:pPr>
              <w:pStyle w:val="Normal"/>
              <w:jc w:val="both"/>
              <w:rPr/>
            </w:pPr>
            <w:r>
              <w:rPr/>
              <w:drawing>
                <wp:inline distT="0" distB="0" distL="0" distR="0">
                  <wp:extent cx="1676400" cy="342900"/>
                  <wp:effectExtent l="0" t="0" r="0" b="0"/>
                  <wp:docPr id="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
                          <pic:cNvPicPr>
                            <a:picLocks noChangeAspect="1" noChangeArrowheads="1"/>
                          </pic:cNvPicPr>
                        </pic:nvPicPr>
                        <pic:blipFill>
                          <a:blip r:embed="rId3"/>
                          <a:stretch>
                            <a:fillRect/>
                          </a:stretch>
                        </pic:blipFill>
                        <pic:spPr bwMode="auto">
                          <a:xfrm>
                            <a:off x="0" y="0"/>
                            <a:ext cx="1676400" cy="342900"/>
                          </a:xfrm>
                          <a:prstGeom prst="rect">
                            <a:avLst/>
                          </a:prstGeom>
                        </pic:spPr>
                      </pic:pic>
                    </a:graphicData>
                  </a:graphic>
                </wp:inline>
              </w:drawing>
            </w:r>
            <w:r>
              <w:rPr/>
              <w:t>, (proc.) kur</w:t>
            </w:r>
          </w:p>
          <w:p>
            <w:pPr>
              <w:pStyle w:val="Normal"/>
              <w:jc w:val="both"/>
              <w:rPr/>
            </w:pPr>
            <w:r>
              <w:rPr/>
              <w:t>Ind</w:t>
            </w:r>
            <w:r>
              <w:rPr>
                <w:vertAlign w:val="subscript"/>
              </w:rPr>
              <w:t>naujausias</w:t>
            </w:r>
            <w:r>
              <w:rPr/>
              <w:t> – kreipimosi dėl įkainių peržiūros išsiuntimo kitai Šaliai dieną paskelbtas naujausias vartojimo prekių ir paslaugų indeksas</w:t>
            </w:r>
          </w:p>
          <w:p>
            <w:pPr>
              <w:pStyle w:val="Normal"/>
              <w:jc w:val="both"/>
              <w:rPr/>
            </w:pPr>
            <w:r>
              <w:rPr/>
              <w:t>Ind</w:t>
            </w:r>
            <w:r>
              <w:rPr>
                <w:vertAlign w:val="subscript"/>
              </w:rPr>
              <w:t>pradžia</w:t>
            </w:r>
            <w:r>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jc w:val="both"/>
              <w:rPr/>
            </w:pPr>
            <w:r>
              <w:rPr/>
              <w:t>5.3.3.7. Skaičiavimams indeksų reikšmės imamos </w:t>
            </w:r>
            <w:r>
              <w:rPr>
                <w:b/>
                <w:bCs/>
              </w:rPr>
              <w:t>keturių</w:t>
            </w:r>
            <w:r>
              <w:rPr/>
              <w:t> skaitmenų po kablelio tikslumu. Apskaičiuotas pokytis (k) tolimesniems skaičiavimams naudojamas suapvalinus iki </w:t>
            </w:r>
            <w:r>
              <w:rPr>
                <w:b/>
                <w:bCs/>
              </w:rPr>
              <w:t>vieno</w:t>
            </w:r>
            <w:r>
              <w:rPr/>
              <w:t> skaitmens po kablelio, o apskaičiuotas įkainis „a</w:t>
            </w:r>
            <w:r>
              <w:rPr>
                <w:vertAlign w:val="subscript"/>
              </w:rPr>
              <w:t>1</w:t>
            </w:r>
            <w:r>
              <w:rPr/>
              <w:t>“ suapvalinamas iki </w:t>
            </w:r>
            <w:r>
              <w:rPr>
                <w:b/>
                <w:bCs/>
              </w:rPr>
              <w:t>dviejų </w:t>
            </w:r>
            <w:r>
              <w:rPr/>
              <w:t>skaitmenų po kablelio.</w:t>
            </w:r>
          </w:p>
          <w:p>
            <w:pPr>
              <w:pStyle w:val="Normal"/>
              <w:jc w:val="both"/>
              <w:rPr>
                <w:color w:themeColor="text1" w:val="000000"/>
              </w:rPr>
            </w:pPr>
            <w:r>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w:t>
            </w:r>
            <w:r>
              <w:rPr>
                <w:color w:themeColor="text1" w:val="000000"/>
              </w:rPr>
              <w:t xml:space="preserve">portale arba kitus oficialius šaltinių duomenis, kita svarbi informacija. Prašyme Šalis neturi teisės nurodyti kito indekso ar </w:t>
            </w:r>
            <w:r>
              <w:rPr>
                <w:rFonts w:cs="Times New Roman" w:ascii="Times New Roman" w:hAnsi="Times New Roman"/>
                <w:color w:themeColor="text1" w:val="000000"/>
              </w:rPr>
              <w:t>prašyti</w:t>
            </w:r>
            <w:r>
              <w:rPr>
                <w:color w:themeColor="text1" w:val="000000"/>
              </w:rPr>
              <w:t xml:space="preserve"> perskaičiavimo pagal kitą indeksą nei nurodytas </w:t>
            </w:r>
            <w:r>
              <w:rPr>
                <w:rFonts w:cs="Times New Roman" w:ascii="Times New Roman" w:hAnsi="Times New Roman"/>
                <w:color w:themeColor="text1" w:val="000000"/>
              </w:rPr>
              <w:t>šioje procedūroje</w:t>
            </w:r>
            <w:r>
              <w:rPr>
                <w:color w:themeColor="text1" w:val="000000"/>
              </w:rPr>
              <w:t>.</w:t>
            </w:r>
          </w:p>
          <w:p>
            <w:pPr>
              <w:pStyle w:val="Normal"/>
              <w:jc w:val="both"/>
              <w:rPr>
                <w:color w:themeColor="text1" w:val="000000"/>
                <w:shd w:fill="FFFFFF" w:val="clear"/>
              </w:rPr>
            </w:pPr>
            <w:r>
              <w:rPr>
                <w:color w:themeColor="text1" w:val="000000"/>
                <w:shd w:fill="FFFFFF" w:val="clear"/>
              </w:rPr>
              <w:t>5</w:t>
            </w:r>
            <w:r>
              <w:rPr>
                <w:color w:themeColor="text1" w:val="000000"/>
              </w:rPr>
              <w:t xml:space="preserve">.3.3.9. </w:t>
            </w:r>
            <w:r>
              <w:rPr>
                <w:color w:themeColor="text1" w:val="000000"/>
                <w:shd w:fill="FFFFFF" w:val="clear"/>
              </w:rPr>
              <w:t>Susitarimas turi būti sudarytas per 10 darbo dienų nuo Šalies pateikto tinkamo prašymo perskaičiuoti S</w:t>
            </w:r>
            <w:r>
              <w:rPr>
                <w:color w:themeColor="text1" w:val="000000"/>
              </w:rPr>
              <w:t>utarties</w:t>
            </w:r>
            <w:r>
              <w:rPr>
                <w:color w:themeColor="text1" w:val="000000"/>
                <w:shd w:fill="FFFFFF" w:val="clear"/>
              </w:rPr>
              <w:t xml:space="preserve"> įkainius gavimo dienos.</w:t>
            </w:r>
          </w:p>
          <w:p>
            <w:pPr>
              <w:pStyle w:val="Normal"/>
              <w:jc w:val="both"/>
              <w:rPr/>
            </w:pPr>
            <w:r>
              <w:rPr>
                <w:color w:themeColor="text1" w:val="000000"/>
                <w:shd w:fill="FFFFFF" w:val="clear"/>
              </w:rPr>
              <w:t xml:space="preserve">5.3.3.10. </w:t>
            </w:r>
            <w:r>
              <w:rPr>
                <w:color w:themeColor="text1" w:val="000000"/>
              </w:rPr>
              <w:t>Susitarimu Šalys neturi teisės keisti procedūroje nurodytos tvarkos ar kitų Sutarties nuostatų, išskyrus, jei keitimas atliekamas pagal VPĮ nuostatas</w:t>
            </w:r>
            <w:r>
              <w:rPr/>
              <w:t>.</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 xml:space="preserve">5.3.4. Sutarties kainos / įkainių peržiūra dėl kainų lygio pokyčio pagal </w:t>
            </w:r>
            <w:r>
              <w:rPr>
                <w:b/>
                <w:bCs/>
              </w:rPr>
              <w:t>Paslaugų</w:t>
            </w:r>
            <w:r>
              <w:rPr>
                <w:b/>
              </w:rPr>
              <w:t xml:space="preserve"> grupių kainų pokyčius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bCs/>
              </w:rPr>
              <w:t xml:space="preserve">5.4. Sutarties kainos / įkainių apskaičiavimas taikant </w:t>
            </w:r>
            <w:r>
              <w:rPr>
                <w:b/>
                <w:bCs/>
                <w:u w:val="single"/>
              </w:rPr>
              <w:t>kiekio (apimties)</w:t>
            </w:r>
            <w:r>
              <w:rPr>
                <w:b/>
                <w:bCs/>
              </w:rPr>
              <w:t xml:space="preserve"> keitimo taisykles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color w:val="FF0000"/>
              </w:rPr>
            </w:pPr>
            <w:r>
              <w:rPr>
                <w:color w:val="FF0000"/>
              </w:rPr>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5.5. Atsiskaitymo su Tiekėju terminas ir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t>Pirkėjas atsiskaito su Tiekėju ne vėliau kaip per 30 kalendorinių dienų nuo Sąskaitos gavimo dienos.</w:t>
            </w:r>
          </w:p>
          <w:p>
            <w:pPr>
              <w:pStyle w:val="Normal"/>
              <w:jc w:val="both"/>
              <w:rPr/>
            </w:pPr>
            <w:r>
              <w:rPr/>
              <w:t>Apmokėjimo sąlygos:</w:t>
            </w:r>
          </w:p>
          <w:p>
            <w:pPr>
              <w:pStyle w:val="ListParagraph"/>
              <w:numPr>
                <w:ilvl w:val="0"/>
                <w:numId w:val="2"/>
              </w:numPr>
              <w:tabs>
                <w:tab w:val="clear" w:pos="709"/>
                <w:tab w:val="left" w:pos="306" w:leader="none"/>
              </w:tabs>
              <w:spacing w:before="0" w:after="160"/>
              <w:ind w:hanging="0" w:left="0"/>
              <w:contextualSpacing/>
              <w:jc w:val="both"/>
              <w:rPr/>
            </w:pPr>
            <w:r>
              <w:rPr>
                <w:sz w:val="24"/>
                <w:szCs w:val="24"/>
              </w:rPr>
              <w:t>Už tinkamai suteiktas paslaugas mokama pagal Sutarties priede Nr. 2 nurodytais įkainiais vieną kartą per mėnesį</w:t>
            </w:r>
            <w:r>
              <w:rPr>
                <w:szCs w:val="24"/>
              </w:rPr>
              <w:t xml:space="preserve">. </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5.6. Avansas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5.7. Avanso užtikrinimas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6. PASLAUGŲ KOKYBĖ IR GARANTINIAI ĮSIPAREIGOJIMAI</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6.1. Garantinis terminas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6.2. Terminas Paslaugų trūkumams pašalinti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t>Sutarties galiojimo metu nustačius Paslaugų trūkumų, Tiekėjas turi </w:t>
            </w:r>
            <w:r>
              <w:rPr>
                <w:b/>
                <w:bCs/>
              </w:rPr>
              <w:t>ne vėliau kaip</w:t>
            </w:r>
            <w:r>
              <w:rPr/>
              <w:t> per 5 (penkias) darbo dienas nuo rašytinės pretenzijos gavimo dienos pašalinti Paslaugų trūkumus.</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 xml:space="preserve">6.3. Kokybinių kriterijų įgyvendinimo </w:t>
            </w:r>
            <w:r>
              <w:rPr>
                <w:b/>
                <w:bCs/>
              </w:rPr>
              <w:t xml:space="preserve">ir </w:t>
            </w:r>
            <w:r>
              <w:rPr>
                <w:b/>
              </w:rPr>
              <w:t>tikrinimo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7. SUTARTIES VYKDYMUI PASITELKIAMI SUBTIEKĖJAI IR (AR) SPECIALISTAI</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bCs/>
              </w:rPr>
              <w:t>7.1. Sutarties vykdymui pasitelkiami subtiekėjai ir (ar) specialistai</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t>Sutarties vykdymui subtiekėjai ir (ar) specialistai nepasitelkiami.</w:t>
            </w:r>
          </w:p>
          <w:p>
            <w:pPr>
              <w:pStyle w:val="Normal"/>
              <w:jc w:val="both"/>
              <w:rPr>
                <w:color w:val="227ACB"/>
              </w:rPr>
            </w:pPr>
            <w:r>
              <w:rPr>
                <w:color w:val="227ACB"/>
              </w:rPr>
              <w:t>arba</w:t>
            </w:r>
          </w:p>
          <w:p>
            <w:pPr>
              <w:pStyle w:val="Normal"/>
              <w:jc w:val="both"/>
              <w:rPr/>
            </w:pPr>
            <w:r>
              <w:rPr/>
              <w:t>Sutarties vykdymui pasitelkiami subtiekėjai ir (ar) specialistai yra nurodyti Sutarties priede Nr. 3 „Sutarties vykdymui pasitelkiami subtiekėjai ir (ar) specialistai“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8. PRIEVOLIŲ PAGAL SUTARTĮ ĮVYKDYMO UŽTIKRINIMAS</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8.1. Prievolių pagal Sutartį įvykdymo užtikrinimas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Prievolių pagal Sutartį įvykdymas užtikrinamas :</w:t>
            </w:r>
          </w:p>
          <w:p>
            <w:pPr>
              <w:pStyle w:val="Normal"/>
              <w:rPr/>
            </w:pPr>
            <w:r>
              <w:rPr/>
              <w:t>Netesybomis (delspinigiais, bauda).</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8.2 Sutarties įvykdymo užtikrinimo galiojimo terminas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8.3. Sutarties įvykdymo užtikrinimo pateikimas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9. ŠALIŲ ATSAKOMYBĖ</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b/>
              </w:rPr>
              <w:t>9.1. Pirkėjui taikomos netesybos už mokėjimų pagal Sutartį vėlavimą</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rPr>
            </w:pPr>
            <w:r>
              <w:rPr/>
              <w:t xml:space="preserve">Jei Pirkėjas, gavęs tinkamai pateiktą ir užpildytą Sąskaitą, uždelsia atsiskaityti už tinkamai Tiekėjo suteiktas kokybiškas Paslaugas per Sutartyje </w:t>
            </w:r>
            <w:r>
              <w:rPr>
                <w:color w:val="auto"/>
              </w:rPr>
              <w:t>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b/>
              </w:rPr>
              <w:t>9.2. Tiekėjui taikomos netesybos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5760" w:leader="none"/>
              </w:tabs>
              <w:spacing w:before="0" w:after="120"/>
              <w:jc w:val="both"/>
              <w:rPr/>
            </w:pPr>
            <w:r>
              <w:rPr/>
              <w:t xml:space="preserve">Jeigu Tiekėjas vėluoja suteikti Paslaugas arba nevykdo kitų sutartinių </w:t>
            </w:r>
            <w:r>
              <w:rPr>
                <w:color w:val="auto"/>
              </w:rPr>
              <w:t>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9.3. Tiekėjui / Pirkėjui taikoma bauda nutraukus Sutartį dėl esminio Sutarties pažeidimo ar nepagrįstai nutraukus Sutarties vykdymą ne Sutartyje nustatyta tvarka</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t>9.3.1. Nutraukus Sutartį dėl esminio Sutarties pažeidimo, nustatyto Sutarties Specialiosiose sąlygose, mokama 10 procentų dydžio bauda nuo Pradinės Sutarties vertės, nurodytos Specialiųjų sąlygų 5.2 punkte.</w:t>
            </w:r>
          </w:p>
          <w:p>
            <w:pPr>
              <w:pStyle w:val="Normal"/>
              <w:jc w:val="both"/>
              <w:rPr/>
            </w:pPr>
            <w:r>
              <w:rPr/>
              <w:t>9.3.2. Nepagrįstai nutraukus Sutarties vykdymą ne Sutartyje nustatyta tvarka, mokama 10 procentų dydžio bauda nuo Pradinės Sutarties vertės, nurodytos Specialiųjų sąlygų 5.2 punkte.</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9.4. Tiekėjui taikoma bauda dėl esamų subtiekėjų ar specialistų pakeitimo / naujų subtiekėjų pasitelkimo nesilaikant Bendrosiose sąlygose nurodytos subtiekėjų ir (ar) specialistų keitimo tvarkos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Other1"/>
              <w:tabs>
                <w:tab w:val="clear" w:pos="709"/>
                <w:tab w:val="left" w:pos="1829" w:leader="none"/>
                <w:tab w:val="left" w:pos="3130" w:leader="none"/>
                <w:tab w:val="left" w:pos="4205" w:leader="none"/>
              </w:tabs>
              <w:jc w:val="both"/>
              <w:rPr/>
            </w:pPr>
            <w:r>
              <w:rPr>
                <w:rFonts w:cs="Times New Roman" w:ascii="Times New Roman" w:hAnsi="Times New Roman"/>
                <w:i w:val="false"/>
                <w:iCs w:val="false"/>
                <w:sz w:val="24"/>
                <w:szCs w:val="24"/>
              </w:rPr>
              <w:t>500,00 Eur (taikoma už kiekvieną atvejį atskirai)</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9.5. Tiekėjui taikomos baudos dėl aplinkosauginių ir (arba) socialinių kriterijų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9.6. Tiekėjui / Pirkėjui taikoma bauda dėl konfidencialumo reikalavimų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b/>
              </w:rPr>
              <w:t>9.7. Tiekėjui taikomos netesybos dėl pirkimo dokumentuose nustatytų kokybinių kriterijų nepasiekimo Sutarties vykdymo metu</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pPr>
            <w:r>
              <w:rPr/>
              <w:t>Netaikoma</w:t>
            </w:r>
          </w:p>
          <w:p>
            <w:pPr>
              <w:pStyle w:val="Normal"/>
              <w:spacing w:lineRule="auto" w:line="276"/>
              <w:jc w:val="both"/>
              <w:rPr>
                <w:rFonts w:ascii="Times New Roman" w:hAnsi="Times New Roman"/>
              </w:rPr>
            </w:pPr>
            <w:r>
              <w:rPr>
                <w:rFonts w:ascii="Times New Roman" w:hAnsi="Times New Roman"/>
              </w:rPr>
            </w:r>
          </w:p>
        </w:tc>
      </w:tr>
      <w:tr>
        <w:trPr>
          <w:trHeight w:val="156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 xml:space="preserve">9.8. Tiekėjui taikomos netesybos dėl Sutarties įvykdymo užtikrinimo </w:t>
            </w:r>
            <w:r>
              <w:rPr>
                <w:b/>
                <w:bCs/>
              </w:rPr>
              <w:t>nepratęsimo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bCs/>
              </w:rPr>
              <w:t>9.9. Tiekėjui taikoma bauda dėl Pirkėjo simbolių, pavadinimo ir ženklo reklamoje ar rinkodaroje naudojimo reikalavimų nesilaikymo bei draudimo naudotis Pirkėjo sukurtais intelektiniais veiklos rezultatais nesilaikymo</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p>
            <w:pPr>
              <w:pStyle w:val="Normal"/>
              <w:rPr/>
            </w:pPr>
            <w:r>
              <w:rPr/>
            </w:r>
          </w:p>
          <w:p>
            <w:pPr>
              <w:pStyle w:val="Normal"/>
              <w:rPr/>
            </w:pPr>
            <w:r>
              <w:rPr/>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9.9. Kitos netesybos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rPr/>
            </w:pPr>
            <w:r>
              <w:rPr/>
              <w:t>Netaikoma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10. ESMINĖS SUTARTIES SĄLYGOS</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color w:val="auto"/>
              </w:rPr>
              <w:t>10.1. Esminės Sutarties sąlygos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themeColor="text2" w:val="000000"/>
                <w:lang w:val="lt-LT"/>
              </w:rPr>
            </w:pPr>
            <w:r>
              <w:rPr/>
              <w:t xml:space="preserve">10.1.1. </w:t>
            </w:r>
            <w:r>
              <w:rPr>
                <w:rFonts w:eastAsia="Times New Roman" w:cs="Times New Roman" w:ascii="Times New Roman" w:hAnsi="Times New Roman"/>
                <w:color w:themeColor="text2" w:val="000000"/>
                <w:lang w:val="lt-LT"/>
              </w:rPr>
              <w:t>Tuo atveju, jei visos ar dalis Paslaugų perdavimo-priėmimo akte nurodytų Paslaugų yra faktiškai nesuteiktos arba suteiktos netinkamai ir/ar nekokybiškai, ir/ar neatitinka Sutartyje nurodytų reikalavimų, Užsakovas per 5 (penkias) darbo dienas nuo Paslaugų perdavimo–priėmimo akto gavimo dienos raštu ar elektroniniu paštu informuoja Tiekėją apie šiuos trūkumus, o Tiekėjas įsipareigoja neatlygintinai juos ištaisyti per Užsakovo nurodytą protingą terminą, kuris turi būti ne mažesnis kaip 5 (penkios) darbo dienos. Tuo atveju, jei per trūkumams šalinti skirtą terminą Tiekėjas trūkumų nepašalina ir/ar negali pašalinti, Užsakovas įgyja teisę vienašališkai nutraukti Sutartį ir reikalauti dėl netinkamo Sutarties vykdymo patirtų nuostolių atlyginimo. Ši sąlyga yra esminė Sutarties sąlyga.</w:t>
            </w:r>
          </w:p>
          <w:p>
            <w:pPr>
              <w:pStyle w:val="Normal"/>
              <w:jc w:val="both"/>
              <w:rPr/>
            </w:pPr>
            <w:r>
              <w:rPr>
                <w:rFonts w:eastAsia="Times New Roman" w:cs="Times New Roman" w:ascii="Times New Roman" w:hAnsi="Times New Roman"/>
                <w:color w:themeColor="text2" w:val="000000"/>
                <w:lang w:val="lt-LT"/>
              </w:rPr>
              <w:t xml:space="preserve"> </w:t>
            </w:r>
            <w:r>
              <w:rPr>
                <w:rFonts w:eastAsia="Times New Roman" w:cs="Times New Roman" w:ascii="Times New Roman" w:hAnsi="Times New Roman"/>
                <w:color w:themeColor="text2" w:val="000000"/>
                <w:lang w:val="lt-LT"/>
              </w:rPr>
              <w:t>10.1.2. Jei po Paslaugų perdavimo-priėmimo akto pasirašymo paaiškėja, kad visos ar dalis jame nurodytų Paslaugų faktiškai nebuvo suteiktos, ar Paslaugos suteiktos netinkamai ir/ar nekokybiškai, ir/ar neatitinka Sutartyje nurodytų reikalavimų, Užsakovas privalo pranešti apie tai Tiekėjui. Pranešus apie trūkumus, Tiekėjas privalo ištaisyti juos per Užsakovo nurodytą protingą terminą, kuris turi būti ne mažesnis kaip 5 (penkios) darbo dienos. Tuo atveju, jei per trūkumams šalinti skirtą terminą Tiekėjas trūkumų nepašalina ir/ar negali pašalinti, Užsakovas įgyja teisę vienašališkai nutraukti Sutartį ir reikalauti dėl netinkamo Sutarties vykdymo patirtų nuostolių atlyginimo. Ši sąlyga yra esminė Sutarties sąlyga.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11. SUTARTIES GALIOJIMAS IR KEITIMAS</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11.1. Sutarties sudarymas ir įsigaliojimas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pPr>
            <w:r>
              <w:rPr/>
              <w:t>Ši Sutartis laikoma sudaryta ir įsigalioja nuo Sutarties pasirašymo dienos (antrosios Šalies pasirašymo dieną).</w:t>
            </w:r>
          </w:p>
          <w:p>
            <w:pPr>
              <w:pStyle w:val="Normal"/>
              <w:jc w:val="both"/>
              <w:rPr/>
            </w:pPr>
            <w:r>
              <w:rPr/>
              <w:t xml:space="preserve">Sutartis galioja iki visiško prievolių įvykdymo (kol bus išnaudota Pradinės Sutarties vertė), bet jos terminas negali būti ilgesnis kaip 15 mėnesių. </w:t>
            </w:r>
          </w:p>
        </w:tc>
      </w:tr>
      <w:tr>
        <w:trPr>
          <w:trHeight w:val="300" w:hRule="atLeast"/>
        </w:trPr>
        <w:tc>
          <w:tcPr>
            <w:tcW w:w="3095" w:type="dxa"/>
            <w:tcBorders>
              <w:top w:val="single" w:sz="4" w:space="0" w:color="000000"/>
              <w:left w:val="single" w:sz="4" w:space="0" w:color="000000"/>
              <w:bottom w:val="single" w:sz="4" w:space="0" w:color="000000"/>
              <w:right w:val="single" w:sz="4" w:space="0" w:color="000000"/>
            </w:tcBorders>
          </w:tcPr>
          <w:p>
            <w:pPr>
              <w:pStyle w:val="Normal"/>
              <w:rPr/>
            </w:pPr>
            <w:r>
              <w:rPr>
                <w:b/>
              </w:rPr>
              <w:t>11.2. Sutarties galiojimo termino pratęsimas</w:t>
            </w:r>
          </w:p>
        </w:tc>
        <w:tc>
          <w:tcPr>
            <w:tcW w:w="6439"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t xml:space="preserve">11.2.1. Šalių </w:t>
            </w:r>
            <w:r>
              <w:rPr>
                <w:color w:val="auto"/>
              </w:rPr>
              <w:t>abipusiu rašytiniu Susitarimu Sutartis tomis pačiomis sąlygomis (nedidinant Sutarties kainos) gali būti pratęsta 1 (vieną) kartą ne ilgesniam kaip 2 (dviejų) mėnesių laikotarpiui, jeigu yra išlikęs poreikis ir esant šiai aplinkybei:</w:t>
            </w:r>
          </w:p>
          <w:p>
            <w:pPr>
              <w:pStyle w:val="Normal"/>
              <w:jc w:val="both"/>
              <w:rPr/>
            </w:pPr>
            <w:r>
              <w:rPr>
                <w:rFonts w:eastAsia="Calibri"/>
                <w:color w:val="auto"/>
              </w:rPr>
              <w:t>11.2.1.1.</w:t>
            </w:r>
            <w:r>
              <w:rPr>
                <w:rFonts w:eastAsia="Arial"/>
                <w:color w:val="auto"/>
              </w:rPr>
              <w:t xml:space="preserve"> Pirkėjas neišpirko Paslaugų pagal Sutartį ir nėra išnaudota Sutarties kaina.</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12. SUTARTIES NUTRAUKIMAS</w:t>
            </w:r>
          </w:p>
        </w:tc>
      </w:tr>
      <w:tr>
        <w:trPr>
          <w:trHeight w:val="300" w:hRule="atLeast"/>
        </w:trPr>
        <w:tc>
          <w:tcPr>
            <w:tcW w:w="3114" w:type="dxa"/>
            <w:gridSpan w:val="2"/>
            <w:tcBorders>
              <w:top w:val="single" w:sz="4" w:space="0" w:color="000000"/>
              <w:left w:val="single" w:sz="4" w:space="0" w:color="000000"/>
              <w:bottom w:val="single" w:sz="4" w:space="0" w:color="000000"/>
              <w:right w:val="single" w:sz="4" w:space="0" w:color="000000"/>
            </w:tcBorders>
          </w:tcPr>
          <w:p>
            <w:pPr>
              <w:pStyle w:val="Normal"/>
              <w:rPr/>
            </w:pPr>
            <w:r>
              <w:rPr>
                <w:b/>
              </w:rPr>
              <w:t>12.1. Sutarties nutraukimo pagrindai</w:t>
            </w:r>
          </w:p>
        </w:tc>
        <w:tc>
          <w:tcPr>
            <w:tcW w:w="64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t>Sutartis gali būti nutraukiama rašytiniu Šalių susitarimu arba vienašališkai, Bendrosiose sąlygose ir šiais Specialiosiose sąlygose nurodytais atvejais ir nustatyta tvarka.</w:t>
            </w:r>
          </w:p>
        </w:tc>
      </w:tr>
      <w:tr>
        <w:trPr>
          <w:trHeight w:val="300" w:hRule="atLeast"/>
        </w:trPr>
        <w:tc>
          <w:tcPr>
            <w:tcW w:w="3114" w:type="dxa"/>
            <w:gridSpan w:val="2"/>
            <w:tcBorders>
              <w:top w:val="single" w:sz="4" w:space="0" w:color="000000"/>
              <w:left w:val="single" w:sz="4" w:space="0" w:color="000000"/>
              <w:bottom w:val="single" w:sz="4" w:space="0" w:color="000000"/>
              <w:right w:val="single" w:sz="4" w:space="0" w:color="000000"/>
            </w:tcBorders>
          </w:tcPr>
          <w:p>
            <w:pPr>
              <w:pStyle w:val="Normal"/>
              <w:rPr/>
            </w:pPr>
            <w:r>
              <w:rPr>
                <w:b/>
              </w:rPr>
              <w:t>12.2. Esminiai Sutarties pažeidimai</w:t>
            </w:r>
          </w:p>
        </w:tc>
        <w:tc>
          <w:tcPr>
            <w:tcW w:w="6420" w:type="dxa"/>
            <w:gridSpan w:val="2"/>
            <w:tcBorders>
              <w:top w:val="single" w:sz="4" w:space="0" w:color="000000"/>
              <w:left w:val="single" w:sz="4" w:space="0" w:color="000000"/>
              <w:bottom w:val="single" w:sz="4" w:space="0" w:color="000000"/>
              <w:right w:val="single" w:sz="4" w:space="0" w:color="000000"/>
            </w:tcBorders>
          </w:tcPr>
          <w:p>
            <w:pPr>
              <w:pStyle w:val="Normal"/>
              <w:jc w:val="both"/>
              <w:rPr/>
            </w:pPr>
            <w:r>
              <w:rPr/>
              <w:t>12.2.1. jeigu Tiekėjas nevykdo prisiimtų įsipareigojimų už Sutartyje nustatytą Sutarties kainą / įkainius;</w:t>
            </w:r>
          </w:p>
          <w:p>
            <w:pPr>
              <w:pStyle w:val="Normal"/>
              <w:jc w:val="both"/>
              <w:rPr/>
            </w:pPr>
            <w:r>
              <w:rPr/>
              <w:t>12.2.2. jeigu paaiškėja, kad Tiekėjas nevykdo įsipareigojimų, kurie pasiūlymų vertinimo metu pirkimo dokumentuose buvo</w:t>
            </w:r>
            <w:r>
              <w:rPr>
                <w:color w:val="FF0000"/>
              </w:rPr>
              <w:t xml:space="preserve"> </w:t>
            </w:r>
            <w:r>
              <w:rPr/>
              <w:t>nustatyti kaip pasiūlymų vertinimo kriterijai ir už kuriuos Tiekėjui buvo skiriamos reikšmės, kai pasiūlymas vertintas pagal kainos / sąnaudų ir kokybės santykį ir Tiekėjas per 14 dienų neištaiso pažeidimų;</w:t>
            </w:r>
          </w:p>
          <w:p>
            <w:pPr>
              <w:pStyle w:val="Normal"/>
              <w:spacing w:lineRule="auto" w:line="252"/>
              <w:jc w:val="both"/>
              <w:rPr/>
            </w:pPr>
            <w:r>
              <w:rPr>
                <w:rFonts w:eastAsia="Arial"/>
              </w:rPr>
              <w:t>12.2.3. jeigu Tiekėjas nesilaiko Sutartyje nustatytų Paslaugų teikimo terminų 2 (du) kartus iš eilės arba vėluoja suteikti Paslaugas daugiau nei 30 dienų nuo užsakyme nurodyto prievolių įvykdymo termino;</w:t>
            </w:r>
          </w:p>
          <w:p>
            <w:pPr>
              <w:pStyle w:val="Normal"/>
              <w:tabs>
                <w:tab w:val="clear" w:pos="709"/>
                <w:tab w:val="left" w:pos="567" w:leader="none"/>
                <w:tab w:val="left" w:pos="851" w:leader="none"/>
                <w:tab w:val="left" w:pos="992" w:leader="none"/>
                <w:tab w:val="left" w:pos="1134" w:leader="none"/>
              </w:tabs>
              <w:spacing w:lineRule="auto" w:line="252"/>
              <w:jc w:val="both"/>
              <w:rPr/>
            </w:pPr>
            <w:r>
              <w:rPr>
                <w:rFonts w:eastAsia="Arial"/>
              </w:rPr>
              <w:t>12.2.4. jeigu Tiekėjas pažeidžia Paslaugų suteikimo terminus ir priskaičiuotų netesybų už vėlavimą suma viršija 20 (dvidešimt) proc. Pradinės sutarties vertės;</w:t>
            </w:r>
          </w:p>
          <w:p>
            <w:pPr>
              <w:pStyle w:val="Normal"/>
              <w:tabs>
                <w:tab w:val="clear" w:pos="709"/>
                <w:tab w:val="left" w:pos="567" w:leader="none"/>
                <w:tab w:val="left" w:pos="851" w:leader="none"/>
                <w:tab w:val="left" w:pos="992" w:leader="none"/>
                <w:tab w:val="left" w:pos="1134" w:leader="none"/>
              </w:tabs>
              <w:spacing w:lineRule="auto" w:line="252"/>
              <w:jc w:val="both"/>
              <w:rPr/>
            </w:pPr>
            <w:r>
              <w:rPr>
                <w:rFonts w:eastAsia="Arial"/>
              </w:rPr>
              <w:t>12.2.5. Tiekėjas pažeidžia Paslaugų suteikimo terminus ir dėl Paslaugų suteikimo vėlavimo Paslaugos tampa nebereikalingos;</w:t>
            </w:r>
          </w:p>
          <w:p>
            <w:pPr>
              <w:pStyle w:val="Normal"/>
              <w:tabs>
                <w:tab w:val="clear" w:pos="709"/>
                <w:tab w:val="left" w:pos="567" w:leader="none"/>
                <w:tab w:val="left" w:pos="851" w:leader="none"/>
                <w:tab w:val="left" w:pos="992" w:leader="none"/>
                <w:tab w:val="left" w:pos="1134" w:leader="none"/>
              </w:tabs>
              <w:spacing w:lineRule="auto" w:line="252"/>
              <w:jc w:val="both"/>
              <w:rPr/>
            </w:pPr>
            <w:r>
              <w:rPr>
                <w:rFonts w:eastAsia="Arial"/>
              </w:rPr>
              <w:t>12.2.6. Tiekėjas daugiau kaip 2 (du) kartus suteikia Paslaugas, kurios neatitinka Sutartyje ir (ar) įstatymuose nustatytų reikalavimų Paslaugoms;</w:t>
            </w:r>
          </w:p>
          <w:p>
            <w:pPr>
              <w:pStyle w:val="Normal"/>
              <w:tabs>
                <w:tab w:val="clear" w:pos="709"/>
                <w:tab w:val="left" w:pos="567" w:leader="none"/>
                <w:tab w:val="left" w:pos="851" w:leader="none"/>
                <w:tab w:val="left" w:pos="992" w:leader="none"/>
                <w:tab w:val="left" w:pos="1134" w:leader="none"/>
              </w:tabs>
              <w:spacing w:lineRule="auto" w:line="252"/>
              <w:jc w:val="both"/>
              <w:rPr/>
            </w:pPr>
            <w:r>
              <w:rPr>
                <w:rFonts w:eastAsia="Arial"/>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709"/>
                <w:tab w:val="left" w:pos="567" w:leader="none"/>
                <w:tab w:val="left" w:pos="851" w:leader="none"/>
                <w:tab w:val="left" w:pos="992" w:leader="none"/>
                <w:tab w:val="left" w:pos="1134" w:leader="none"/>
              </w:tabs>
              <w:spacing w:lineRule="auto" w:line="252"/>
              <w:jc w:val="both"/>
              <w:rPr/>
            </w:pPr>
            <w:r>
              <w:rPr>
                <w:rFonts w:eastAsia="Arial"/>
              </w:rPr>
              <w:t>12.2.8. Tiekėjas pažeidžia šios Sutarties nuostatas, reglamentuojančias konkurenciją, intelektinės nuosavybės ar konfidencialios informacijos valdymą;</w:t>
            </w:r>
          </w:p>
          <w:p>
            <w:pPr>
              <w:pStyle w:val="Normal"/>
              <w:spacing w:lineRule="auto" w:line="252"/>
              <w:jc w:val="both"/>
              <w:rPr>
                <w:rFonts w:eastAsia="Arial"/>
              </w:rPr>
            </w:pPr>
            <w:r>
              <w:rPr>
                <w:rFonts w:eastAsia="Arial"/>
              </w:rPr>
              <w:t>12.2.9. Tiekėjas pažeidžia Bendrųjų sąlygų nuostatas dėl Sutarties vykdymui pasitelkiamų naujų subtiekėjų ir (ar) specialistų / esamų subtiekėjų ir (ar) specialistų keitimo;</w:t>
            </w:r>
          </w:p>
          <w:p>
            <w:pPr>
              <w:pStyle w:val="Normal"/>
              <w:spacing w:lineRule="auto" w:line="252"/>
              <w:jc w:val="both"/>
              <w:rPr>
                <w:rFonts w:ascii="Times New Roman" w:hAnsi="Times New Roman" w:eastAsia="Times New Roman" w:cs="Times New Roman"/>
                <w:color w:themeColor="text2" w:val="000000"/>
                <w:lang w:val="lt-LT"/>
              </w:rPr>
            </w:pPr>
            <w:r>
              <w:rPr>
                <w:rFonts w:eastAsia="Arial"/>
              </w:rPr>
              <w:t>12.2.10. Tiekėjas 2 (du) kartus pažeidžia esminę Sutarties sąlygą.</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13. APLINKOS APSAUGOS IR SOCIALINIAI KRITERIJAI</w:t>
            </w:r>
          </w:p>
        </w:tc>
      </w:tr>
      <w:tr>
        <w:trPr>
          <w:trHeight w:val="300" w:hRule="atLeast"/>
        </w:trPr>
        <w:tc>
          <w:tcPr>
            <w:tcW w:w="3114" w:type="dxa"/>
            <w:gridSpan w:val="2"/>
            <w:tcBorders>
              <w:top w:val="single" w:sz="4" w:space="0" w:color="000000"/>
              <w:left w:val="single" w:sz="4" w:space="0" w:color="000000"/>
              <w:bottom w:val="single" w:sz="4" w:space="0" w:color="000000"/>
              <w:right w:val="single" w:sz="4" w:space="0" w:color="000000"/>
            </w:tcBorders>
          </w:tcPr>
          <w:p>
            <w:pPr>
              <w:pStyle w:val="Normal"/>
              <w:rPr/>
            </w:pPr>
            <w:r>
              <w:rPr>
                <w:rFonts w:ascii="Times New Roman" w:hAnsi="Times New Roman"/>
                <w:b/>
              </w:rPr>
              <w:t>13.1. Su perkamomis paslaugomis susiję  aplinkos apsaugos kriterijai</w:t>
            </w:r>
          </w:p>
        </w:tc>
        <w:tc>
          <w:tcPr>
            <w:tcW w:w="6420" w:type="dxa"/>
            <w:gridSpan w:val="2"/>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cs="Times New Roman"/>
              </w:rPr>
            </w:pPr>
            <w:r>
              <w:rPr>
                <w:rFonts w:cs="Times New Roman" w:ascii="Times New Roman" w:hAnsi="Times New Roman"/>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2022 m. gruodžio 13 d. įsakymas Nr. D1-401) 4 punktu, Pirkimas laikomas žaliuoju, nes tenkina 4.4.3 papunktyje nustatytą sąlygą t. y. perkama tik nematerialaus pobūdžio (intelektinė) paslauga, nesusijusi su materialaus objekto sukūrimu, kurios teikimo metu nėra numatomas reikšmingas neigiamas poveikis aplinkai, nesukuriamas taršos šaltinis ir negeneruojamos atliekos.</w:t>
            </w:r>
          </w:p>
        </w:tc>
      </w:tr>
      <w:tr>
        <w:trPr>
          <w:trHeight w:val="300" w:hRule="atLeast"/>
        </w:trPr>
        <w:tc>
          <w:tcPr>
            <w:tcW w:w="3114" w:type="dxa"/>
            <w:gridSpan w:val="2"/>
            <w:tcBorders>
              <w:top w:val="single" w:sz="4" w:space="0" w:color="000000"/>
              <w:left w:val="single" w:sz="4" w:space="0" w:color="000000"/>
              <w:bottom w:val="single" w:sz="4" w:space="0" w:color="000000"/>
              <w:right w:val="single" w:sz="4" w:space="0" w:color="000000"/>
            </w:tcBorders>
          </w:tcPr>
          <w:p>
            <w:pPr>
              <w:pStyle w:val="Normal"/>
              <w:rPr/>
            </w:pPr>
            <w:r>
              <w:rPr>
                <w:b/>
              </w:rPr>
              <w:t>13.2. Su perkamomis Paslaugomis susiję socialiniai kriterijai</w:t>
            </w:r>
          </w:p>
        </w:tc>
        <w:tc>
          <w:tcPr>
            <w:tcW w:w="6420" w:type="dxa"/>
            <w:gridSpan w:val="2"/>
            <w:tcBorders>
              <w:top w:val="single" w:sz="4" w:space="0" w:color="000000"/>
              <w:left w:val="single" w:sz="4" w:space="0" w:color="000000"/>
              <w:bottom w:val="single" w:sz="4" w:space="0" w:color="000000"/>
              <w:right w:val="single" w:sz="4" w:space="0" w:color="000000"/>
            </w:tcBorders>
          </w:tcPr>
          <w:p>
            <w:pPr>
              <w:pStyle w:val="Normal"/>
              <w:rPr/>
            </w:pPr>
            <w:r>
              <w:rPr>
                <w:shd w:fill="FFFFFF" w:val="clear"/>
              </w:rPr>
              <w:t>Netaikoma</w:t>
            </w:r>
          </w:p>
          <w:p>
            <w:pPr>
              <w:pStyle w:val="Normal"/>
              <w:rPr/>
            </w:pPr>
            <w:r>
              <w:rPr/>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14. BENDRŲJŲ SĄLYGŲ PAKEITIMAI IR PAPILDYMAI</w:t>
            </w:r>
          </w:p>
        </w:tc>
      </w:tr>
      <w:tr>
        <w:trPr>
          <w:trHeight w:val="300" w:hRule="atLeast"/>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15. SUTARTIES PRIEDAI</w:t>
            </w:r>
          </w:p>
        </w:tc>
      </w:tr>
      <w:tr>
        <w:trPr>
          <w:trHeight w:val="300" w:hRule="atLeast"/>
        </w:trPr>
        <w:tc>
          <w:tcPr>
            <w:tcW w:w="31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b/>
              </w:rPr>
              <w:t>15.1. Priedas Nr. 1</w:t>
            </w:r>
          </w:p>
        </w:tc>
        <w:tc>
          <w:tcPr>
            <w:tcW w:w="6420" w:type="dxa"/>
            <w:gridSpan w:val="2"/>
            <w:tcBorders>
              <w:top w:val="single" w:sz="4" w:space="0" w:color="000000"/>
              <w:left w:val="single" w:sz="4" w:space="0" w:color="000000"/>
              <w:bottom w:val="single" w:sz="4" w:space="0" w:color="000000"/>
              <w:right w:val="single" w:sz="4" w:space="0" w:color="000000"/>
            </w:tcBorders>
          </w:tcPr>
          <w:p>
            <w:pPr>
              <w:pStyle w:val="Normal"/>
              <w:rPr>
                <w:bCs/>
              </w:rPr>
            </w:pPr>
            <w:r>
              <w:rPr>
                <w:bCs/>
              </w:rPr>
              <w:t>Techninė specifikacija</w:t>
            </w:r>
          </w:p>
        </w:tc>
      </w:tr>
      <w:tr>
        <w:trPr>
          <w:trHeight w:val="300" w:hRule="atLeast"/>
        </w:trPr>
        <w:tc>
          <w:tcPr>
            <w:tcW w:w="3114"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b/>
              </w:rPr>
              <w:t>15.2. Priedas Nr. 2</w:t>
            </w:r>
          </w:p>
        </w:tc>
        <w:tc>
          <w:tcPr>
            <w:tcW w:w="6420" w:type="dxa"/>
            <w:gridSpan w:val="2"/>
            <w:tcBorders>
              <w:top w:val="single" w:sz="4" w:space="0" w:color="000000"/>
              <w:left w:val="single" w:sz="4" w:space="0" w:color="000000"/>
              <w:bottom w:val="single" w:sz="4" w:space="0" w:color="000000"/>
              <w:right w:val="single" w:sz="4" w:space="0" w:color="000000"/>
            </w:tcBorders>
          </w:tcPr>
          <w:p>
            <w:pPr>
              <w:pStyle w:val="Normal"/>
              <w:rPr>
                <w:bCs/>
              </w:rPr>
            </w:pPr>
            <w:r>
              <w:rPr>
                <w:bCs/>
              </w:rPr>
              <w:t>Pasiūlymas</w:t>
            </w:r>
          </w:p>
        </w:tc>
      </w:tr>
      <w:tr>
        <w:trPr>
          <w:trHeight w:val="300" w:hRule="atLeast"/>
        </w:trPr>
        <w:tc>
          <w:tcPr>
            <w:tcW w:w="3114" w:type="dxa"/>
            <w:gridSpan w:val="2"/>
            <w:tcBorders>
              <w:left w:val="single" w:sz="4" w:space="0" w:color="000000"/>
              <w:bottom w:val="single" w:sz="4" w:space="0" w:color="000000"/>
              <w:right w:val="single" w:sz="4" w:space="0" w:color="000000"/>
            </w:tcBorders>
          </w:tcPr>
          <w:p>
            <w:pPr>
              <w:pStyle w:val="Normal"/>
              <w:jc w:val="center"/>
              <w:rPr/>
            </w:pPr>
            <w:r>
              <w:rPr>
                <w:b/>
                <w:bCs/>
              </w:rPr>
              <w:t>15.3. Priedas Nr. 3</w:t>
            </w:r>
          </w:p>
        </w:tc>
        <w:tc>
          <w:tcPr>
            <w:tcW w:w="6420" w:type="dxa"/>
            <w:gridSpan w:val="2"/>
            <w:tcBorders>
              <w:left w:val="single" w:sz="4" w:space="0" w:color="000000"/>
              <w:bottom w:val="single" w:sz="4" w:space="0" w:color="000000"/>
              <w:right w:val="single" w:sz="4" w:space="0" w:color="000000"/>
            </w:tcBorders>
          </w:tcPr>
          <w:p>
            <w:pPr>
              <w:pStyle w:val="Normal"/>
              <w:jc w:val="both"/>
              <w:rPr>
                <w:bCs/>
              </w:rPr>
            </w:pPr>
            <w:r>
              <w:rPr>
                <w:bCs/>
              </w:rPr>
              <w:t xml:space="preserve">Sutarties vykdymui pasitelkiami subtiekėjai ir (ar) specialistai </w:t>
            </w:r>
            <w:r>
              <w:rPr>
                <w:bCs/>
                <w:i/>
                <w:iCs/>
              </w:rPr>
              <w:t>(pridedamas, jei pasitelkiami subtiekėjai ir (ar) specialistai)</w:t>
            </w:r>
          </w:p>
        </w:tc>
      </w:tr>
      <w:tr>
        <w:trPr/>
        <w:tc>
          <w:tcPr>
            <w:tcW w:w="9534" w:type="dxa"/>
            <w:gridSpan w:val="4"/>
            <w:tcBorders>
              <w:top w:val="single" w:sz="4" w:space="0" w:color="000000"/>
              <w:left w:val="single" w:sz="4" w:space="0" w:color="000000"/>
              <w:bottom w:val="single" w:sz="4" w:space="0" w:color="000000"/>
              <w:right w:val="single" w:sz="4" w:space="0" w:color="000000"/>
            </w:tcBorders>
          </w:tcPr>
          <w:p>
            <w:pPr>
              <w:pStyle w:val="Normal"/>
              <w:jc w:val="center"/>
              <w:rPr/>
            </w:pPr>
            <w:r>
              <w:rPr>
                <w:b/>
              </w:rPr>
              <w:t>16. ŠALIŲ ATSTOVŲ PARAŠAI</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b/>
              </w:rPr>
              <w:t>PIRKĖJAS</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pPr>
            <w:r>
              <w:rPr>
                <w:b/>
              </w:rPr>
              <w:t>TIEKĖJAS</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pPr>
            <w:r>
              <w:rPr>
                <w:color w:val="4472C4"/>
              </w:rPr>
              <w:t>(nurodomos atstovo pareigos, vardas, pavardė)</w:t>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4472C4"/>
              </w:rPr>
              <w:t>(nurodomos atstovo pareigos, vardas, pavardė)</w:t>
            </w:r>
          </w:p>
        </w:tc>
      </w:tr>
      <w:tr>
        <w:trPr/>
        <w:tc>
          <w:tcPr>
            <w:tcW w:w="5225"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rPr>
            </w:pPr>
            <w:r>
              <w:rPr>
                <w:b/>
                <w:color w:val="4472C4"/>
              </w:rPr>
            </w:r>
          </w:p>
          <w:p>
            <w:pPr>
              <w:pStyle w:val="Normal"/>
              <w:jc w:val="center"/>
              <w:rPr/>
            </w:pPr>
            <w:r>
              <w:rPr>
                <w:b/>
                <w:color w:val="4472C4"/>
              </w:rPr>
              <w:t>(parašas)</w:t>
            </w:r>
          </w:p>
          <w:p>
            <w:pPr>
              <w:pStyle w:val="Normal"/>
              <w:jc w:val="center"/>
              <w:rPr>
                <w:b/>
                <w:color w:val="4472C4"/>
              </w:rPr>
            </w:pPr>
            <w:r>
              <w:rPr>
                <w:b/>
                <w:color w:val="4472C4"/>
              </w:rPr>
            </w:r>
          </w:p>
          <w:p>
            <w:pPr>
              <w:pStyle w:val="Normal"/>
              <w:jc w:val="center"/>
              <w:rPr>
                <w:b/>
                <w:color w:val="4472C4"/>
              </w:rPr>
            </w:pPr>
            <w:r>
              <w:rPr>
                <w:b/>
                <w:color w:val="4472C4"/>
              </w:rPr>
            </w:r>
          </w:p>
        </w:tc>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rPr>
            </w:pPr>
            <w:r>
              <w:rPr>
                <w:b/>
                <w:color w:val="4472C4"/>
              </w:rPr>
            </w:r>
          </w:p>
          <w:p>
            <w:pPr>
              <w:pStyle w:val="Normal"/>
              <w:jc w:val="center"/>
              <w:rPr/>
            </w:pPr>
            <w:r>
              <w:rPr>
                <w:b/>
                <w:color w:val="4472C4"/>
              </w:rPr>
              <w:t>(parašas)</w:t>
            </w:r>
          </w:p>
        </w:tc>
      </w:tr>
    </w:tbl>
    <w:p>
      <w:pPr>
        <w:pStyle w:val="Normal"/>
        <w:rPr/>
      </w:pPr>
      <w:r>
        <w:rPr/>
      </w:r>
    </w:p>
    <w:p>
      <w:pPr>
        <w:pStyle w:val="Normal"/>
        <w:tabs>
          <w:tab w:val="clear" w:pos="709"/>
          <w:tab w:val="left" w:pos="5400" w:leader="none"/>
        </w:tabs>
        <w:jc w:val="center"/>
        <w:textAlignment w:val="center"/>
        <w:rPr/>
      </w:pPr>
      <w:r>
        <w:rPr>
          <w:b/>
          <w:bCs/>
        </w:rPr>
        <w:t>______________</w:t>
      </w:r>
    </w:p>
    <w:sectPr>
      <w:footerReference w:type="default" r:id="rId4"/>
      <w:type w:val="nextPage"/>
      <w:pgSz w:w="12240" w:h="15840"/>
      <w:pgMar w:left="1701" w:right="567" w:gutter="0" w:header="0" w:top="1134" w:footer="72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9"/>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Liberation Serif" w:hAnsi="Liberation Serif" w:eastAsia="NSimSun" w:cs="Arial"/>
      <w:color w:val="000000"/>
      <w:kern w:val="2"/>
      <w:sz w:val="24"/>
      <w:szCs w:val="24"/>
      <w:lang w:val="lt-LT" w:eastAsia="zh-CN" w:bidi="hi-IN"/>
    </w:rPr>
  </w:style>
  <w:style w:type="character" w:styleId="DefaultParagraphFont" w:default="1">
    <w:name w:val="Default Paragraph Font"/>
    <w:uiPriority w:val="1"/>
    <w:semiHidden/>
    <w:unhideWhenUsed/>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DefaultParagraphFont1" w:customStyle="1">
    <w:name w:val="Default Paragraph Font1"/>
    <w:qFormat/>
    <w:rPr/>
  </w:style>
  <w:style w:type="character" w:styleId="Other" w:customStyle="1">
    <w:name w:val="Other_"/>
    <w:basedOn w:val="DefaultParagraphFont1"/>
    <w:qFormat/>
    <w:rPr>
      <w:rFonts w:ascii="Times New Roman" w:hAnsi="Times New Roman" w:eastAsia="Times New Roman" w:cs="Times New Roman"/>
      <w:i/>
      <w:iCs/>
      <w:color w:val="000000"/>
    </w:rPr>
  </w:style>
  <w:style w:type="character" w:styleId="BodyTextChar" w:customStyle="1">
    <w:name w:val="Body Text Char"/>
    <w:basedOn w:val="DefaultParagraphFont1"/>
    <w:qFormat/>
    <w:rPr/>
  </w:style>
  <w:style w:type="character" w:styleId="Strong">
    <w:name w:val="Strong"/>
    <w:basedOn w:val="DefaultParagraphFont1"/>
    <w:qFormat/>
    <w:rPr>
      <w:b/>
      <w:bCs/>
    </w:rPr>
  </w:style>
  <w:style w:type="character" w:styleId="Hyperlink">
    <w:name w:val="Hyperlink"/>
    <w:basedOn w:val="DefaultParagraphFont"/>
    <w:uiPriority w:val="99"/>
    <w:unhideWhenUsed/>
    <w:rsid w:val="003403cf"/>
    <w:rPr>
      <w:color w:themeColor="hyperlink" w:val="0000EE"/>
      <w:u w:val="single"/>
    </w:rPr>
  </w:style>
  <w:style w:type="character" w:styleId="UnresolvedMention">
    <w:name w:val="Unresolved Mention"/>
    <w:basedOn w:val="DefaultParagraphFont"/>
    <w:uiPriority w:val="99"/>
    <w:semiHidden/>
    <w:unhideWhenUsed/>
    <w:qFormat/>
    <w:rsid w:val="003403cf"/>
    <w:rPr>
      <w:color w:val="605E5C"/>
      <w:shd w:fill="E1DFDD" w:val="clear"/>
    </w:rPr>
  </w:style>
  <w:style w:type="character" w:styleId="SraopastraipaDiagrama" w:customStyle="1">
    <w:name w:val="Sąrašo pastraipa Diagrama"/>
    <w:link w:val="ListParagraph"/>
    <w:uiPriority w:val="34"/>
    <w:qFormat/>
    <w:rsid w:val="00196fb8"/>
    <w:rPr>
      <w:rFonts w:eastAsia="Arial" w:eastAsiaTheme="minorHAnsi"/>
      <w:color w:val="000000"/>
      <w:sz w:val="22"/>
      <w:szCs w:val="22"/>
      <w:lang w:val="lt-LT" w:eastAsia="en-US"/>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Normal1" w:customStyle="1">
    <w:name w:val="Normal1"/>
    <w:qFormat/>
    <w:pPr>
      <w:widowControl/>
      <w:suppressAutoHyphens w:val="true"/>
      <w:overflowPunct w:val="true"/>
      <w:bidi w:val="0"/>
      <w:spacing w:before="0" w:after="0"/>
      <w:jc w:val="left"/>
    </w:pPr>
    <w:rPr>
      <w:rFonts w:ascii="Liberation Serif" w:hAnsi="Liberation Serif" w:eastAsia="NSimSun" w:cs="Arial"/>
      <w:color w:val="000000"/>
      <w:kern w:val="2"/>
      <w:sz w:val="24"/>
      <w:szCs w:val="24"/>
      <w:lang w:val="en-US" w:eastAsia="zh-CN" w:bidi="hi-IN"/>
    </w:rPr>
  </w:style>
  <w:style w:type="paragraph" w:styleId="FootnoteText">
    <w:name w:val="Footnote Text"/>
    <w:basedOn w:val="Normal"/>
    <w:pPr>
      <w:suppressLineNumbers/>
      <w:ind w:hanging="340" w:left="340"/>
    </w:pPr>
    <w:rPr>
      <w:sz w:val="20"/>
      <w:szCs w:val="20"/>
    </w:rPr>
  </w:style>
  <w:style w:type="paragraph" w:styleId="EndnoteText">
    <w:name w:val="Endnote Text"/>
    <w:basedOn w:val="Normal"/>
    <w:pPr>
      <w:suppressLineNumbers/>
      <w:ind w:hanging="340" w:left="340"/>
    </w:pPr>
    <w:rPr>
      <w:sz w:val="20"/>
      <w:szCs w:val="20"/>
    </w:rPr>
  </w:style>
  <w:style w:type="paragraph" w:styleId="Other1" w:customStyle="1">
    <w:name w:val="Other"/>
    <w:basedOn w:val="Normal"/>
    <w:qFormat/>
    <w:pPr>
      <w:widowControl w:val="false"/>
      <w:spacing w:lineRule="auto" w:line="276"/>
    </w:pPr>
    <w:rPr>
      <w:i/>
      <w:iCs/>
      <w:sz w:val="20"/>
      <w:szCs w:val="22"/>
    </w:rPr>
  </w:style>
  <w:style w:type="paragraph" w:styleId="HeaderandFooter" w:customStyle="1">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style>
  <w:style w:type="paragraph" w:styleId="ListParagraph">
    <w:name w:val="List Paragraph"/>
    <w:basedOn w:val="Normal"/>
    <w:link w:val="SraopastraipaDiagrama"/>
    <w:uiPriority w:val="34"/>
    <w:qFormat/>
    <w:pPr>
      <w:spacing w:before="0" w:after="160"/>
      <w:ind w:left="720"/>
      <w:contextualSpacing/>
    </w:pPr>
    <w:rPr>
      <w:rFonts w:eastAsia="Arial" w:eastAsiaTheme="minorHAnsi"/>
      <w:sz w:val="22"/>
      <w:szCs w:val="22"/>
      <w:lang w:eastAsia="en-US"/>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en-US" w:eastAsia="zh-CN" w:bidi="hi-I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Cs w:val="20"/>
      <w:lang w:val="en-US"/>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auto"/>
      <w:kern w:val="2"/>
      <w:sz w:val="24"/>
      <w:szCs w:val="24"/>
      <w:lang w:val="en-US" w:eastAsia="zh-CN" w:bidi="hi-IN"/>
    </w:rPr>
  </w:style>
  <w:style w:type="paragraph" w:styleId="NoSpacing">
    <w:name w:val="No Spacing"/>
    <w:qFormat/>
    <w:pPr>
      <w:widowControl/>
      <w:suppressAutoHyphens w:val="true"/>
      <w:bidi w:val="0"/>
      <w:spacing w:before="0" w:after="0"/>
      <w:jc w:val="left"/>
    </w:pPr>
    <w:rPr>
      <w:rFonts w:ascii="Calibri" w:hAnsi="Calibri" w:eastAsia="DejaVu Sans" w:eastAsiaTheme="minorEastAsia" w:cs="Arial"/>
      <w:color w:val="auto"/>
      <w:kern w:val="2"/>
      <w:sz w:val="21"/>
      <w:szCs w:val="21"/>
      <w:lang w:eastAsia="lt-LT" w:val="en-US" w:bidi="hi-IN"/>
    </w:rPr>
  </w:style>
  <w:style w:type="paragraph" w:styleId="S1lygis" w:customStyle="1">
    <w:name w:val="_S 1 lygis"/>
    <w:basedOn w:val="Normal"/>
    <w:qFormat/>
    <w:rsid w:val="0073514b"/>
    <w:pPr>
      <w:numPr>
        <w:ilvl w:val="0"/>
        <w:numId w:val="3"/>
      </w:numPr>
      <w:overflowPunct w:val="false"/>
      <w:spacing w:before="240" w:after="240"/>
    </w:pPr>
    <w:rPr>
      <w:rFonts w:ascii="Times New Roman" w:hAnsi="Times New Roman" w:eastAsia="Times New Roman" w:cs="Times New Roman"/>
      <w:b/>
      <w:color w:val="auto"/>
      <w:kern w:val="0"/>
      <w:lang w:eastAsia="lt-LT" w:bidi="ar-SA"/>
    </w:rPr>
  </w:style>
  <w:style w:type="paragraph" w:styleId="S2lygis" w:customStyle="1">
    <w:name w:val="_S 2 lygis"/>
    <w:basedOn w:val="Normal"/>
    <w:qFormat/>
    <w:rsid w:val="0073514b"/>
    <w:pPr>
      <w:numPr>
        <w:ilvl w:val="1"/>
        <w:numId w:val="3"/>
      </w:numPr>
      <w:overflowPunct w:val="false"/>
      <w:spacing w:before="120" w:after="120"/>
      <w:jc w:val="both"/>
    </w:pPr>
    <w:rPr>
      <w:rFonts w:ascii="Times New Roman" w:hAnsi="Times New Roman" w:eastAsia="Times New Roman" w:cs="Times New Roman"/>
      <w:color w:val="auto"/>
      <w:kern w:val="0"/>
      <w:lang w:eastAsia="lt-LT" w:bidi="ar-SA"/>
    </w:rPr>
  </w:style>
  <w:style w:type="paragraph" w:styleId="S3lygis" w:customStyle="1">
    <w:name w:val="_S 3 lygis"/>
    <w:basedOn w:val="S2lygis"/>
    <w:qFormat/>
    <w:rsid w:val="0073514b"/>
    <w:pPr/>
    <w:rPr/>
  </w:style>
  <w:style w:type="paragraph" w:styleId="Revision">
    <w:name w:val="Revision"/>
    <w:uiPriority w:val="99"/>
    <w:semiHidden/>
    <w:qFormat/>
    <w:rsid w:val="002e4547"/>
    <w:pPr>
      <w:widowControl/>
      <w:suppressAutoHyphens w:val="false"/>
      <w:bidi w:val="0"/>
      <w:spacing w:before="0" w:after="0"/>
      <w:jc w:val="left"/>
    </w:pPr>
    <w:rPr>
      <w:rFonts w:cs="Mangal" w:ascii="Liberation Serif" w:hAnsi="Liberation Serif" w:eastAsia="NSimSun"/>
      <w:color w:val="000000"/>
      <w:kern w:val="2"/>
      <w:sz w:val="24"/>
      <w:szCs w:val="21"/>
      <w:lang w:val="lt-LT" w:eastAsia="zh-CN" w:bidi="hi-IN"/>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_x0105_skaitosiraktaisuRa_x0161_ele xmlns="34a7ed64-432f-4597-91d7-8ecdfaa554c1" xsi:nil="true"/>
    <lcf76f155ced4ddcb4097134ff3c332f xmlns="34a7ed64-432f-4597-91d7-8ecdfaa554c1">
      <Terms xmlns="http://schemas.microsoft.com/office/infopath/2007/PartnerControls"/>
    </lcf76f155ced4ddcb4097134ff3c332f>
    <TaxCatchAll xmlns="6278c960-4695-481e-a734-54ce7c355f4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6" ma:contentTypeDescription="Create a new document." ma:contentTypeScope="" ma:versionID="a54f6f905ef5b4dd7ee1b29c9edebc1b">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6aa46341172f20f91d7862f887850e88"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3EFAB-5F39-4D22-BCCB-819C6E4E822F}">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customXml/itemProps2.xml><?xml version="1.0" encoding="utf-8"?>
<ds:datastoreItem xmlns:ds="http://schemas.openxmlformats.org/officeDocument/2006/customXml" ds:itemID="{DD1DFACD-AC3F-423C-8564-496757989646}">
  <ds:schemaRefs>
    <ds:schemaRef ds:uri="http://schemas.microsoft.com/sharepoint/v3/contenttype/forms"/>
  </ds:schemaRefs>
</ds:datastoreItem>
</file>

<file path=customXml/itemProps3.xml><?xml version="1.0" encoding="utf-8"?>
<ds:datastoreItem xmlns:ds="http://schemas.openxmlformats.org/officeDocument/2006/customXml" ds:itemID="{D592D247-6398-40C7-BE8C-989EF3006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Application>LibreOffice/7.6.4.1$Windows_X86_64 LibreOffice_project/e19e193f88cd6c0525a17fb7a176ed8e6a3e2aa1</Application>
  <AppVersion>15.0000</AppVersion>
  <Pages>6</Pages>
  <Words>2477</Words>
  <Characters>17176</Characters>
  <CharactersWithSpaces>19459</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2025-04-18T05:00:00Z</dcterms:created>
  <dc:creator>Darius Kaminskas</dc:creator>
  <dc:description/>
  <dc:language>en-US</dc:language>
  <cp:lastModifiedBy>Juratė Miceikienė</cp:lastModifiedBy>
  <dcterms:modified xsi:type="dcterms:W3CDTF">2025-05-07T03:20:00Z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ies>
</file>