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19"/>
        <w:gridCol w:w="11379"/>
      </w:tblGrid>
      <w:tr w:rsidR="00E9202F" w:rsidRPr="00904155" w14:paraId="2DAF950C" w14:textId="77777777" w:rsidTr="00A650C6">
        <w:tc>
          <w:tcPr>
            <w:tcW w:w="1329" w:type="pct"/>
            <w:shd w:val="clear" w:color="auto" w:fill="FFFFCC"/>
            <w:vAlign w:val="center"/>
          </w:tcPr>
          <w:p w14:paraId="55DCCB41" w14:textId="456AD518" w:rsidR="00E9202F" w:rsidRPr="00904155" w:rsidRDefault="003819D8" w:rsidP="00E9202F">
            <w:pPr>
              <w:rPr>
                <w:rFonts w:asciiTheme="majorHAnsi" w:hAnsiTheme="majorHAnsi" w:cstheme="majorHAnsi"/>
                <w:b/>
                <w:i w:val="0"/>
                <w:sz w:val="24"/>
                <w:szCs w:val="24"/>
                <w:lang w:val="lt-LT"/>
              </w:rPr>
            </w:pPr>
            <w:r>
              <w:rPr>
                <w:rFonts w:asciiTheme="majorHAnsi" w:hAnsiTheme="majorHAnsi" w:cstheme="majorHAnsi"/>
                <w:b/>
                <w:i w:val="0"/>
                <w:color w:val="548DD4"/>
                <w:sz w:val="24"/>
                <w:szCs w:val="24"/>
                <w:lang w:val="lt-LT"/>
              </w:rPr>
              <w:t>3,</w:t>
            </w:r>
            <w:r w:rsidR="00A650C6"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505522AE" w:rsidR="00E9202F" w:rsidRPr="00FE5986" w:rsidRDefault="000330D3" w:rsidP="00FE5986">
            <w:pPr>
              <w:rPr>
                <w:rFonts w:asciiTheme="majorHAnsi" w:hAnsiTheme="majorHAnsi" w:cstheme="majorHAnsi"/>
                <w:b/>
                <w:i w:val="0"/>
                <w:szCs w:val="24"/>
                <w:lang w:val="lt-LT" w:eastAsia="lt-LT"/>
              </w:rPr>
            </w:pPr>
            <w:r w:rsidRPr="000330D3">
              <w:rPr>
                <w:rFonts w:asciiTheme="majorHAnsi" w:hAnsiTheme="majorHAnsi" w:cstheme="majorHAnsi"/>
                <w:b/>
                <w:i w:val="0"/>
                <w:szCs w:val="24"/>
                <w:lang w:val="lt-LT" w:eastAsia="lt-LT"/>
              </w:rPr>
              <w:t>Viešojo judriojo telefono ryšio paslaug</w:t>
            </w:r>
            <w:r w:rsidR="00870652">
              <w:rPr>
                <w:rFonts w:asciiTheme="majorHAnsi" w:hAnsiTheme="majorHAnsi" w:cstheme="majorHAnsi"/>
                <w:b/>
                <w:i w:val="0"/>
                <w:szCs w:val="24"/>
                <w:lang w:val="lt-LT" w:eastAsia="lt-LT"/>
              </w:rPr>
              <w:t>os centralizuotas pirkimas</w:t>
            </w:r>
            <w:r w:rsidRPr="000330D3">
              <w:rPr>
                <w:rFonts w:asciiTheme="majorHAnsi" w:hAnsiTheme="majorHAnsi" w:cstheme="majorHAnsi"/>
                <w:b/>
                <w:i w:val="0"/>
                <w:szCs w:val="24"/>
                <w:lang w:val="lt-LT" w:eastAsia="lt-LT"/>
              </w:rPr>
              <w:t xml:space="preserve"> </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4"/>
        <w:gridCol w:w="6217"/>
        <w:gridCol w:w="7375"/>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198679B4" w:rsidR="00E9202F" w:rsidRPr="008B3DE4" w:rsidRDefault="003819D8" w:rsidP="00E9202F">
            <w:pPr>
              <w:rPr>
                <w:rFonts w:asciiTheme="majorHAnsi" w:hAnsiTheme="majorHAnsi" w:cstheme="majorHAnsi"/>
                <w:i w:val="0"/>
                <w:lang w:val="lt-LT"/>
              </w:rPr>
            </w:pPr>
            <w:r>
              <w:rPr>
                <w:rFonts w:asciiTheme="majorHAnsi" w:hAnsiTheme="majorHAnsi" w:cstheme="majorHAnsi"/>
                <w:i w:val="0"/>
                <w:lang w:val="lt-LT"/>
              </w:rPr>
              <w:t xml:space="preserve">Išteklių agentūra </w:t>
            </w:r>
            <w:r w:rsidR="00305BFF" w:rsidRPr="008B3DE4">
              <w:rPr>
                <w:rFonts w:asciiTheme="majorHAnsi" w:hAnsiTheme="majorHAnsi" w:cstheme="majorHAnsi"/>
                <w:i w:val="0"/>
                <w:lang w:val="lt-LT"/>
              </w:rPr>
              <w:t>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tc>
          <w:tcPr>
            <w:tcW w:w="2516" w:type="pct"/>
            <w:vAlign w:val="center"/>
          </w:tcPr>
          <w:p w14:paraId="3AA8C4A6" w14:textId="51FDEA90" w:rsidR="00E9202F" w:rsidRPr="00904155" w:rsidRDefault="00977CF9" w:rsidP="00977CF9">
            <w:pPr>
              <w:rPr>
                <w:rFonts w:asciiTheme="majorHAnsi" w:hAnsiTheme="majorHAnsi" w:cstheme="majorHAnsi"/>
                <w:i w:val="0"/>
                <w:lang w:val="lt-LT"/>
              </w:rPr>
            </w:pPr>
            <w:r>
              <w:rPr>
                <w:rFonts w:asciiTheme="majorHAnsi" w:hAnsiTheme="majorHAnsi" w:cstheme="majorHAnsi"/>
                <w:i w:val="0"/>
                <w:lang w:val="lt-LT"/>
              </w:rPr>
              <w:t>Dalia Vienažindytė, tel. 271 8877</w:t>
            </w:r>
            <w:r w:rsidR="00671DDD" w:rsidRPr="00671DDD">
              <w:rPr>
                <w:rFonts w:asciiTheme="majorHAnsi" w:hAnsiTheme="majorHAnsi" w:cstheme="majorHAnsi"/>
                <w:i w:val="0"/>
                <w:lang w:val="lt-LT"/>
              </w:rPr>
              <w:t xml:space="preserve">, el. p. </w:t>
            </w:r>
            <w:r>
              <w:rPr>
                <w:rFonts w:asciiTheme="majorHAnsi" w:hAnsiTheme="majorHAnsi" w:cstheme="majorHAnsi"/>
                <w:i w:val="0"/>
                <w:lang w:val="lt-LT"/>
              </w:rPr>
              <w:t>dalia.vienazindyte</w:t>
            </w:r>
            <w:r w:rsidR="00671DDD" w:rsidRPr="00671DDD">
              <w:rPr>
                <w:rFonts w:asciiTheme="majorHAnsi" w:hAnsiTheme="majorHAnsi" w:cstheme="majorHAnsi"/>
                <w:i w:val="0"/>
                <w:lang w:val="lt-LT"/>
              </w:rPr>
              <w:t>@vrm.lt</w:t>
            </w:r>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6767EBB5" w:rsidR="00E9202F" w:rsidRPr="00904155" w:rsidRDefault="0006259E" w:rsidP="00E9202F">
            <w:pPr>
              <w:rPr>
                <w:rFonts w:asciiTheme="majorHAnsi" w:hAnsiTheme="majorHAnsi" w:cstheme="majorHAnsi"/>
                <w:i w:val="0"/>
                <w:lang w:val="lt-LT"/>
              </w:rPr>
            </w:pPr>
            <w:r>
              <w:rPr>
                <w:rFonts w:asciiTheme="majorHAnsi" w:hAnsiTheme="majorHAnsi" w:cstheme="majorHAnsi"/>
                <w:i w:val="0"/>
                <w:lang w:val="lt-LT"/>
              </w:rPr>
              <w:t>Paslaugos</w:t>
            </w:r>
            <w:r w:rsidR="00147BD7">
              <w:rPr>
                <w:rFonts w:asciiTheme="majorHAnsi" w:hAnsiTheme="majorHAnsi" w:cstheme="majorHAnsi"/>
                <w:i w:val="0"/>
                <w:lang w:val="lt-LT"/>
              </w:rPr>
              <w:t xml:space="preserve"> </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p>
        </w:tc>
        <w:tc>
          <w:tcPr>
            <w:tcW w:w="2516" w:type="pct"/>
            <w:vAlign w:val="center"/>
          </w:tcPr>
          <w:p w14:paraId="350D37E5" w14:textId="71468BB6"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r w:rsidR="00147BD7">
              <w:rPr>
                <w:rFonts w:asciiTheme="majorHAnsi" w:hAnsiTheme="majorHAnsi" w:cstheme="majorHAnsi"/>
                <w:i w:val="0"/>
                <w:lang w:val="lt-LT"/>
              </w:rPr>
              <w:t xml:space="preserve"> (1 pod)</w:t>
            </w:r>
            <w:bookmarkStart w:id="0" w:name="_GoBack"/>
            <w:bookmarkEnd w:id="0"/>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465D17FE" w:rsidR="00E9202F" w:rsidRPr="00FE5986" w:rsidRDefault="00147BD7" w:rsidP="005D0440">
            <w:pPr>
              <w:tabs>
                <w:tab w:val="center" w:pos="2015"/>
              </w:tabs>
              <w:rPr>
                <w:rFonts w:asciiTheme="majorHAnsi" w:hAnsiTheme="majorHAnsi" w:cstheme="majorHAnsi"/>
                <w:b/>
                <w:i w:val="0"/>
                <w:highlight w:val="yellow"/>
                <w:lang w:val="lt-LT"/>
              </w:rPr>
            </w:pPr>
            <w:r>
              <w:rPr>
                <w:rFonts w:asciiTheme="majorHAnsi" w:hAnsiTheme="majorHAnsi" w:cstheme="majorHAnsi"/>
                <w:b/>
                <w:i w:val="0"/>
                <w:lang w:val="lt-LT"/>
              </w:rPr>
              <w:t>-</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184A7672" w14:textId="37462F4A" w:rsidR="00403333" w:rsidRPr="00904155" w:rsidRDefault="00403333" w:rsidP="00403333">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r w:rsidR="00147BD7">
        <w:rPr>
          <w:rFonts w:asciiTheme="majorHAnsi" w:eastAsia="Arial" w:hAnsiTheme="majorHAnsi" w:cstheme="majorHAnsi"/>
          <w:i w:val="0"/>
          <w:color w:val="000000"/>
          <w:sz w:val="24"/>
          <w:szCs w:val="24"/>
          <w:lang w:eastAsia="ja-JP"/>
        </w:rPr>
        <w:t xml:space="preserve"> ir rinkos dalyvių atsakymai:</w:t>
      </w:r>
    </w:p>
    <w:tbl>
      <w:tblPr>
        <w:tblStyle w:val="Lentelstinklelis1"/>
        <w:tblW w:w="14596" w:type="dxa"/>
        <w:tblLook w:val="04A0" w:firstRow="1" w:lastRow="0" w:firstColumn="1" w:lastColumn="0" w:noHBand="0" w:noVBand="1"/>
      </w:tblPr>
      <w:tblGrid>
        <w:gridCol w:w="796"/>
        <w:gridCol w:w="4243"/>
        <w:gridCol w:w="5729"/>
        <w:gridCol w:w="3828"/>
      </w:tblGrid>
      <w:tr w:rsidR="007B4D5A" w:rsidRPr="00685431" w14:paraId="3B2BD185" w14:textId="34FA5CD7" w:rsidTr="0067602B">
        <w:trPr>
          <w:trHeight w:val="20"/>
        </w:trPr>
        <w:tc>
          <w:tcPr>
            <w:tcW w:w="0" w:type="auto"/>
            <w:shd w:val="clear" w:color="auto" w:fill="F2F2F2" w:themeFill="background1" w:themeFillShade="F2"/>
          </w:tcPr>
          <w:p w14:paraId="7BAEBFD6" w14:textId="77777777" w:rsidR="007B4D5A" w:rsidRPr="00685431" w:rsidRDefault="007B4D5A" w:rsidP="00FF45A6">
            <w:pPr>
              <w:jc w:val="center"/>
              <w:rPr>
                <w:rFonts w:asciiTheme="majorHAnsi" w:hAnsiTheme="majorHAnsi" w:cstheme="majorHAnsi"/>
                <w:b/>
                <w:i w:val="0"/>
                <w:sz w:val="24"/>
                <w:szCs w:val="24"/>
              </w:rPr>
            </w:pPr>
            <w:r w:rsidRPr="00685431">
              <w:rPr>
                <w:rFonts w:asciiTheme="majorHAnsi" w:hAnsiTheme="majorHAnsi" w:cstheme="majorHAnsi"/>
                <w:b/>
                <w:i w:val="0"/>
                <w:sz w:val="24"/>
                <w:szCs w:val="24"/>
              </w:rPr>
              <w:t>Eil. Nr.</w:t>
            </w:r>
          </w:p>
        </w:tc>
        <w:tc>
          <w:tcPr>
            <w:tcW w:w="4243" w:type="dxa"/>
            <w:shd w:val="clear" w:color="auto" w:fill="F2F2F2" w:themeFill="background1" w:themeFillShade="F2"/>
            <w:vAlign w:val="center"/>
          </w:tcPr>
          <w:p w14:paraId="7A027F6E" w14:textId="77777777" w:rsidR="007B4D5A" w:rsidRPr="00685431" w:rsidRDefault="007B4D5A" w:rsidP="00FF45A6">
            <w:pPr>
              <w:jc w:val="center"/>
              <w:rPr>
                <w:rFonts w:asciiTheme="majorHAnsi" w:hAnsiTheme="majorHAnsi" w:cstheme="majorHAnsi"/>
                <w:b/>
                <w:i w:val="0"/>
                <w:sz w:val="24"/>
                <w:szCs w:val="24"/>
              </w:rPr>
            </w:pPr>
            <w:r w:rsidRPr="00685431">
              <w:rPr>
                <w:rFonts w:asciiTheme="majorHAnsi" w:hAnsiTheme="majorHAnsi" w:cstheme="majorHAnsi"/>
                <w:b/>
                <w:i w:val="0"/>
                <w:sz w:val="24"/>
                <w:szCs w:val="24"/>
              </w:rPr>
              <w:t>Klausimas</w:t>
            </w:r>
          </w:p>
        </w:tc>
        <w:tc>
          <w:tcPr>
            <w:tcW w:w="5729" w:type="dxa"/>
            <w:shd w:val="clear" w:color="auto" w:fill="F2F2F2" w:themeFill="background1" w:themeFillShade="F2"/>
            <w:vAlign w:val="center"/>
          </w:tcPr>
          <w:p w14:paraId="4CDFA78E" w14:textId="0BD393BC" w:rsidR="007B4D5A" w:rsidRPr="00685431" w:rsidRDefault="007B4D5A" w:rsidP="00FF45A6">
            <w:pPr>
              <w:jc w:val="center"/>
              <w:rPr>
                <w:rFonts w:asciiTheme="majorHAnsi" w:hAnsiTheme="majorHAnsi" w:cstheme="majorHAnsi"/>
                <w:b/>
                <w:i w:val="0"/>
                <w:sz w:val="24"/>
                <w:szCs w:val="24"/>
              </w:rPr>
            </w:pPr>
            <w:r w:rsidRPr="00685431">
              <w:rPr>
                <w:rFonts w:asciiTheme="majorHAnsi" w:hAnsiTheme="majorHAnsi" w:cstheme="majorHAnsi"/>
                <w:b/>
                <w:i w:val="0"/>
                <w:sz w:val="24"/>
                <w:szCs w:val="24"/>
              </w:rPr>
              <w:t xml:space="preserve">Tiekėjo </w:t>
            </w:r>
            <w:r>
              <w:rPr>
                <w:rFonts w:asciiTheme="majorHAnsi" w:hAnsiTheme="majorHAnsi" w:cstheme="majorHAnsi"/>
                <w:b/>
                <w:i w:val="0"/>
                <w:sz w:val="24"/>
                <w:szCs w:val="24"/>
              </w:rPr>
              <w:t xml:space="preserve">X </w:t>
            </w:r>
            <w:r w:rsidRPr="00685431">
              <w:rPr>
                <w:rFonts w:asciiTheme="majorHAnsi" w:hAnsiTheme="majorHAnsi" w:cstheme="majorHAnsi"/>
                <w:b/>
                <w:i w:val="0"/>
                <w:sz w:val="24"/>
                <w:szCs w:val="24"/>
              </w:rPr>
              <w:t>atsakymas</w:t>
            </w:r>
          </w:p>
        </w:tc>
        <w:tc>
          <w:tcPr>
            <w:tcW w:w="3828" w:type="dxa"/>
            <w:shd w:val="clear" w:color="auto" w:fill="F2F2F2" w:themeFill="background1" w:themeFillShade="F2"/>
          </w:tcPr>
          <w:p w14:paraId="40760287" w14:textId="77777777" w:rsidR="005970B8" w:rsidRDefault="007B4D5A" w:rsidP="007B4D5A">
            <w:pPr>
              <w:spacing w:line="360" w:lineRule="auto"/>
              <w:rPr>
                <w:rFonts w:asciiTheme="majorHAnsi" w:hAnsiTheme="majorHAnsi" w:cstheme="majorHAnsi"/>
                <w:b/>
                <w:i w:val="0"/>
                <w:sz w:val="24"/>
                <w:szCs w:val="24"/>
              </w:rPr>
            </w:pPr>
            <w:r>
              <w:rPr>
                <w:rFonts w:asciiTheme="majorHAnsi" w:hAnsiTheme="majorHAnsi" w:cstheme="majorHAnsi"/>
                <w:b/>
                <w:i w:val="0"/>
                <w:sz w:val="24"/>
                <w:szCs w:val="24"/>
              </w:rPr>
              <w:t xml:space="preserve">                      </w:t>
            </w:r>
          </w:p>
          <w:p w14:paraId="03C88212" w14:textId="637B5E1F" w:rsidR="007B4D5A" w:rsidRPr="00685431" w:rsidRDefault="005970B8" w:rsidP="007B4D5A">
            <w:pPr>
              <w:spacing w:line="360" w:lineRule="auto"/>
              <w:rPr>
                <w:rFonts w:asciiTheme="majorHAnsi" w:hAnsiTheme="majorHAnsi" w:cstheme="majorHAnsi"/>
                <w:b/>
                <w:i w:val="0"/>
                <w:sz w:val="24"/>
                <w:szCs w:val="24"/>
              </w:rPr>
            </w:pPr>
            <w:r>
              <w:rPr>
                <w:rFonts w:asciiTheme="majorHAnsi" w:hAnsiTheme="majorHAnsi" w:cstheme="majorHAnsi"/>
                <w:b/>
                <w:i w:val="0"/>
                <w:sz w:val="24"/>
                <w:szCs w:val="24"/>
              </w:rPr>
              <w:t xml:space="preserve">                    </w:t>
            </w:r>
            <w:r w:rsidR="007B4D5A" w:rsidRPr="00685431">
              <w:rPr>
                <w:rFonts w:asciiTheme="majorHAnsi" w:hAnsiTheme="majorHAnsi" w:cstheme="majorHAnsi"/>
                <w:b/>
                <w:i w:val="0"/>
                <w:sz w:val="24"/>
                <w:szCs w:val="24"/>
              </w:rPr>
              <w:t xml:space="preserve">Tiekėjo </w:t>
            </w:r>
            <w:r w:rsidR="007B4D5A">
              <w:rPr>
                <w:rFonts w:asciiTheme="majorHAnsi" w:hAnsiTheme="majorHAnsi" w:cstheme="majorHAnsi"/>
                <w:b/>
                <w:i w:val="0"/>
                <w:sz w:val="24"/>
                <w:szCs w:val="24"/>
              </w:rPr>
              <w:t xml:space="preserve">Y </w:t>
            </w:r>
            <w:r w:rsidR="007B4D5A" w:rsidRPr="00685431">
              <w:rPr>
                <w:rFonts w:asciiTheme="majorHAnsi" w:hAnsiTheme="majorHAnsi" w:cstheme="majorHAnsi"/>
                <w:b/>
                <w:i w:val="0"/>
                <w:sz w:val="24"/>
                <w:szCs w:val="24"/>
              </w:rPr>
              <w:t>atsakymas</w:t>
            </w:r>
          </w:p>
        </w:tc>
      </w:tr>
      <w:tr w:rsidR="007B4D5A" w:rsidRPr="00685431" w14:paraId="2948078E" w14:textId="3E329779" w:rsidTr="0067602B">
        <w:trPr>
          <w:trHeight w:val="20"/>
        </w:trPr>
        <w:tc>
          <w:tcPr>
            <w:tcW w:w="0" w:type="auto"/>
            <w:vAlign w:val="center"/>
          </w:tcPr>
          <w:p w14:paraId="1B11BA7A" w14:textId="77777777" w:rsidR="007B4D5A" w:rsidRPr="00685431" w:rsidRDefault="007B4D5A" w:rsidP="00FF45A6">
            <w:pPr>
              <w:pStyle w:val="ListParagraph"/>
              <w:numPr>
                <w:ilvl w:val="0"/>
                <w:numId w:val="9"/>
              </w:numPr>
              <w:tabs>
                <w:tab w:val="left" w:pos="0"/>
              </w:tabs>
              <w:ind w:left="0" w:firstLine="0"/>
              <w:jc w:val="center"/>
              <w:rPr>
                <w:rFonts w:asciiTheme="majorHAnsi" w:hAnsiTheme="majorHAnsi" w:cstheme="majorHAnsi"/>
                <w:i w:val="0"/>
                <w:sz w:val="24"/>
                <w:szCs w:val="24"/>
              </w:rPr>
            </w:pPr>
          </w:p>
        </w:tc>
        <w:tc>
          <w:tcPr>
            <w:tcW w:w="4243" w:type="dxa"/>
          </w:tcPr>
          <w:p w14:paraId="2FD9AF85" w14:textId="1468AAAF" w:rsidR="007B4D5A" w:rsidRPr="00685431" w:rsidRDefault="007B4D5A" w:rsidP="005D0440">
            <w:pPr>
              <w:jc w:val="both"/>
              <w:rPr>
                <w:rFonts w:ascii="Calibri Light" w:eastAsia="Times New Roman" w:hAnsi="Calibri Light" w:cs="Calibri Light"/>
                <w:i w:val="0"/>
                <w:sz w:val="24"/>
                <w:szCs w:val="24"/>
              </w:rPr>
            </w:pPr>
            <w:r w:rsidRPr="00685431">
              <w:rPr>
                <w:rFonts w:ascii="Calibri Light" w:eastAsia="Times New Roman" w:hAnsi="Calibri Light" w:cs="Calibri Light"/>
                <w:i w:val="0"/>
                <w:sz w:val="24"/>
                <w:szCs w:val="24"/>
              </w:rPr>
              <w:t xml:space="preserve">Ar pasirašius sutartį operatoriai galės visuose Valstybės sienos apsaugos tarnybos prie Lietuvos Respublikos vidaus reikalų ministerijos (toliau – VSAT) padaliniuose ir  pasienio kontrolės postuose (pagal pridedamą VSAT padalinių ir valstybės sienos perėjimo punktų išsidėstymo schemą)  </w:t>
            </w:r>
            <w:r w:rsidRPr="00685431">
              <w:rPr>
                <w:rFonts w:ascii="Calibri Light" w:eastAsia="Times New Roman" w:hAnsi="Calibri Light" w:cs="Calibri Light"/>
                <w:b/>
                <w:bCs/>
                <w:i w:val="0"/>
                <w:sz w:val="24"/>
                <w:szCs w:val="24"/>
              </w:rPr>
              <w:t>patalpų viduje</w:t>
            </w:r>
            <w:r w:rsidRPr="00685431">
              <w:rPr>
                <w:rFonts w:ascii="Calibri Light" w:eastAsia="Times New Roman" w:hAnsi="Calibri Light" w:cs="Calibri Light"/>
                <w:i w:val="0"/>
                <w:sz w:val="24"/>
                <w:szCs w:val="24"/>
              </w:rPr>
              <w:t xml:space="preserve"> užtikrinti paslaugų teikimą. </w:t>
            </w:r>
          </w:p>
        </w:tc>
        <w:tc>
          <w:tcPr>
            <w:tcW w:w="5729" w:type="dxa"/>
          </w:tcPr>
          <w:p w14:paraId="4D2F43C7" w14:textId="41181645" w:rsidR="007B4D5A" w:rsidRPr="00685431" w:rsidRDefault="007B4D5A" w:rsidP="00FF45A6">
            <w:pPr>
              <w:jc w:val="both"/>
              <w:rPr>
                <w:rFonts w:asciiTheme="majorHAnsi" w:hAnsiTheme="majorHAnsi" w:cstheme="majorHAnsi"/>
                <w:i w:val="0"/>
                <w:sz w:val="24"/>
                <w:szCs w:val="24"/>
              </w:rPr>
            </w:pPr>
            <w:r>
              <w:rPr>
                <w:rFonts w:asciiTheme="majorHAnsi" w:hAnsiTheme="majorHAnsi" w:cstheme="majorHAnsi"/>
                <w:i w:val="0"/>
                <w:sz w:val="24"/>
                <w:szCs w:val="24"/>
              </w:rPr>
              <w:t>Galėsime tiksliai atsakyti tik patekus į patalpų vidų, nes ryšio kokybė labai priklauso ir nuo pastato  (sienų storis, skardinimas ir pan.).</w:t>
            </w:r>
          </w:p>
        </w:tc>
        <w:tc>
          <w:tcPr>
            <w:tcW w:w="3828" w:type="dxa"/>
          </w:tcPr>
          <w:p w14:paraId="1B0CE10D" w14:textId="5A5F1BA4" w:rsidR="007B4D5A" w:rsidRPr="00682B1F" w:rsidRDefault="007B4D5A" w:rsidP="007B4D5A">
            <w:pPr>
              <w:pStyle w:val="Default"/>
              <w:jc w:val="both"/>
              <w:rPr>
                <w:rFonts w:ascii="Calibri Light" w:hAnsi="Calibri Light" w:cs="Calibri Light"/>
              </w:rPr>
            </w:pPr>
            <w:r w:rsidRPr="00682B1F">
              <w:rPr>
                <w:rFonts w:ascii="Calibri Light" w:hAnsi="Calibri Light" w:cs="Calibri Light"/>
              </w:rPr>
              <w:t xml:space="preserve">Konkrečiam vertinimui ir atsakymui pateikti būtų reikalinga tiksli informacija, kiek ir kuriose konkrečiose pasienio ruožų vietose yra pastatai, kurių viduje būtų reikalinga užtikrinti paslaugų teikimą, taip pat kokios tų pastatų konstrukcijos, </w:t>
            </w:r>
            <w:proofErr w:type="spellStart"/>
            <w:r w:rsidRPr="00682B1F">
              <w:rPr>
                <w:rFonts w:ascii="Calibri Light" w:hAnsi="Calibri Light" w:cs="Calibri Light"/>
              </w:rPr>
              <w:t>aukštingumas</w:t>
            </w:r>
            <w:proofErr w:type="spellEnd"/>
            <w:r w:rsidRPr="00682B1F">
              <w:rPr>
                <w:rFonts w:ascii="Calibri Light" w:hAnsi="Calibri Light" w:cs="Calibri Light"/>
              </w:rPr>
              <w:t xml:space="preserve"> ir pan.</w:t>
            </w:r>
          </w:p>
          <w:tbl>
            <w:tblPr>
              <w:tblW w:w="0" w:type="auto"/>
              <w:tblBorders>
                <w:top w:val="nil"/>
                <w:left w:val="nil"/>
                <w:bottom w:val="nil"/>
                <w:right w:val="nil"/>
              </w:tblBorders>
              <w:tblLook w:val="0000" w:firstRow="0" w:lastRow="0" w:firstColumn="0" w:lastColumn="0" w:noHBand="0" w:noVBand="0"/>
            </w:tblPr>
            <w:tblGrid>
              <w:gridCol w:w="222"/>
            </w:tblGrid>
            <w:tr w:rsidR="007B4D5A" w:rsidRPr="00682B1F" w14:paraId="3D18CC9C" w14:textId="77777777">
              <w:trPr>
                <w:trHeight w:val="412"/>
              </w:trPr>
              <w:tc>
                <w:tcPr>
                  <w:tcW w:w="0" w:type="auto"/>
                </w:tcPr>
                <w:p w14:paraId="58227614" w14:textId="3884D152" w:rsidR="007B4D5A" w:rsidRPr="00682B1F" w:rsidRDefault="007B4D5A" w:rsidP="007B4D5A">
                  <w:pPr>
                    <w:pStyle w:val="Default"/>
                    <w:jc w:val="both"/>
                    <w:rPr>
                      <w:rFonts w:ascii="Calibri Light" w:hAnsi="Calibri Light" w:cs="Calibri Light"/>
                    </w:rPr>
                  </w:pPr>
                </w:p>
              </w:tc>
            </w:tr>
          </w:tbl>
          <w:p w14:paraId="35E9D9DE" w14:textId="77777777" w:rsidR="007B4D5A" w:rsidRPr="00682B1F" w:rsidRDefault="007B4D5A" w:rsidP="00FF45A6">
            <w:pPr>
              <w:jc w:val="both"/>
              <w:rPr>
                <w:rFonts w:ascii="Calibri Light" w:hAnsi="Calibri Light" w:cs="Calibri Light"/>
                <w:i w:val="0"/>
                <w:sz w:val="24"/>
                <w:szCs w:val="24"/>
              </w:rPr>
            </w:pPr>
          </w:p>
        </w:tc>
      </w:tr>
      <w:tr w:rsidR="007B4D5A" w:rsidRPr="00685431" w14:paraId="79B32E39" w14:textId="6757FC7A" w:rsidTr="0067602B">
        <w:trPr>
          <w:trHeight w:val="20"/>
        </w:trPr>
        <w:tc>
          <w:tcPr>
            <w:tcW w:w="0" w:type="auto"/>
            <w:vAlign w:val="center"/>
          </w:tcPr>
          <w:p w14:paraId="4B569965" w14:textId="77777777" w:rsidR="007B4D5A" w:rsidRPr="00685431" w:rsidRDefault="007B4D5A" w:rsidP="00FF45A6">
            <w:pPr>
              <w:pStyle w:val="ListParagraph"/>
              <w:numPr>
                <w:ilvl w:val="0"/>
                <w:numId w:val="9"/>
              </w:numPr>
              <w:tabs>
                <w:tab w:val="left" w:pos="0"/>
              </w:tabs>
              <w:ind w:left="0" w:firstLine="0"/>
              <w:jc w:val="center"/>
              <w:rPr>
                <w:rFonts w:asciiTheme="majorHAnsi" w:hAnsiTheme="majorHAnsi" w:cstheme="majorHAnsi"/>
                <w:i w:val="0"/>
                <w:sz w:val="24"/>
                <w:szCs w:val="24"/>
              </w:rPr>
            </w:pPr>
          </w:p>
        </w:tc>
        <w:tc>
          <w:tcPr>
            <w:tcW w:w="4243" w:type="dxa"/>
          </w:tcPr>
          <w:p w14:paraId="5447841E" w14:textId="0072D57E" w:rsidR="007B4D5A" w:rsidRPr="00685431" w:rsidRDefault="007B4D5A" w:rsidP="005D0440">
            <w:pPr>
              <w:jc w:val="both"/>
              <w:rPr>
                <w:rFonts w:ascii="Calibri Light" w:hAnsi="Calibri Light" w:cs="Calibri Light"/>
                <w:i w:val="0"/>
                <w:sz w:val="24"/>
                <w:szCs w:val="24"/>
              </w:rPr>
            </w:pPr>
            <w:r w:rsidRPr="00685431">
              <w:rPr>
                <w:rFonts w:ascii="Calibri Light" w:eastAsia="Times New Roman" w:hAnsi="Calibri Light" w:cs="Calibri Light"/>
                <w:i w:val="0"/>
                <w:sz w:val="24"/>
                <w:szCs w:val="24"/>
              </w:rPr>
              <w:t xml:space="preserve">Jei galimybę teikti paslaugas 1 punktuose nurodytose vietose  paslaugų teikėjas galėtų  užtikrinti, ar būtų  reikalingas  papildomas terminas  po </w:t>
            </w:r>
            <w:r w:rsidRPr="00685431">
              <w:rPr>
                <w:rFonts w:ascii="Calibri Light" w:eastAsia="Times New Roman" w:hAnsi="Calibri Light" w:cs="Calibri Light"/>
                <w:i w:val="0"/>
                <w:sz w:val="24"/>
                <w:szCs w:val="24"/>
              </w:rPr>
              <w:lastRenderedPageBreak/>
              <w:t>sutarties pasirašymo reikalingai įrangai sudiegti, jei taip, koks?</w:t>
            </w:r>
          </w:p>
        </w:tc>
        <w:tc>
          <w:tcPr>
            <w:tcW w:w="5729" w:type="dxa"/>
          </w:tcPr>
          <w:p w14:paraId="56A4573A" w14:textId="77777777" w:rsidR="007B4D5A" w:rsidRPr="00685431" w:rsidRDefault="007B4D5A" w:rsidP="00FF45A6">
            <w:pPr>
              <w:jc w:val="both"/>
              <w:rPr>
                <w:rFonts w:asciiTheme="majorHAnsi" w:hAnsiTheme="majorHAnsi" w:cstheme="majorHAnsi"/>
                <w:i w:val="0"/>
                <w:sz w:val="24"/>
                <w:szCs w:val="24"/>
              </w:rPr>
            </w:pPr>
          </w:p>
        </w:tc>
        <w:tc>
          <w:tcPr>
            <w:tcW w:w="3828" w:type="dxa"/>
          </w:tcPr>
          <w:p w14:paraId="18BB014E" w14:textId="5E7898FD" w:rsidR="007B4D5A" w:rsidRPr="00682B1F" w:rsidRDefault="007B4D5A" w:rsidP="007B4D5A">
            <w:pPr>
              <w:pStyle w:val="Default"/>
              <w:rPr>
                <w:rFonts w:ascii="Calibri Light" w:hAnsi="Calibri Light" w:cs="Calibri Light"/>
              </w:rPr>
            </w:pPr>
            <w:r w:rsidRPr="00682B1F">
              <w:rPr>
                <w:rFonts w:ascii="Calibri Light" w:hAnsi="Calibri Light" w:cs="Calibri Light"/>
              </w:rPr>
              <w:t>Standartiškai vienam taškui įrengti reikalingos 1-2 darbo dienos.</w:t>
            </w:r>
          </w:p>
          <w:tbl>
            <w:tblPr>
              <w:tblW w:w="0" w:type="auto"/>
              <w:tblBorders>
                <w:top w:val="nil"/>
                <w:left w:val="nil"/>
                <w:bottom w:val="nil"/>
                <w:right w:val="nil"/>
              </w:tblBorders>
              <w:tblLook w:val="0000" w:firstRow="0" w:lastRow="0" w:firstColumn="0" w:lastColumn="0" w:noHBand="0" w:noVBand="0"/>
            </w:tblPr>
            <w:tblGrid>
              <w:gridCol w:w="222"/>
              <w:gridCol w:w="222"/>
              <w:gridCol w:w="222"/>
            </w:tblGrid>
            <w:tr w:rsidR="007B4D5A" w:rsidRPr="00682B1F" w14:paraId="4D61652E" w14:textId="3D7AF256" w:rsidTr="000C6C9E">
              <w:trPr>
                <w:trHeight w:val="120"/>
              </w:trPr>
              <w:tc>
                <w:tcPr>
                  <w:tcW w:w="0" w:type="auto"/>
                </w:tcPr>
                <w:p w14:paraId="592DCEBF" w14:textId="2A1EE325" w:rsidR="007B4D5A" w:rsidRPr="00682B1F" w:rsidRDefault="007B4D5A" w:rsidP="007B4D5A">
                  <w:pPr>
                    <w:pStyle w:val="Default"/>
                    <w:rPr>
                      <w:rFonts w:ascii="Calibri Light" w:hAnsi="Calibri Light" w:cs="Calibri Light"/>
                    </w:rPr>
                  </w:pPr>
                </w:p>
              </w:tc>
              <w:tc>
                <w:tcPr>
                  <w:tcW w:w="0" w:type="auto"/>
                </w:tcPr>
                <w:p w14:paraId="0887CB7F" w14:textId="77777777" w:rsidR="007B4D5A" w:rsidRPr="00682B1F" w:rsidRDefault="007B4D5A" w:rsidP="007B4D5A">
                  <w:pPr>
                    <w:pStyle w:val="Default"/>
                    <w:rPr>
                      <w:rFonts w:ascii="Calibri Light" w:hAnsi="Calibri Light" w:cs="Calibri Light"/>
                    </w:rPr>
                  </w:pPr>
                </w:p>
              </w:tc>
              <w:tc>
                <w:tcPr>
                  <w:tcW w:w="0" w:type="auto"/>
                </w:tcPr>
                <w:p w14:paraId="30AFAC7A" w14:textId="77777777" w:rsidR="007B4D5A" w:rsidRPr="00682B1F" w:rsidRDefault="007B4D5A" w:rsidP="007B4D5A">
                  <w:pPr>
                    <w:pStyle w:val="Default"/>
                    <w:rPr>
                      <w:rFonts w:ascii="Calibri Light" w:hAnsi="Calibri Light" w:cs="Calibri Light"/>
                    </w:rPr>
                  </w:pPr>
                </w:p>
              </w:tc>
            </w:tr>
          </w:tbl>
          <w:p w14:paraId="357DC490" w14:textId="77777777" w:rsidR="007B4D5A" w:rsidRPr="00682B1F" w:rsidRDefault="007B4D5A" w:rsidP="00FF45A6">
            <w:pPr>
              <w:jc w:val="both"/>
              <w:rPr>
                <w:rFonts w:ascii="Calibri Light" w:hAnsi="Calibri Light" w:cs="Calibri Light"/>
                <w:i w:val="0"/>
                <w:sz w:val="24"/>
                <w:szCs w:val="24"/>
              </w:rPr>
            </w:pPr>
          </w:p>
        </w:tc>
      </w:tr>
      <w:tr w:rsidR="007B4D5A" w:rsidRPr="00685431" w14:paraId="677ACCC4" w14:textId="34EAA5E6" w:rsidTr="0067602B">
        <w:trPr>
          <w:trHeight w:val="20"/>
        </w:trPr>
        <w:tc>
          <w:tcPr>
            <w:tcW w:w="0" w:type="auto"/>
            <w:vAlign w:val="center"/>
          </w:tcPr>
          <w:p w14:paraId="6A013EF5" w14:textId="77777777" w:rsidR="007B4D5A" w:rsidRPr="00685431" w:rsidRDefault="007B4D5A" w:rsidP="00FF45A6">
            <w:pPr>
              <w:pStyle w:val="ListParagraph"/>
              <w:numPr>
                <w:ilvl w:val="0"/>
                <w:numId w:val="9"/>
              </w:numPr>
              <w:tabs>
                <w:tab w:val="left" w:pos="0"/>
              </w:tabs>
              <w:ind w:left="0" w:firstLine="0"/>
              <w:jc w:val="center"/>
              <w:rPr>
                <w:rFonts w:asciiTheme="majorHAnsi" w:hAnsiTheme="majorHAnsi" w:cstheme="majorHAnsi"/>
                <w:i w:val="0"/>
                <w:sz w:val="24"/>
                <w:szCs w:val="24"/>
              </w:rPr>
            </w:pPr>
          </w:p>
        </w:tc>
        <w:tc>
          <w:tcPr>
            <w:tcW w:w="4243" w:type="dxa"/>
          </w:tcPr>
          <w:p w14:paraId="4CD93FC1" w14:textId="10C5C1FF" w:rsidR="007B4D5A" w:rsidRPr="00685431" w:rsidRDefault="007B4D5A" w:rsidP="005D0440">
            <w:pPr>
              <w:jc w:val="both"/>
              <w:rPr>
                <w:rFonts w:ascii="Calibri Light" w:eastAsia="Times New Roman" w:hAnsi="Calibri Light" w:cs="Calibri Light"/>
                <w:i w:val="0"/>
                <w:sz w:val="24"/>
                <w:szCs w:val="24"/>
              </w:rPr>
            </w:pPr>
            <w:r w:rsidRPr="00685431">
              <w:rPr>
                <w:rFonts w:ascii="Calibri Light" w:eastAsia="Times New Roman" w:hAnsi="Calibri Light" w:cs="Calibri Light"/>
                <w:i w:val="0"/>
                <w:sz w:val="24"/>
                <w:szCs w:val="24"/>
              </w:rPr>
              <w:t>Kiek brangtų paslaugų teikimas įgyvendinus  reikalavimą užtikrinti paslaugų teikimą 1 punkte nurodytose vietose?</w:t>
            </w:r>
          </w:p>
        </w:tc>
        <w:tc>
          <w:tcPr>
            <w:tcW w:w="5729" w:type="dxa"/>
          </w:tcPr>
          <w:p w14:paraId="456FA787" w14:textId="77777777" w:rsidR="007B4D5A" w:rsidRPr="00685431" w:rsidRDefault="007B4D5A" w:rsidP="00FF45A6">
            <w:pPr>
              <w:jc w:val="both"/>
              <w:rPr>
                <w:rFonts w:asciiTheme="majorHAnsi" w:hAnsiTheme="majorHAnsi" w:cstheme="majorHAnsi"/>
                <w:i w:val="0"/>
                <w:sz w:val="24"/>
                <w:szCs w:val="24"/>
              </w:rPr>
            </w:pPr>
          </w:p>
        </w:tc>
        <w:tc>
          <w:tcPr>
            <w:tcW w:w="3828" w:type="dxa"/>
          </w:tcPr>
          <w:p w14:paraId="6399355D" w14:textId="12C7F67F" w:rsidR="007B4D5A" w:rsidRPr="00682B1F" w:rsidRDefault="007B4D5A" w:rsidP="007B4D5A">
            <w:pPr>
              <w:pStyle w:val="Default"/>
              <w:jc w:val="both"/>
              <w:rPr>
                <w:rFonts w:ascii="Calibri Light" w:hAnsi="Calibri Light" w:cs="Calibri Light"/>
              </w:rPr>
            </w:pPr>
            <w:r w:rsidRPr="00682B1F">
              <w:rPr>
                <w:rFonts w:ascii="Calibri Light" w:hAnsi="Calibri Light" w:cs="Calibri Light"/>
              </w:rPr>
              <w:t xml:space="preserve">Standartiškai vieno taško įrengimo kaštai sudaro </w:t>
            </w:r>
            <w:r w:rsidR="000A29E5">
              <w:rPr>
                <w:rFonts w:ascii="Calibri Light" w:hAnsi="Calibri Light" w:cs="Calibri Light"/>
              </w:rPr>
              <w:t xml:space="preserve">Z </w:t>
            </w:r>
            <w:proofErr w:type="spellStart"/>
            <w:r w:rsidRPr="00682B1F">
              <w:rPr>
                <w:rFonts w:ascii="Calibri Light" w:hAnsi="Calibri Light" w:cs="Calibri Light"/>
              </w:rPr>
              <w:t>Eur</w:t>
            </w:r>
            <w:proofErr w:type="spellEnd"/>
            <w:r w:rsidRPr="00682B1F">
              <w:rPr>
                <w:rFonts w:ascii="Calibri Light" w:hAnsi="Calibri Light" w:cs="Calibri Light"/>
              </w:rPr>
              <w:t xml:space="preserve"> be PVM, priklausomai nuo atstumo. Atitinkami kaštai būtų įtraukti į paslaugos teikimo kainą. </w:t>
            </w:r>
          </w:p>
          <w:p w14:paraId="28EB3D60" w14:textId="77777777" w:rsidR="007B4D5A" w:rsidRPr="00682B1F" w:rsidRDefault="007B4D5A" w:rsidP="00FF45A6">
            <w:pPr>
              <w:jc w:val="both"/>
              <w:rPr>
                <w:rFonts w:ascii="Calibri Light" w:hAnsi="Calibri Light" w:cs="Calibri Light"/>
                <w:i w:val="0"/>
                <w:sz w:val="24"/>
                <w:szCs w:val="24"/>
              </w:rPr>
            </w:pPr>
          </w:p>
        </w:tc>
      </w:tr>
      <w:tr w:rsidR="007B4D5A" w:rsidRPr="00685431" w14:paraId="1012778C" w14:textId="639E5707" w:rsidTr="0067602B">
        <w:trPr>
          <w:trHeight w:val="20"/>
        </w:trPr>
        <w:tc>
          <w:tcPr>
            <w:tcW w:w="0" w:type="auto"/>
            <w:vAlign w:val="center"/>
          </w:tcPr>
          <w:p w14:paraId="6D0E7C87" w14:textId="77777777" w:rsidR="007B4D5A" w:rsidRPr="00685431" w:rsidRDefault="007B4D5A" w:rsidP="00FF45A6">
            <w:pPr>
              <w:pStyle w:val="ListParagraph"/>
              <w:numPr>
                <w:ilvl w:val="0"/>
                <w:numId w:val="9"/>
              </w:numPr>
              <w:tabs>
                <w:tab w:val="left" w:pos="0"/>
              </w:tabs>
              <w:ind w:left="0" w:firstLine="0"/>
              <w:jc w:val="center"/>
              <w:rPr>
                <w:rFonts w:asciiTheme="majorHAnsi" w:hAnsiTheme="majorHAnsi" w:cstheme="majorHAnsi"/>
                <w:i w:val="0"/>
                <w:sz w:val="24"/>
                <w:szCs w:val="24"/>
              </w:rPr>
            </w:pPr>
          </w:p>
        </w:tc>
        <w:tc>
          <w:tcPr>
            <w:tcW w:w="4243" w:type="dxa"/>
            <w:vAlign w:val="center"/>
          </w:tcPr>
          <w:p w14:paraId="5FCC3483" w14:textId="77777777" w:rsidR="007B4D5A" w:rsidRPr="00685431" w:rsidRDefault="007B4D5A" w:rsidP="00FF45A6">
            <w:pPr>
              <w:jc w:val="both"/>
              <w:rPr>
                <w:rFonts w:asciiTheme="majorHAnsi" w:hAnsiTheme="majorHAnsi" w:cstheme="majorHAnsi"/>
                <w:i w:val="0"/>
                <w:sz w:val="24"/>
                <w:szCs w:val="24"/>
              </w:rPr>
            </w:pPr>
            <w:r w:rsidRPr="00685431">
              <w:rPr>
                <w:rFonts w:asciiTheme="majorHAnsi" w:hAnsiTheme="majorHAnsi" w:cstheme="majorHAnsi"/>
                <w:i w:val="0"/>
                <w:sz w:val="24"/>
                <w:szCs w:val="24"/>
              </w:rPr>
              <w:t>Ar turite kitų pastebėjimų ar pasiūlymų?</w:t>
            </w:r>
          </w:p>
        </w:tc>
        <w:tc>
          <w:tcPr>
            <w:tcW w:w="5729" w:type="dxa"/>
          </w:tcPr>
          <w:p w14:paraId="29B092A1" w14:textId="0A40FAA4" w:rsidR="007B4D5A" w:rsidRPr="00682B1F" w:rsidRDefault="007B4D5A" w:rsidP="00FF45A6">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1 klausimas: 1.7. Teikėjas privalo ne vėliau kaip iki paslaugų teikimo pradžios sukurti atskirą (-</w:t>
            </w:r>
            <w:proofErr w:type="spellStart"/>
            <w:r w:rsidRPr="00682B1F">
              <w:rPr>
                <w:rFonts w:ascii="Calibri Light" w:hAnsi="Calibri Light" w:cs="Calibri Light"/>
                <w:i w:val="0"/>
                <w:color w:val="181818"/>
                <w:sz w:val="24"/>
                <w:szCs w:val="24"/>
                <w:shd w:val="clear" w:color="auto" w:fill="FFFFFF"/>
              </w:rPr>
              <w:t>us</w:t>
            </w:r>
            <w:proofErr w:type="spellEnd"/>
            <w:r w:rsidRPr="00682B1F">
              <w:rPr>
                <w:rFonts w:ascii="Calibri Light" w:hAnsi="Calibri Light" w:cs="Calibri Light"/>
                <w:i w:val="0"/>
                <w:color w:val="181818"/>
                <w:sz w:val="24"/>
                <w:szCs w:val="24"/>
                <w:shd w:val="clear" w:color="auto" w:fill="FFFFFF"/>
              </w:rPr>
              <w:t xml:space="preserve">) APN (Access </w:t>
            </w:r>
            <w:proofErr w:type="spellStart"/>
            <w:r w:rsidRPr="00682B1F">
              <w:rPr>
                <w:rFonts w:ascii="Calibri Light" w:hAnsi="Calibri Light" w:cs="Calibri Light"/>
                <w:i w:val="0"/>
                <w:color w:val="181818"/>
                <w:sz w:val="24"/>
                <w:szCs w:val="24"/>
                <w:shd w:val="clear" w:color="auto" w:fill="FFFFFF"/>
              </w:rPr>
              <w:t>Point</w:t>
            </w:r>
            <w:proofErr w:type="spellEnd"/>
            <w:r w:rsidRPr="00682B1F">
              <w:rPr>
                <w:rFonts w:ascii="Calibri Light" w:hAnsi="Calibri Light" w:cs="Calibri Light"/>
                <w:i w:val="0"/>
                <w:color w:val="181818"/>
                <w:sz w:val="24"/>
                <w:szCs w:val="24"/>
                <w:shd w:val="clear" w:color="auto" w:fill="FFFFFF"/>
              </w:rPr>
              <w:t xml:space="preserve"> Name) ir užtikrinti tiesioginį duomenų perdavimą į Vidaus reikalų telekomunikacinį tinklą. - kiek skirtingų APN reikės - vieną / du / daugiau ?</w:t>
            </w:r>
          </w:p>
          <w:p w14:paraId="12031D67" w14:textId="77777777" w:rsidR="007B4D5A" w:rsidRPr="00682B1F" w:rsidRDefault="007B4D5A" w:rsidP="00FF45A6">
            <w:pPr>
              <w:jc w:val="both"/>
              <w:rPr>
                <w:rFonts w:ascii="Calibri Light" w:hAnsi="Calibri Light" w:cs="Calibri Light"/>
                <w:i w:val="0"/>
                <w:color w:val="181818"/>
                <w:sz w:val="24"/>
                <w:szCs w:val="24"/>
                <w:shd w:val="clear" w:color="auto" w:fill="FFFFFF"/>
              </w:rPr>
            </w:pPr>
          </w:p>
          <w:p w14:paraId="338FD21C" w14:textId="230D22DE" w:rsidR="00B466F6" w:rsidRPr="00D20F34" w:rsidRDefault="007B4D5A" w:rsidP="00B466F6">
            <w:pPr>
              <w:jc w:val="both"/>
              <w:rPr>
                <w:rFonts w:ascii="Segoe UI" w:hAnsi="Segoe UI" w:cs="Segoe UI"/>
                <w:i w:val="0"/>
                <w:iCs/>
                <w:color w:val="181818"/>
                <w:sz w:val="21"/>
                <w:szCs w:val="21"/>
                <w:shd w:val="clear" w:color="auto" w:fill="FFFFFF"/>
              </w:rPr>
            </w:pPr>
            <w:r w:rsidRPr="00682B1F">
              <w:rPr>
                <w:rFonts w:ascii="Calibri Light" w:hAnsi="Calibri Light" w:cs="Calibri Light"/>
                <w:i w:val="0"/>
                <w:color w:val="181818"/>
                <w:sz w:val="24"/>
                <w:szCs w:val="24"/>
                <w:shd w:val="clear" w:color="auto" w:fill="FFFFFF"/>
              </w:rPr>
              <w:t xml:space="preserve">1 </w:t>
            </w:r>
            <w:proofErr w:type="spellStart"/>
            <w:r w:rsidRPr="00682B1F">
              <w:rPr>
                <w:rFonts w:ascii="Calibri Light" w:hAnsi="Calibri Light" w:cs="Calibri Light"/>
                <w:i w:val="0"/>
                <w:color w:val="181818"/>
                <w:sz w:val="24"/>
                <w:szCs w:val="24"/>
                <w:shd w:val="clear" w:color="auto" w:fill="FFFFFF"/>
              </w:rPr>
              <w:t>ats</w:t>
            </w:r>
            <w:proofErr w:type="spellEnd"/>
            <w:r w:rsidRPr="00682B1F">
              <w:rPr>
                <w:rFonts w:ascii="Calibri Light" w:hAnsi="Calibri Light" w:cs="Calibri Light"/>
                <w:i w:val="0"/>
                <w:color w:val="181818"/>
                <w:sz w:val="24"/>
                <w:szCs w:val="24"/>
                <w:shd w:val="clear" w:color="auto" w:fill="FFFFFF"/>
              </w:rPr>
              <w:t>.: APN tinklo nustatymo, kuris leidžia pasiekti mobilųjį internetą, kiekiai nurodyti Techninės specifikacijos (toliau – TS) lentelėje „Informacija apie judriojo telefono ryšio paslaugas</w:t>
            </w:r>
            <w:r w:rsidRPr="00B466F6">
              <w:rPr>
                <w:rFonts w:ascii="Calibri Light" w:hAnsi="Calibri Light" w:cs="Calibri Light"/>
                <w:i w:val="0"/>
                <w:color w:val="181818"/>
                <w:sz w:val="24"/>
                <w:szCs w:val="24"/>
                <w:shd w:val="clear" w:color="auto" w:fill="FFFFFF"/>
              </w:rPr>
              <w:t>“</w:t>
            </w:r>
            <w:r w:rsidR="005970B8">
              <w:rPr>
                <w:rFonts w:ascii="Segoe UI" w:hAnsi="Segoe UI" w:cs="Segoe UI"/>
                <w:i w:val="0"/>
                <w:iCs/>
                <w:color w:val="181818"/>
                <w:sz w:val="21"/>
                <w:szCs w:val="21"/>
                <w:shd w:val="clear" w:color="auto" w:fill="FFFFFF"/>
              </w:rPr>
              <w:t xml:space="preserve"> (paslaugų naudotojų </w:t>
            </w:r>
            <w:r w:rsidR="005970B8" w:rsidRPr="00B707E9">
              <w:rPr>
                <w:rFonts w:ascii="Segoe UI" w:hAnsi="Segoe UI" w:cs="Segoe UI"/>
                <w:i w:val="0"/>
                <w:iCs/>
                <w:color w:val="181818"/>
                <w:sz w:val="21"/>
                <w:szCs w:val="21"/>
                <w:shd w:val="clear" w:color="auto" w:fill="FFFFFF"/>
              </w:rPr>
              <w:t>10</w:t>
            </w:r>
            <w:r w:rsidR="005970B8">
              <w:rPr>
                <w:rFonts w:ascii="Segoe UI" w:hAnsi="Segoe UI" w:cs="Segoe UI"/>
                <w:i w:val="0"/>
                <w:iCs/>
                <w:color w:val="181818"/>
                <w:sz w:val="21"/>
                <w:szCs w:val="21"/>
                <w:shd w:val="clear" w:color="auto" w:fill="FFFFFF"/>
              </w:rPr>
              <w:t> </w:t>
            </w:r>
            <w:r w:rsidR="005970B8" w:rsidRPr="00B707E9">
              <w:rPr>
                <w:rFonts w:ascii="Segoe UI" w:hAnsi="Segoe UI" w:cs="Segoe UI"/>
                <w:i w:val="0"/>
                <w:iCs/>
                <w:color w:val="181818"/>
                <w:sz w:val="21"/>
                <w:szCs w:val="21"/>
                <w:shd w:val="clear" w:color="auto" w:fill="FFFFFF"/>
              </w:rPr>
              <w:t>996</w:t>
            </w:r>
            <w:r w:rsidR="005970B8">
              <w:rPr>
                <w:rFonts w:ascii="Segoe UI" w:hAnsi="Segoe UI" w:cs="Segoe UI"/>
                <w:i w:val="0"/>
                <w:iCs/>
                <w:color w:val="181818"/>
                <w:sz w:val="21"/>
                <w:szCs w:val="21"/>
                <w:shd w:val="clear" w:color="auto" w:fill="FFFFFF"/>
              </w:rPr>
              <w:t>)</w:t>
            </w:r>
            <w:r w:rsidRPr="00B466F6">
              <w:rPr>
                <w:rFonts w:ascii="Calibri Light" w:hAnsi="Calibri Light" w:cs="Calibri Light"/>
                <w:i w:val="0"/>
                <w:color w:val="181818"/>
                <w:sz w:val="24"/>
                <w:szCs w:val="24"/>
                <w:shd w:val="clear" w:color="auto" w:fill="FFFFFF"/>
              </w:rPr>
              <w:t>.</w:t>
            </w:r>
            <w:r w:rsidR="00B466F6" w:rsidRPr="00B466F6">
              <w:rPr>
                <w:rFonts w:ascii="Calibri Light" w:hAnsi="Calibri Light" w:cs="Calibri Light"/>
                <w:i w:val="0"/>
                <w:iCs/>
                <w:color w:val="181818"/>
                <w:sz w:val="24"/>
                <w:szCs w:val="24"/>
                <w:shd w:val="clear" w:color="auto" w:fill="FFFFFF"/>
              </w:rPr>
              <w:t xml:space="preserve"> </w:t>
            </w:r>
            <w:r w:rsidR="00B466F6" w:rsidRPr="00147BD7">
              <w:rPr>
                <w:rFonts w:ascii="Calibri Light" w:hAnsi="Calibri Light" w:cs="Calibri Light"/>
                <w:i w:val="0"/>
                <w:iCs/>
                <w:color w:val="181818"/>
                <w:sz w:val="24"/>
                <w:szCs w:val="24"/>
                <w:shd w:val="clear" w:color="auto" w:fill="FFFFFF"/>
              </w:rPr>
              <w:t>Išorinių IP įstaigoms skirta 6 vnt.</w:t>
            </w:r>
          </w:p>
          <w:p w14:paraId="48B05967" w14:textId="75F5C7CF" w:rsidR="007B4D5A" w:rsidRPr="00682B1F" w:rsidRDefault="007B4D5A" w:rsidP="00FF45A6">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rPr>
              <w:br/>
            </w:r>
            <w:r w:rsidRPr="00682B1F">
              <w:rPr>
                <w:rFonts w:ascii="Calibri Light" w:hAnsi="Calibri Light" w:cs="Calibri Light"/>
                <w:i w:val="0"/>
                <w:color w:val="181818"/>
                <w:sz w:val="24"/>
                <w:szCs w:val="24"/>
                <w:shd w:val="clear" w:color="auto" w:fill="FFFFFF"/>
              </w:rPr>
              <w:t>2 klausimas:</w:t>
            </w:r>
            <w:r w:rsidR="00B466F6">
              <w:rPr>
                <w:rFonts w:ascii="Calibri Light" w:hAnsi="Calibri Light" w:cs="Calibri Light"/>
                <w:i w:val="0"/>
                <w:color w:val="181818"/>
                <w:sz w:val="24"/>
                <w:szCs w:val="24"/>
                <w:shd w:val="clear" w:color="auto" w:fill="FFFFFF"/>
              </w:rPr>
              <w:t xml:space="preserve"> </w:t>
            </w:r>
            <w:r w:rsidRPr="00682B1F">
              <w:rPr>
                <w:rFonts w:ascii="Calibri Light" w:hAnsi="Calibri Light" w:cs="Calibri Light"/>
                <w:i w:val="0"/>
                <w:color w:val="181818"/>
                <w:sz w:val="24"/>
                <w:szCs w:val="24"/>
                <w:shd w:val="clear" w:color="auto" w:fill="FFFFFF"/>
              </w:rPr>
              <w:t>6.6.9. Statinio IP adreso suteikimas - tačiau kokio (išorinio ar vidinio) bei kokio kiekio? Reikia patikslinimo. Nenurodyta</w:t>
            </w:r>
          </w:p>
          <w:p w14:paraId="5A58A6C3" w14:textId="77777777" w:rsidR="007B4D5A" w:rsidRPr="00682B1F" w:rsidRDefault="007B4D5A" w:rsidP="00FF45A6">
            <w:pPr>
              <w:jc w:val="both"/>
              <w:rPr>
                <w:rFonts w:ascii="Calibri Light" w:hAnsi="Calibri Light" w:cs="Calibri Light"/>
                <w:i w:val="0"/>
                <w:color w:val="181818"/>
                <w:sz w:val="24"/>
                <w:szCs w:val="24"/>
                <w:shd w:val="clear" w:color="auto" w:fill="FFFFFF"/>
              </w:rPr>
            </w:pPr>
          </w:p>
          <w:p w14:paraId="39B6B9EE" w14:textId="77777777" w:rsidR="005970B8" w:rsidRPr="001143AE" w:rsidRDefault="007B4D5A" w:rsidP="005970B8">
            <w:pPr>
              <w:jc w:val="both"/>
              <w:rPr>
                <w:rFonts w:ascii="Segoe UI" w:hAnsi="Segoe UI" w:cs="Segoe UI"/>
                <w:i w:val="0"/>
                <w:iCs/>
                <w:color w:val="181818"/>
                <w:sz w:val="21"/>
                <w:szCs w:val="21"/>
                <w:shd w:val="clear" w:color="auto" w:fill="FFFFFF"/>
              </w:rPr>
            </w:pPr>
            <w:r w:rsidRPr="00682B1F">
              <w:rPr>
                <w:rFonts w:ascii="Calibri Light" w:hAnsi="Calibri Light" w:cs="Calibri Light"/>
                <w:i w:val="0"/>
                <w:color w:val="181818"/>
                <w:sz w:val="24"/>
                <w:szCs w:val="24"/>
                <w:shd w:val="clear" w:color="auto" w:fill="FFFFFF"/>
              </w:rPr>
              <w:t xml:space="preserve">2 </w:t>
            </w:r>
            <w:proofErr w:type="spellStart"/>
            <w:r w:rsidRPr="00682B1F">
              <w:rPr>
                <w:rFonts w:ascii="Calibri Light" w:hAnsi="Calibri Light" w:cs="Calibri Light"/>
                <w:i w:val="0"/>
                <w:color w:val="181818"/>
                <w:sz w:val="24"/>
                <w:szCs w:val="24"/>
                <w:shd w:val="clear" w:color="auto" w:fill="FFFFFF"/>
              </w:rPr>
              <w:t>ats</w:t>
            </w:r>
            <w:proofErr w:type="spellEnd"/>
            <w:r w:rsidRPr="00682B1F">
              <w:rPr>
                <w:rFonts w:ascii="Calibri Light" w:hAnsi="Calibri Light" w:cs="Calibri Light"/>
                <w:i w:val="0"/>
                <w:color w:val="181818"/>
                <w:sz w:val="24"/>
                <w:szCs w:val="24"/>
                <w:shd w:val="clear" w:color="auto" w:fill="FFFFFF"/>
              </w:rPr>
              <w:t xml:space="preserve">.: TS </w:t>
            </w:r>
            <w:r w:rsidR="00B466F6">
              <w:rPr>
                <w:rFonts w:ascii="Calibri Light" w:hAnsi="Calibri Light" w:cs="Calibri Light"/>
                <w:i w:val="0"/>
                <w:color w:val="181818"/>
                <w:sz w:val="24"/>
                <w:szCs w:val="24"/>
                <w:shd w:val="clear" w:color="auto" w:fill="FFFFFF"/>
              </w:rPr>
              <w:t>9 punkt</w:t>
            </w:r>
            <w:r w:rsidRPr="00682B1F">
              <w:rPr>
                <w:rFonts w:ascii="Calibri Light" w:hAnsi="Calibri Light" w:cs="Calibri Light"/>
                <w:i w:val="0"/>
                <w:color w:val="181818"/>
                <w:sz w:val="24"/>
                <w:szCs w:val="24"/>
                <w:shd w:val="clear" w:color="auto" w:fill="FFFFFF"/>
              </w:rPr>
              <w:t xml:space="preserve">e nurodyta, kad kiekvienai SIM kortelei nemokamai turi būti skiriami statiniai vidiniai IP arba statiniai išoriniai (teikėjo) IP adresai nurodytiems abonentams pagal atskirą PO elektroninėmis priemonėmis pateiktą prašymą. </w:t>
            </w:r>
            <w:r w:rsidR="00B466F6" w:rsidRPr="00B466F6">
              <w:rPr>
                <w:rFonts w:ascii="Calibri Light" w:hAnsi="Calibri Light" w:cs="Calibri Light"/>
                <w:i w:val="0"/>
                <w:iCs/>
                <w:color w:val="181818"/>
                <w:sz w:val="24"/>
                <w:szCs w:val="24"/>
                <w:shd w:val="clear" w:color="auto" w:fill="FFFFFF"/>
              </w:rPr>
              <w:t xml:space="preserve">Išorinių IP šiuo metu yra 6 vnt. </w:t>
            </w:r>
            <w:r w:rsidR="005970B8" w:rsidRPr="00147BD7">
              <w:rPr>
                <w:rFonts w:ascii="Segoe UI" w:hAnsi="Segoe UI" w:cs="Segoe UI"/>
                <w:i w:val="0"/>
                <w:iCs/>
                <w:color w:val="181818"/>
                <w:sz w:val="21"/>
                <w:szCs w:val="21"/>
                <w:shd w:val="clear" w:color="auto" w:fill="FFFFFF"/>
              </w:rPr>
              <w:t>Statinių vidinių IP (operatoriaus) suteikta 1 vnt.</w:t>
            </w:r>
          </w:p>
          <w:p w14:paraId="09BF209C" w14:textId="23C08A6F" w:rsidR="00B466F6" w:rsidRPr="00D20F34" w:rsidRDefault="00B466F6" w:rsidP="00B466F6">
            <w:pPr>
              <w:jc w:val="both"/>
              <w:rPr>
                <w:rFonts w:ascii="Segoe UI" w:hAnsi="Segoe UI" w:cs="Segoe UI"/>
                <w:i w:val="0"/>
                <w:iCs/>
                <w:color w:val="181818"/>
                <w:sz w:val="21"/>
                <w:szCs w:val="21"/>
                <w:shd w:val="clear" w:color="auto" w:fill="FFFFFF"/>
              </w:rPr>
            </w:pPr>
          </w:p>
          <w:p w14:paraId="0452C47D" w14:textId="77777777" w:rsidR="00B466F6" w:rsidRPr="00D20F34" w:rsidRDefault="00B466F6" w:rsidP="00B466F6">
            <w:pPr>
              <w:jc w:val="both"/>
              <w:rPr>
                <w:rFonts w:ascii="Segoe UI" w:hAnsi="Segoe UI" w:cs="Segoe UI"/>
                <w:i w:val="0"/>
                <w:iCs/>
                <w:color w:val="181818"/>
                <w:sz w:val="21"/>
                <w:szCs w:val="21"/>
                <w:shd w:val="clear" w:color="auto" w:fill="FFFFFF"/>
              </w:rPr>
            </w:pPr>
          </w:p>
          <w:p w14:paraId="54B00746" w14:textId="7612C513" w:rsidR="007B4D5A" w:rsidRPr="00B466F6" w:rsidRDefault="007B4D5A" w:rsidP="00FF45A6">
            <w:pPr>
              <w:jc w:val="both"/>
              <w:rPr>
                <w:rFonts w:ascii="Calibri Light" w:hAnsi="Calibri Light" w:cs="Calibri Light"/>
                <w:i w:val="0"/>
                <w:color w:val="FF0000"/>
                <w:sz w:val="24"/>
                <w:szCs w:val="24"/>
                <w:shd w:val="clear" w:color="auto" w:fill="FFFFFF"/>
              </w:rPr>
            </w:pPr>
          </w:p>
          <w:p w14:paraId="2414BD6E" w14:textId="77777777" w:rsidR="007B4D5A" w:rsidRPr="00682B1F" w:rsidRDefault="007B4D5A" w:rsidP="00FF45A6">
            <w:pPr>
              <w:jc w:val="both"/>
              <w:rPr>
                <w:rFonts w:ascii="Calibri Light" w:hAnsi="Calibri Light" w:cs="Calibri Light"/>
                <w:i w:val="0"/>
                <w:color w:val="181818"/>
                <w:sz w:val="24"/>
                <w:szCs w:val="24"/>
                <w:shd w:val="clear" w:color="auto" w:fill="FFFFFF"/>
              </w:rPr>
            </w:pPr>
          </w:p>
          <w:p w14:paraId="21E65810" w14:textId="258F4A78" w:rsidR="007B4D5A" w:rsidRPr="00682B1F" w:rsidRDefault="007B4D5A" w:rsidP="00FF45A6">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rPr>
              <w:br/>
            </w:r>
            <w:r w:rsidRPr="00682B1F">
              <w:rPr>
                <w:rFonts w:ascii="Calibri Light" w:hAnsi="Calibri Light" w:cs="Calibri Light"/>
                <w:i w:val="0"/>
                <w:color w:val="181818"/>
                <w:sz w:val="24"/>
                <w:szCs w:val="24"/>
                <w:shd w:val="clear" w:color="auto" w:fill="FFFFFF"/>
              </w:rPr>
              <w:t>3 klausimas:</w:t>
            </w:r>
            <w:r w:rsidR="00B466F6">
              <w:rPr>
                <w:rFonts w:ascii="Calibri Light" w:hAnsi="Calibri Light" w:cs="Calibri Light"/>
                <w:i w:val="0"/>
                <w:color w:val="181818"/>
                <w:sz w:val="24"/>
                <w:szCs w:val="24"/>
                <w:shd w:val="clear" w:color="auto" w:fill="FFFFFF"/>
              </w:rPr>
              <w:t xml:space="preserve"> </w:t>
            </w:r>
            <w:r w:rsidRPr="00682B1F">
              <w:rPr>
                <w:rFonts w:ascii="Calibri Light" w:hAnsi="Calibri Light" w:cs="Calibri Light"/>
                <w:i w:val="0"/>
                <w:color w:val="181818"/>
                <w:sz w:val="24"/>
                <w:szCs w:val="24"/>
                <w:shd w:val="clear" w:color="auto" w:fill="FFFFFF"/>
              </w:rPr>
              <w:t>6.6.10. Papildomų paslaugų užsakymas - kas tai yra / kokios papildomos paslaugos ?</w:t>
            </w:r>
          </w:p>
          <w:p w14:paraId="0539990A" w14:textId="77777777" w:rsidR="007B4D5A" w:rsidRPr="00682B1F" w:rsidRDefault="007B4D5A" w:rsidP="00FF45A6">
            <w:pPr>
              <w:jc w:val="both"/>
              <w:rPr>
                <w:rFonts w:ascii="Calibri Light" w:hAnsi="Calibri Light" w:cs="Calibri Light"/>
                <w:i w:val="0"/>
                <w:color w:val="181818"/>
                <w:sz w:val="24"/>
                <w:szCs w:val="24"/>
                <w:shd w:val="clear" w:color="auto" w:fill="FFFFFF"/>
              </w:rPr>
            </w:pPr>
          </w:p>
          <w:p w14:paraId="4EED1641" w14:textId="0528AE12" w:rsidR="007B4D5A" w:rsidRPr="00682B1F" w:rsidRDefault="007B4D5A" w:rsidP="00FF45A6">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 xml:space="preserve">3 </w:t>
            </w:r>
            <w:proofErr w:type="spellStart"/>
            <w:r w:rsidRPr="00682B1F">
              <w:rPr>
                <w:rFonts w:ascii="Calibri Light" w:hAnsi="Calibri Light" w:cs="Calibri Light"/>
                <w:i w:val="0"/>
                <w:color w:val="181818"/>
                <w:sz w:val="24"/>
                <w:szCs w:val="24"/>
                <w:shd w:val="clear" w:color="auto" w:fill="FFFFFF"/>
              </w:rPr>
              <w:t>ats</w:t>
            </w:r>
            <w:proofErr w:type="spellEnd"/>
            <w:r w:rsidRPr="00682B1F">
              <w:rPr>
                <w:rFonts w:ascii="Calibri Light" w:hAnsi="Calibri Light" w:cs="Calibri Light"/>
                <w:i w:val="0"/>
                <w:color w:val="181818"/>
                <w:sz w:val="24"/>
                <w:szCs w:val="24"/>
                <w:shd w:val="clear" w:color="auto" w:fill="FFFFFF"/>
              </w:rPr>
              <w:t>.:</w:t>
            </w:r>
            <w:r w:rsidR="00B466F6">
              <w:rPr>
                <w:rFonts w:ascii="Calibri Light" w:hAnsi="Calibri Light" w:cs="Calibri Light"/>
                <w:i w:val="0"/>
                <w:color w:val="181818"/>
                <w:sz w:val="24"/>
                <w:szCs w:val="24"/>
                <w:shd w:val="clear" w:color="auto" w:fill="FFFFFF"/>
              </w:rPr>
              <w:t xml:space="preserve"> </w:t>
            </w:r>
            <w:r w:rsidRPr="00682B1F">
              <w:rPr>
                <w:rFonts w:ascii="Calibri Light" w:hAnsi="Calibri Light" w:cs="Calibri Light"/>
                <w:i w:val="0"/>
                <w:color w:val="181818"/>
                <w:sz w:val="24"/>
                <w:szCs w:val="24"/>
                <w:shd w:val="clear" w:color="auto" w:fill="FFFFFF"/>
              </w:rPr>
              <w:t>Papildomos paslaugos išvardintos TS 7 punkte:</w:t>
            </w:r>
          </w:p>
          <w:p w14:paraId="3A2E57AF" w14:textId="007669ED"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„7.1.Papildomos paslaugos:</w:t>
            </w:r>
          </w:p>
          <w:p w14:paraId="1EE69EE8" w14:textId="3240A68E"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a)</w:t>
            </w:r>
            <w:r w:rsidRPr="00682B1F">
              <w:rPr>
                <w:rFonts w:ascii="Calibri Light" w:hAnsi="Calibri Light" w:cs="Calibri Light"/>
                <w:i w:val="0"/>
                <w:color w:val="181818"/>
                <w:sz w:val="24"/>
                <w:szCs w:val="24"/>
                <w:shd w:val="clear" w:color="auto" w:fill="FFFFFF"/>
              </w:rPr>
              <w:tab/>
              <w:t xml:space="preserve"> Balso paštas;</w:t>
            </w:r>
          </w:p>
          <w:p w14:paraId="106AE4F4" w14:textId="7542769D"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b)</w:t>
            </w:r>
            <w:r w:rsidRPr="00682B1F">
              <w:rPr>
                <w:rFonts w:ascii="Calibri Light" w:hAnsi="Calibri Light" w:cs="Calibri Light"/>
                <w:i w:val="0"/>
                <w:color w:val="181818"/>
                <w:sz w:val="24"/>
                <w:szCs w:val="24"/>
                <w:shd w:val="clear" w:color="auto" w:fill="FFFFFF"/>
              </w:rPr>
              <w:tab/>
              <w:t xml:space="preserve"> Numerio pasirinkimas;</w:t>
            </w:r>
          </w:p>
          <w:p w14:paraId="6FDE20BB" w14:textId="11CD6DDB"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c)</w:t>
            </w:r>
            <w:r w:rsidRPr="00682B1F">
              <w:rPr>
                <w:rFonts w:ascii="Calibri Light" w:hAnsi="Calibri Light" w:cs="Calibri Light"/>
                <w:i w:val="0"/>
                <w:color w:val="181818"/>
                <w:sz w:val="24"/>
                <w:szCs w:val="24"/>
                <w:shd w:val="clear" w:color="auto" w:fill="FFFFFF"/>
              </w:rPr>
              <w:tab/>
              <w:t xml:space="preserve"> Tarptinklinis ryšys;</w:t>
            </w:r>
          </w:p>
          <w:p w14:paraId="379A99B3" w14:textId="10FC381D"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d)</w:t>
            </w:r>
            <w:r w:rsidRPr="00682B1F">
              <w:rPr>
                <w:rFonts w:ascii="Calibri Light" w:hAnsi="Calibri Light" w:cs="Calibri Light"/>
                <w:i w:val="0"/>
                <w:color w:val="181818"/>
                <w:sz w:val="24"/>
                <w:szCs w:val="24"/>
                <w:shd w:val="clear" w:color="auto" w:fill="FFFFFF"/>
              </w:rPr>
              <w:tab/>
              <w:t xml:space="preserve"> Duomenų perdavimas telefone. Mokesčio dydžiui už 1 MB perduotų duomenų ne Lietuvoje turi būti taikoma ne didesnė nei Teikėjo tinklalapyje viešai skelbiama (atitinkamu laikotarpiu) paslaugų kaina.</w:t>
            </w:r>
          </w:p>
          <w:p w14:paraId="410733EE" w14:textId="15B08945"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g)</w:t>
            </w:r>
            <w:r w:rsidRPr="00682B1F">
              <w:rPr>
                <w:rFonts w:ascii="Calibri Light" w:hAnsi="Calibri Light" w:cs="Calibri Light"/>
                <w:i w:val="0"/>
                <w:color w:val="181818"/>
                <w:sz w:val="24"/>
                <w:szCs w:val="24"/>
                <w:shd w:val="clear" w:color="auto" w:fill="FFFFFF"/>
              </w:rPr>
              <w:tab/>
              <w:t xml:space="preserve"> Mobilus elektroninis parašas (pagal atskirą prašymą).</w:t>
            </w:r>
          </w:p>
          <w:p w14:paraId="4C600B60" w14:textId="77777777"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7.2. Papildomų paslaugų kaina negali būti didesnė nei Teikėjo ir/ar trečiųjų šalių nustatyta bei Teikėjo tinklapyje viešai skelbiama atitinkamų paslaugų kaina.</w:t>
            </w:r>
          </w:p>
          <w:p w14:paraId="1D209DF8" w14:textId="7B4C7D8D" w:rsidR="007B4D5A" w:rsidRPr="00682B1F" w:rsidRDefault="007B4D5A" w:rsidP="009070F5">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t>7.3.  PO neįsipareigoja užsakyti papildomų paslaugų.“</w:t>
            </w:r>
          </w:p>
          <w:p w14:paraId="0D344248" w14:textId="59CA5647" w:rsidR="007B4D5A" w:rsidRPr="00682B1F" w:rsidRDefault="007B4D5A" w:rsidP="00FF45A6">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rPr>
              <w:br/>
            </w:r>
            <w:r w:rsidRPr="00682B1F">
              <w:rPr>
                <w:rFonts w:ascii="Calibri Light" w:hAnsi="Calibri Light" w:cs="Calibri Light"/>
                <w:i w:val="0"/>
                <w:color w:val="181818"/>
                <w:sz w:val="24"/>
                <w:szCs w:val="24"/>
                <w:shd w:val="clear" w:color="auto" w:fill="FFFFFF"/>
              </w:rPr>
              <w:t>4 klausimas: Toliau punkte 9.    Statinis IP    Kiekvienai SIM kortelei nemokamai turi būti skiriami statiniai vidiniai IP arba statiniai išoriniai (teikėjo) IP adresai nurodytiems abonentams pagal atskirą PO elektroninėmis priemonėmis pateiktą prašymą. - tačiau kokie kiekiai vidinių ar išorinių IP nenurodyta (išoriniai IP brangūs ir nėra jų daug likę - todėl prašome detalizuoti).</w:t>
            </w:r>
          </w:p>
          <w:p w14:paraId="4326FCBB" w14:textId="77777777" w:rsidR="007B4D5A" w:rsidRPr="00682B1F" w:rsidRDefault="007B4D5A" w:rsidP="00FF45A6">
            <w:pPr>
              <w:jc w:val="both"/>
              <w:rPr>
                <w:rFonts w:ascii="Calibri Light" w:hAnsi="Calibri Light" w:cs="Calibri Light"/>
                <w:i w:val="0"/>
                <w:sz w:val="24"/>
                <w:szCs w:val="24"/>
              </w:rPr>
            </w:pPr>
          </w:p>
          <w:p w14:paraId="38076DF7" w14:textId="7F4BB073" w:rsidR="007B4D5A" w:rsidRPr="00685431" w:rsidRDefault="007B4D5A" w:rsidP="005970B8">
            <w:pPr>
              <w:jc w:val="both"/>
              <w:rPr>
                <w:rFonts w:asciiTheme="majorHAnsi" w:hAnsiTheme="majorHAnsi" w:cstheme="majorHAnsi"/>
                <w:i w:val="0"/>
                <w:sz w:val="24"/>
                <w:szCs w:val="24"/>
              </w:rPr>
            </w:pPr>
            <w:r w:rsidRPr="00682B1F">
              <w:rPr>
                <w:rFonts w:ascii="Calibri Light" w:hAnsi="Calibri Light" w:cs="Calibri Light"/>
                <w:i w:val="0"/>
                <w:sz w:val="24"/>
                <w:szCs w:val="24"/>
              </w:rPr>
              <w:t xml:space="preserve">4 </w:t>
            </w:r>
            <w:proofErr w:type="spellStart"/>
            <w:r w:rsidRPr="00682B1F">
              <w:rPr>
                <w:rFonts w:ascii="Calibri Light" w:hAnsi="Calibri Light" w:cs="Calibri Light"/>
                <w:i w:val="0"/>
                <w:sz w:val="24"/>
                <w:szCs w:val="24"/>
              </w:rPr>
              <w:t>ats</w:t>
            </w:r>
            <w:proofErr w:type="spellEnd"/>
            <w:r w:rsidRPr="00682B1F">
              <w:rPr>
                <w:rFonts w:ascii="Calibri Light" w:hAnsi="Calibri Light" w:cs="Calibri Light"/>
                <w:i w:val="0"/>
                <w:sz w:val="24"/>
                <w:szCs w:val="24"/>
              </w:rPr>
              <w:t xml:space="preserve">.: </w:t>
            </w:r>
            <w:r w:rsidR="005970B8" w:rsidRPr="001143AE">
              <w:rPr>
                <w:rFonts w:asciiTheme="majorHAnsi" w:hAnsiTheme="majorHAnsi" w:cstheme="majorHAnsi"/>
                <w:i w:val="0"/>
                <w:iCs/>
                <w:sz w:val="24"/>
                <w:szCs w:val="24"/>
              </w:rPr>
              <w:t xml:space="preserve">Statinių vidinių IP </w:t>
            </w:r>
            <w:r w:rsidR="005970B8">
              <w:rPr>
                <w:rFonts w:ascii="Segoe UI" w:hAnsi="Segoe UI" w:cs="Segoe UI"/>
                <w:i w:val="0"/>
                <w:iCs/>
                <w:color w:val="181818"/>
                <w:sz w:val="21"/>
                <w:szCs w:val="21"/>
                <w:shd w:val="clear" w:color="auto" w:fill="FFFFFF"/>
              </w:rPr>
              <w:t xml:space="preserve">paslaugų naudotojų </w:t>
            </w:r>
            <w:r w:rsidR="005970B8" w:rsidRPr="00B707E9">
              <w:rPr>
                <w:rFonts w:ascii="Segoe UI" w:hAnsi="Segoe UI" w:cs="Segoe UI"/>
                <w:i w:val="0"/>
                <w:iCs/>
                <w:color w:val="181818"/>
                <w:sz w:val="21"/>
                <w:szCs w:val="21"/>
                <w:shd w:val="clear" w:color="auto" w:fill="FFFFFF"/>
              </w:rPr>
              <w:t>10</w:t>
            </w:r>
            <w:r w:rsidR="005970B8">
              <w:rPr>
                <w:rFonts w:ascii="Segoe UI" w:hAnsi="Segoe UI" w:cs="Segoe UI"/>
                <w:i w:val="0"/>
                <w:iCs/>
                <w:color w:val="181818"/>
                <w:sz w:val="21"/>
                <w:szCs w:val="21"/>
                <w:shd w:val="clear" w:color="auto" w:fill="FFFFFF"/>
              </w:rPr>
              <w:t> </w:t>
            </w:r>
            <w:r w:rsidR="005970B8" w:rsidRPr="00B707E9">
              <w:rPr>
                <w:rFonts w:ascii="Segoe UI" w:hAnsi="Segoe UI" w:cs="Segoe UI"/>
                <w:i w:val="0"/>
                <w:iCs/>
                <w:color w:val="181818"/>
                <w:sz w:val="21"/>
                <w:szCs w:val="21"/>
                <w:shd w:val="clear" w:color="auto" w:fill="FFFFFF"/>
              </w:rPr>
              <w:t>996</w:t>
            </w:r>
            <w:r w:rsidR="005970B8">
              <w:rPr>
                <w:rFonts w:ascii="Segoe UI" w:hAnsi="Segoe UI" w:cs="Segoe UI"/>
                <w:i w:val="0"/>
                <w:iCs/>
                <w:color w:val="181818"/>
                <w:sz w:val="21"/>
                <w:szCs w:val="21"/>
                <w:shd w:val="clear" w:color="auto" w:fill="FFFFFF"/>
              </w:rPr>
              <w:t xml:space="preserve"> vnt</w:t>
            </w:r>
            <w:r w:rsidR="005970B8" w:rsidRPr="00147BD7">
              <w:rPr>
                <w:rFonts w:ascii="Segoe UI" w:hAnsi="Segoe UI" w:cs="Segoe UI"/>
                <w:i w:val="0"/>
                <w:iCs/>
                <w:color w:val="181818"/>
                <w:sz w:val="21"/>
                <w:szCs w:val="21"/>
                <w:shd w:val="clear" w:color="auto" w:fill="FFFFFF"/>
              </w:rPr>
              <w:t>.</w:t>
            </w:r>
            <w:r w:rsidR="005970B8" w:rsidRPr="00147BD7">
              <w:rPr>
                <w:rFonts w:asciiTheme="majorHAnsi" w:hAnsiTheme="majorHAnsi" w:cstheme="majorHAnsi"/>
                <w:i w:val="0"/>
                <w:iCs/>
                <w:sz w:val="24"/>
                <w:szCs w:val="24"/>
              </w:rPr>
              <w:t xml:space="preserve"> PO paslaugų naudotojai jungiasi per išorinius IP, skirtus  įstaigoms (6 vnt.).</w:t>
            </w:r>
          </w:p>
        </w:tc>
        <w:tc>
          <w:tcPr>
            <w:tcW w:w="3828" w:type="dxa"/>
          </w:tcPr>
          <w:p w14:paraId="4C7D8880" w14:textId="071EB53C" w:rsidR="007B4D5A" w:rsidRPr="00682B1F" w:rsidRDefault="007B4D5A" w:rsidP="00FF45A6">
            <w:pPr>
              <w:jc w:val="both"/>
              <w:rPr>
                <w:rFonts w:ascii="Calibri Light" w:hAnsi="Calibri Light" w:cs="Calibri Light"/>
                <w:i w:val="0"/>
                <w:color w:val="181818"/>
                <w:sz w:val="24"/>
                <w:szCs w:val="24"/>
                <w:shd w:val="clear" w:color="auto" w:fill="FFFFFF"/>
              </w:rPr>
            </w:pPr>
            <w:r w:rsidRPr="00682B1F">
              <w:rPr>
                <w:rFonts w:ascii="Calibri Light" w:hAnsi="Calibri Light" w:cs="Calibri Light"/>
                <w:i w:val="0"/>
                <w:color w:val="181818"/>
                <w:sz w:val="24"/>
                <w:szCs w:val="24"/>
                <w:shd w:val="clear" w:color="auto" w:fill="FFFFFF"/>
              </w:rPr>
              <w:lastRenderedPageBreak/>
              <w:t>Dėl techninėje specifikacijoje įrašyto naujo 12.1 punkto, pažymime, kad šį reikalavimą dėl objektyvių priežasčių visuose VSAT objektuose ir padaliniuose visa apimtimi įgyvendinti praktiškai neįmanoma, nes nebus galimybės pastatyti naujas bazines stotis ir (ar) kartotuvus, užtikrinančius galimybę naudotis paslaugomis nurodytuose objektuose.</w:t>
            </w:r>
          </w:p>
        </w:tc>
      </w:tr>
    </w:tbl>
    <w:p w14:paraId="2F80EF08" w14:textId="77777777" w:rsidR="00403333" w:rsidRPr="00685431" w:rsidRDefault="00403333" w:rsidP="00403333">
      <w:pPr>
        <w:pBdr>
          <w:top w:val="nil"/>
          <w:left w:val="nil"/>
          <w:bottom w:val="nil"/>
          <w:right w:val="nil"/>
          <w:between w:val="nil"/>
          <w:bar w:val="nil"/>
        </w:pBdr>
        <w:suppressAutoHyphens/>
        <w:spacing w:after="0" w:line="288" w:lineRule="auto"/>
        <w:jc w:val="both"/>
        <w:rPr>
          <w:rFonts w:asciiTheme="majorHAnsi" w:eastAsia="Arial" w:hAnsiTheme="majorHAnsi" w:cstheme="majorHAnsi"/>
          <w:i w:val="0"/>
          <w:color w:val="000000"/>
          <w:sz w:val="24"/>
          <w:szCs w:val="24"/>
          <w:lang w:eastAsia="ja-JP"/>
        </w:rPr>
      </w:pPr>
    </w:p>
    <w:p w14:paraId="2739DA50" w14:textId="016556EC" w:rsidR="00D9717D" w:rsidRPr="009D3BED" w:rsidRDefault="00D9717D"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2FC98BAE" w14:textId="77777777" w:rsidR="00403333" w:rsidRPr="00904155" w:rsidRDefault="00403333"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sectPr w:rsidR="00403333" w:rsidRPr="00904155" w:rsidSect="003819D8">
      <w:headerReference w:type="default" r:id="rId8"/>
      <w:head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ECE5C" w14:textId="77777777" w:rsidR="00A249D4" w:rsidRDefault="00A249D4" w:rsidP="00DF6D98">
      <w:pPr>
        <w:spacing w:after="0" w:line="240" w:lineRule="auto"/>
      </w:pPr>
      <w:r>
        <w:separator/>
      </w:r>
    </w:p>
  </w:endnote>
  <w:endnote w:type="continuationSeparator" w:id="0">
    <w:p w14:paraId="25B257ED" w14:textId="77777777" w:rsidR="00A249D4" w:rsidRDefault="00A249D4"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F7847" w14:textId="77777777" w:rsidR="00A249D4" w:rsidRDefault="00A249D4" w:rsidP="00DF6D98">
      <w:pPr>
        <w:spacing w:after="0" w:line="240" w:lineRule="auto"/>
      </w:pPr>
      <w:r>
        <w:separator/>
      </w:r>
    </w:p>
  </w:footnote>
  <w:footnote w:type="continuationSeparator" w:id="0">
    <w:p w14:paraId="24B82857" w14:textId="77777777" w:rsidR="00A249D4" w:rsidRDefault="00A249D4" w:rsidP="00DF6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40486"/>
      <w:docPartObj>
        <w:docPartGallery w:val="Page Numbers (Top of Page)"/>
        <w:docPartUnique/>
      </w:docPartObj>
    </w:sdtPr>
    <w:sdtEndPr/>
    <w:sdtContent>
      <w:p w14:paraId="050A9437" w14:textId="6EE4D84B" w:rsidR="00DF6D98" w:rsidRDefault="00DF6D98">
        <w:pPr>
          <w:pStyle w:val="Header"/>
          <w:jc w:val="center"/>
        </w:pPr>
        <w:r>
          <w:fldChar w:fldCharType="begin"/>
        </w:r>
        <w:r>
          <w:instrText>PAGE   \* MERGEFORMAT</w:instrText>
        </w:r>
        <w:r>
          <w:fldChar w:fldCharType="separate"/>
        </w:r>
        <w:r w:rsidR="00147BD7">
          <w:rPr>
            <w:noProof/>
          </w:rPr>
          <w:t>2</w:t>
        </w:r>
        <w:r>
          <w:fldChar w:fldCharType="end"/>
        </w:r>
      </w:p>
    </w:sdtContent>
  </w:sdt>
  <w:p w14:paraId="01E4A6C6" w14:textId="77777777" w:rsidR="00DF6D98" w:rsidRDefault="00DF6D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DAA60CE"/>
    <w:multiLevelType w:val="multilevel"/>
    <w:tmpl w:val="843447D4"/>
    <w:lvl w:ilvl="0">
      <w:start w:val="7"/>
      <w:numFmt w:val="decimal"/>
      <w:lvlText w:val="%1"/>
      <w:lvlJc w:val="left"/>
      <w:pPr>
        <w:ind w:left="105" w:hanging="417"/>
      </w:pPr>
      <w:rPr>
        <w:rFonts w:hint="default"/>
        <w:lang w:val="lt-LT" w:eastAsia="en-US" w:bidi="ar-SA"/>
      </w:rPr>
    </w:lvl>
    <w:lvl w:ilvl="1">
      <w:start w:val="1"/>
      <w:numFmt w:val="decimal"/>
      <w:lvlText w:val="%1.%2."/>
      <w:lvlJc w:val="left"/>
      <w:pPr>
        <w:ind w:left="105" w:hanging="417"/>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012" w:hanging="417"/>
      </w:pPr>
      <w:rPr>
        <w:rFonts w:hint="default"/>
        <w:lang w:val="lt-LT" w:eastAsia="en-US" w:bidi="ar-SA"/>
      </w:rPr>
    </w:lvl>
    <w:lvl w:ilvl="3">
      <w:numFmt w:val="bullet"/>
      <w:lvlText w:val="•"/>
      <w:lvlJc w:val="left"/>
      <w:pPr>
        <w:ind w:left="1468" w:hanging="417"/>
      </w:pPr>
      <w:rPr>
        <w:rFonts w:hint="default"/>
        <w:lang w:val="lt-LT" w:eastAsia="en-US" w:bidi="ar-SA"/>
      </w:rPr>
    </w:lvl>
    <w:lvl w:ilvl="4">
      <w:numFmt w:val="bullet"/>
      <w:lvlText w:val="•"/>
      <w:lvlJc w:val="left"/>
      <w:pPr>
        <w:ind w:left="1924" w:hanging="417"/>
      </w:pPr>
      <w:rPr>
        <w:rFonts w:hint="default"/>
        <w:lang w:val="lt-LT" w:eastAsia="en-US" w:bidi="ar-SA"/>
      </w:rPr>
    </w:lvl>
    <w:lvl w:ilvl="5">
      <w:numFmt w:val="bullet"/>
      <w:lvlText w:val="•"/>
      <w:lvlJc w:val="left"/>
      <w:pPr>
        <w:ind w:left="2380" w:hanging="417"/>
      </w:pPr>
      <w:rPr>
        <w:rFonts w:hint="default"/>
        <w:lang w:val="lt-LT" w:eastAsia="en-US" w:bidi="ar-SA"/>
      </w:rPr>
    </w:lvl>
    <w:lvl w:ilvl="6">
      <w:numFmt w:val="bullet"/>
      <w:lvlText w:val="•"/>
      <w:lvlJc w:val="left"/>
      <w:pPr>
        <w:ind w:left="2836" w:hanging="417"/>
      </w:pPr>
      <w:rPr>
        <w:rFonts w:hint="default"/>
        <w:lang w:val="lt-LT" w:eastAsia="en-US" w:bidi="ar-SA"/>
      </w:rPr>
    </w:lvl>
    <w:lvl w:ilvl="7">
      <w:numFmt w:val="bullet"/>
      <w:lvlText w:val="•"/>
      <w:lvlJc w:val="left"/>
      <w:pPr>
        <w:ind w:left="3292" w:hanging="417"/>
      </w:pPr>
      <w:rPr>
        <w:rFonts w:hint="default"/>
        <w:lang w:val="lt-LT" w:eastAsia="en-US" w:bidi="ar-SA"/>
      </w:rPr>
    </w:lvl>
    <w:lvl w:ilvl="8">
      <w:numFmt w:val="bullet"/>
      <w:lvlText w:val="•"/>
      <w:lvlJc w:val="left"/>
      <w:pPr>
        <w:ind w:left="3748" w:hanging="417"/>
      </w:pPr>
      <w:rPr>
        <w:rFonts w:hint="default"/>
        <w:lang w:val="lt-LT" w:eastAsia="en-US" w:bidi="ar-SA"/>
      </w:rPr>
    </w:lvl>
  </w:abstractNum>
  <w:abstractNum w:abstractNumId="2" w15:restartNumberingAfterBreak="0">
    <w:nsid w:val="105119F5"/>
    <w:multiLevelType w:val="multilevel"/>
    <w:tmpl w:val="0B04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1105DD"/>
    <w:multiLevelType w:val="multilevel"/>
    <w:tmpl w:val="224E5846"/>
    <w:lvl w:ilvl="0">
      <w:start w:val="7"/>
      <w:numFmt w:val="decimal"/>
      <w:lvlText w:val="%1"/>
      <w:lvlJc w:val="left"/>
      <w:pPr>
        <w:ind w:left="105" w:hanging="458"/>
      </w:pPr>
      <w:rPr>
        <w:rFonts w:hint="default"/>
        <w:lang w:val="lt-LT" w:eastAsia="en-US" w:bidi="ar-SA"/>
      </w:rPr>
    </w:lvl>
    <w:lvl w:ilvl="1">
      <w:start w:val="1"/>
      <w:numFmt w:val="decimal"/>
      <w:lvlText w:val="%1.%2."/>
      <w:lvlJc w:val="left"/>
      <w:pPr>
        <w:ind w:left="105" w:hanging="458"/>
      </w:pPr>
      <w:rPr>
        <w:rFonts w:ascii="Calibri Light" w:eastAsia="Calibri Light" w:hAnsi="Calibri Light" w:cs="Calibri Light" w:hint="default"/>
        <w:b w:val="0"/>
        <w:bCs w:val="0"/>
        <w:i w:val="0"/>
        <w:iCs w:val="0"/>
        <w:spacing w:val="-2"/>
        <w:w w:val="100"/>
        <w:sz w:val="22"/>
        <w:szCs w:val="22"/>
        <w:lang w:val="lt-LT" w:eastAsia="en-US" w:bidi="ar-SA"/>
      </w:rPr>
    </w:lvl>
    <w:lvl w:ilvl="2">
      <w:numFmt w:val="bullet"/>
      <w:lvlText w:val="•"/>
      <w:lvlJc w:val="left"/>
      <w:pPr>
        <w:ind w:left="1012" w:hanging="458"/>
      </w:pPr>
      <w:rPr>
        <w:rFonts w:hint="default"/>
        <w:lang w:val="lt-LT" w:eastAsia="en-US" w:bidi="ar-SA"/>
      </w:rPr>
    </w:lvl>
    <w:lvl w:ilvl="3">
      <w:numFmt w:val="bullet"/>
      <w:lvlText w:val="•"/>
      <w:lvlJc w:val="left"/>
      <w:pPr>
        <w:ind w:left="1468" w:hanging="458"/>
      </w:pPr>
      <w:rPr>
        <w:rFonts w:hint="default"/>
        <w:lang w:val="lt-LT" w:eastAsia="en-US" w:bidi="ar-SA"/>
      </w:rPr>
    </w:lvl>
    <w:lvl w:ilvl="4">
      <w:numFmt w:val="bullet"/>
      <w:lvlText w:val="•"/>
      <w:lvlJc w:val="left"/>
      <w:pPr>
        <w:ind w:left="1924" w:hanging="458"/>
      </w:pPr>
      <w:rPr>
        <w:rFonts w:hint="default"/>
        <w:lang w:val="lt-LT" w:eastAsia="en-US" w:bidi="ar-SA"/>
      </w:rPr>
    </w:lvl>
    <w:lvl w:ilvl="5">
      <w:numFmt w:val="bullet"/>
      <w:lvlText w:val="•"/>
      <w:lvlJc w:val="left"/>
      <w:pPr>
        <w:ind w:left="2380" w:hanging="458"/>
      </w:pPr>
      <w:rPr>
        <w:rFonts w:hint="default"/>
        <w:lang w:val="lt-LT" w:eastAsia="en-US" w:bidi="ar-SA"/>
      </w:rPr>
    </w:lvl>
    <w:lvl w:ilvl="6">
      <w:numFmt w:val="bullet"/>
      <w:lvlText w:val="•"/>
      <w:lvlJc w:val="left"/>
      <w:pPr>
        <w:ind w:left="2836" w:hanging="458"/>
      </w:pPr>
      <w:rPr>
        <w:rFonts w:hint="default"/>
        <w:lang w:val="lt-LT" w:eastAsia="en-US" w:bidi="ar-SA"/>
      </w:rPr>
    </w:lvl>
    <w:lvl w:ilvl="7">
      <w:numFmt w:val="bullet"/>
      <w:lvlText w:val="•"/>
      <w:lvlJc w:val="left"/>
      <w:pPr>
        <w:ind w:left="3292" w:hanging="458"/>
      </w:pPr>
      <w:rPr>
        <w:rFonts w:hint="default"/>
        <w:lang w:val="lt-LT" w:eastAsia="en-US" w:bidi="ar-SA"/>
      </w:rPr>
    </w:lvl>
    <w:lvl w:ilvl="8">
      <w:numFmt w:val="bullet"/>
      <w:lvlText w:val="•"/>
      <w:lvlJc w:val="left"/>
      <w:pPr>
        <w:ind w:left="3748" w:hanging="458"/>
      </w:pPr>
      <w:rPr>
        <w:rFonts w:hint="default"/>
        <w:lang w:val="lt-LT" w:eastAsia="en-US" w:bidi="ar-SA"/>
      </w:rPr>
    </w:lvl>
  </w:abstractNum>
  <w:abstractNum w:abstractNumId="10" w15:restartNumberingAfterBreak="0">
    <w:nsid w:val="692C7E03"/>
    <w:multiLevelType w:val="hybridMultilevel"/>
    <w:tmpl w:val="21CCECC8"/>
    <w:lvl w:ilvl="0" w:tplc="C56EBA1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3"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6E0CEF"/>
    <w:multiLevelType w:val="hybridMultilevel"/>
    <w:tmpl w:val="480C66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6"/>
  </w:num>
  <w:num w:numId="2">
    <w:abstractNumId w:val="13"/>
  </w:num>
  <w:num w:numId="3">
    <w:abstractNumId w:val="8"/>
  </w:num>
  <w:num w:numId="4">
    <w:abstractNumId w:val="4"/>
  </w:num>
  <w:num w:numId="5">
    <w:abstractNumId w:val="3"/>
  </w:num>
  <w:num w:numId="6">
    <w:abstractNumId w:val="12"/>
  </w:num>
  <w:num w:numId="7">
    <w:abstractNumId w:val="7"/>
  </w:num>
  <w:num w:numId="8">
    <w:abstractNumId w:val="11"/>
  </w:num>
  <w:num w:numId="9">
    <w:abstractNumId w:val="5"/>
  </w:num>
  <w:num w:numId="10">
    <w:abstractNumId w:val="0"/>
  </w:num>
  <w:num w:numId="11">
    <w:abstractNumId w:val="2"/>
  </w:num>
  <w:num w:numId="12">
    <w:abstractNumId w:val="10"/>
  </w:num>
  <w:num w:numId="13">
    <w:abstractNumId w:val="1"/>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A6"/>
    <w:rsid w:val="00004E57"/>
    <w:rsid w:val="00011019"/>
    <w:rsid w:val="00011D23"/>
    <w:rsid w:val="0001321F"/>
    <w:rsid w:val="000330D3"/>
    <w:rsid w:val="000510F9"/>
    <w:rsid w:val="0006259E"/>
    <w:rsid w:val="0006264F"/>
    <w:rsid w:val="0007055D"/>
    <w:rsid w:val="00070B4F"/>
    <w:rsid w:val="000812B0"/>
    <w:rsid w:val="00084F7F"/>
    <w:rsid w:val="000949BA"/>
    <w:rsid w:val="0009580C"/>
    <w:rsid w:val="000A29E5"/>
    <w:rsid w:val="000B23E2"/>
    <w:rsid w:val="000C05EB"/>
    <w:rsid w:val="000C7F99"/>
    <w:rsid w:val="000E0E92"/>
    <w:rsid w:val="000E2E5E"/>
    <w:rsid w:val="0010675F"/>
    <w:rsid w:val="00147BD7"/>
    <w:rsid w:val="001539BE"/>
    <w:rsid w:val="00155B01"/>
    <w:rsid w:val="001819AE"/>
    <w:rsid w:val="001851F7"/>
    <w:rsid w:val="00186363"/>
    <w:rsid w:val="001933D2"/>
    <w:rsid w:val="001A62D7"/>
    <w:rsid w:val="001B22E3"/>
    <w:rsid w:val="001B5FD1"/>
    <w:rsid w:val="001B7106"/>
    <w:rsid w:val="001D27EF"/>
    <w:rsid w:val="001E769E"/>
    <w:rsid w:val="001F42C1"/>
    <w:rsid w:val="00202A10"/>
    <w:rsid w:val="00210074"/>
    <w:rsid w:val="00223CF7"/>
    <w:rsid w:val="00254746"/>
    <w:rsid w:val="002639FF"/>
    <w:rsid w:val="002662F7"/>
    <w:rsid w:val="00266788"/>
    <w:rsid w:val="00271355"/>
    <w:rsid w:val="0027252A"/>
    <w:rsid w:val="00287B13"/>
    <w:rsid w:val="002A0330"/>
    <w:rsid w:val="002A2C15"/>
    <w:rsid w:val="002D26E2"/>
    <w:rsid w:val="002D4562"/>
    <w:rsid w:val="002F0295"/>
    <w:rsid w:val="002F153A"/>
    <w:rsid w:val="00305BFF"/>
    <w:rsid w:val="00315E95"/>
    <w:rsid w:val="00322517"/>
    <w:rsid w:val="00323759"/>
    <w:rsid w:val="00325383"/>
    <w:rsid w:val="00350061"/>
    <w:rsid w:val="003621FB"/>
    <w:rsid w:val="003664AB"/>
    <w:rsid w:val="00375A46"/>
    <w:rsid w:val="003819D8"/>
    <w:rsid w:val="00383316"/>
    <w:rsid w:val="00384E1E"/>
    <w:rsid w:val="00385185"/>
    <w:rsid w:val="003B4270"/>
    <w:rsid w:val="003F2BFC"/>
    <w:rsid w:val="003F5C9F"/>
    <w:rsid w:val="003F5D8E"/>
    <w:rsid w:val="00402398"/>
    <w:rsid w:val="00403333"/>
    <w:rsid w:val="00405336"/>
    <w:rsid w:val="004161AC"/>
    <w:rsid w:val="00420FE8"/>
    <w:rsid w:val="00435535"/>
    <w:rsid w:val="00435BC2"/>
    <w:rsid w:val="00436160"/>
    <w:rsid w:val="004410A9"/>
    <w:rsid w:val="0044622B"/>
    <w:rsid w:val="0045370A"/>
    <w:rsid w:val="00482A4D"/>
    <w:rsid w:val="004870E3"/>
    <w:rsid w:val="00490D3D"/>
    <w:rsid w:val="00491A00"/>
    <w:rsid w:val="00494105"/>
    <w:rsid w:val="004947D8"/>
    <w:rsid w:val="00497085"/>
    <w:rsid w:val="004A50F1"/>
    <w:rsid w:val="004A66AB"/>
    <w:rsid w:val="004B5FD0"/>
    <w:rsid w:val="004E2D9D"/>
    <w:rsid w:val="004E6DB6"/>
    <w:rsid w:val="004F1423"/>
    <w:rsid w:val="004F2762"/>
    <w:rsid w:val="00534389"/>
    <w:rsid w:val="005417E3"/>
    <w:rsid w:val="005426CE"/>
    <w:rsid w:val="00546B97"/>
    <w:rsid w:val="0055425F"/>
    <w:rsid w:val="0056557A"/>
    <w:rsid w:val="0058039D"/>
    <w:rsid w:val="005815E3"/>
    <w:rsid w:val="005941FD"/>
    <w:rsid w:val="005970B8"/>
    <w:rsid w:val="005A3660"/>
    <w:rsid w:val="005C2561"/>
    <w:rsid w:val="005C55D5"/>
    <w:rsid w:val="005D0440"/>
    <w:rsid w:val="005E10AB"/>
    <w:rsid w:val="005E209B"/>
    <w:rsid w:val="005E67FB"/>
    <w:rsid w:val="005F3514"/>
    <w:rsid w:val="006156A4"/>
    <w:rsid w:val="00633EEE"/>
    <w:rsid w:val="006350B3"/>
    <w:rsid w:val="00654E87"/>
    <w:rsid w:val="00671DDD"/>
    <w:rsid w:val="0067602B"/>
    <w:rsid w:val="00680216"/>
    <w:rsid w:val="00682B1F"/>
    <w:rsid w:val="00683D5C"/>
    <w:rsid w:val="00685431"/>
    <w:rsid w:val="0068605A"/>
    <w:rsid w:val="006B563C"/>
    <w:rsid w:val="006C3DD9"/>
    <w:rsid w:val="006C672C"/>
    <w:rsid w:val="006D03A7"/>
    <w:rsid w:val="006E3454"/>
    <w:rsid w:val="006F153E"/>
    <w:rsid w:val="00704CF4"/>
    <w:rsid w:val="00716F5E"/>
    <w:rsid w:val="007354C9"/>
    <w:rsid w:val="00743E34"/>
    <w:rsid w:val="007533A4"/>
    <w:rsid w:val="007602A1"/>
    <w:rsid w:val="00760E60"/>
    <w:rsid w:val="00765882"/>
    <w:rsid w:val="00781CBC"/>
    <w:rsid w:val="00793DC3"/>
    <w:rsid w:val="00795EB4"/>
    <w:rsid w:val="00796256"/>
    <w:rsid w:val="007A0EC1"/>
    <w:rsid w:val="007A5E3D"/>
    <w:rsid w:val="007A64D1"/>
    <w:rsid w:val="007A6B37"/>
    <w:rsid w:val="007B4D5A"/>
    <w:rsid w:val="007C7F58"/>
    <w:rsid w:val="007E0FA7"/>
    <w:rsid w:val="007F77C7"/>
    <w:rsid w:val="00831B87"/>
    <w:rsid w:val="00842B49"/>
    <w:rsid w:val="00870652"/>
    <w:rsid w:val="00873C52"/>
    <w:rsid w:val="008931D7"/>
    <w:rsid w:val="00893924"/>
    <w:rsid w:val="00897109"/>
    <w:rsid w:val="008A16E4"/>
    <w:rsid w:val="008B3DE4"/>
    <w:rsid w:val="008D52A6"/>
    <w:rsid w:val="008E0F00"/>
    <w:rsid w:val="008E5A52"/>
    <w:rsid w:val="00904155"/>
    <w:rsid w:val="009070F5"/>
    <w:rsid w:val="00913E82"/>
    <w:rsid w:val="00917D9A"/>
    <w:rsid w:val="00945BE9"/>
    <w:rsid w:val="009508A2"/>
    <w:rsid w:val="00977CF9"/>
    <w:rsid w:val="00984BF7"/>
    <w:rsid w:val="009C01D9"/>
    <w:rsid w:val="009C6CC1"/>
    <w:rsid w:val="009D219A"/>
    <w:rsid w:val="009D3BED"/>
    <w:rsid w:val="009D6537"/>
    <w:rsid w:val="009F0465"/>
    <w:rsid w:val="009F1178"/>
    <w:rsid w:val="009F2722"/>
    <w:rsid w:val="00A05210"/>
    <w:rsid w:val="00A21016"/>
    <w:rsid w:val="00A22DDB"/>
    <w:rsid w:val="00A249D4"/>
    <w:rsid w:val="00A24CFA"/>
    <w:rsid w:val="00A52A28"/>
    <w:rsid w:val="00A650C6"/>
    <w:rsid w:val="00A72E02"/>
    <w:rsid w:val="00A777C0"/>
    <w:rsid w:val="00A77838"/>
    <w:rsid w:val="00A8467A"/>
    <w:rsid w:val="00A9393C"/>
    <w:rsid w:val="00A94045"/>
    <w:rsid w:val="00A97001"/>
    <w:rsid w:val="00A974FC"/>
    <w:rsid w:val="00AA6A96"/>
    <w:rsid w:val="00AE2EBB"/>
    <w:rsid w:val="00AE4EB9"/>
    <w:rsid w:val="00AF04AA"/>
    <w:rsid w:val="00AF6E34"/>
    <w:rsid w:val="00B11094"/>
    <w:rsid w:val="00B16CD6"/>
    <w:rsid w:val="00B403EC"/>
    <w:rsid w:val="00B466F6"/>
    <w:rsid w:val="00B51578"/>
    <w:rsid w:val="00B55172"/>
    <w:rsid w:val="00B56A57"/>
    <w:rsid w:val="00B56EC1"/>
    <w:rsid w:val="00B57BCB"/>
    <w:rsid w:val="00B63F11"/>
    <w:rsid w:val="00B642AC"/>
    <w:rsid w:val="00B84A38"/>
    <w:rsid w:val="00B96446"/>
    <w:rsid w:val="00B96A6B"/>
    <w:rsid w:val="00BB163C"/>
    <w:rsid w:val="00BC595F"/>
    <w:rsid w:val="00BC5AC3"/>
    <w:rsid w:val="00BC711C"/>
    <w:rsid w:val="00BC75D8"/>
    <w:rsid w:val="00BE7100"/>
    <w:rsid w:val="00C04118"/>
    <w:rsid w:val="00C15FD4"/>
    <w:rsid w:val="00C26A22"/>
    <w:rsid w:val="00C3292D"/>
    <w:rsid w:val="00C33EC0"/>
    <w:rsid w:val="00C34730"/>
    <w:rsid w:val="00C51CA9"/>
    <w:rsid w:val="00C632F4"/>
    <w:rsid w:val="00C644A7"/>
    <w:rsid w:val="00C65380"/>
    <w:rsid w:val="00C71BF7"/>
    <w:rsid w:val="00C7734C"/>
    <w:rsid w:val="00C952BB"/>
    <w:rsid w:val="00CA56CB"/>
    <w:rsid w:val="00CB2CF3"/>
    <w:rsid w:val="00CC78F8"/>
    <w:rsid w:val="00CD222C"/>
    <w:rsid w:val="00CD5CF3"/>
    <w:rsid w:val="00D04E56"/>
    <w:rsid w:val="00D05725"/>
    <w:rsid w:val="00D11348"/>
    <w:rsid w:val="00D11F81"/>
    <w:rsid w:val="00D123B3"/>
    <w:rsid w:val="00D1478F"/>
    <w:rsid w:val="00D24A79"/>
    <w:rsid w:val="00D308C7"/>
    <w:rsid w:val="00D50DFE"/>
    <w:rsid w:val="00D705D6"/>
    <w:rsid w:val="00D7483E"/>
    <w:rsid w:val="00D82C92"/>
    <w:rsid w:val="00D84210"/>
    <w:rsid w:val="00D95811"/>
    <w:rsid w:val="00D9717D"/>
    <w:rsid w:val="00DA6688"/>
    <w:rsid w:val="00DB10CB"/>
    <w:rsid w:val="00DB1A7D"/>
    <w:rsid w:val="00DC1E08"/>
    <w:rsid w:val="00DC203A"/>
    <w:rsid w:val="00DC20A5"/>
    <w:rsid w:val="00DC52BA"/>
    <w:rsid w:val="00DD4A5C"/>
    <w:rsid w:val="00DF6AAC"/>
    <w:rsid w:val="00DF6D98"/>
    <w:rsid w:val="00E03BA7"/>
    <w:rsid w:val="00E17904"/>
    <w:rsid w:val="00E22DEA"/>
    <w:rsid w:val="00E23929"/>
    <w:rsid w:val="00E35379"/>
    <w:rsid w:val="00E36F97"/>
    <w:rsid w:val="00E72817"/>
    <w:rsid w:val="00E76D06"/>
    <w:rsid w:val="00E833D5"/>
    <w:rsid w:val="00E83482"/>
    <w:rsid w:val="00E9202F"/>
    <w:rsid w:val="00EA6847"/>
    <w:rsid w:val="00EB6DC7"/>
    <w:rsid w:val="00EC0D74"/>
    <w:rsid w:val="00EC41E2"/>
    <w:rsid w:val="00ED597D"/>
    <w:rsid w:val="00ED7E32"/>
    <w:rsid w:val="00EF2BC7"/>
    <w:rsid w:val="00EF40F0"/>
    <w:rsid w:val="00F07ED2"/>
    <w:rsid w:val="00F1729C"/>
    <w:rsid w:val="00F265F1"/>
    <w:rsid w:val="00F34ADE"/>
    <w:rsid w:val="00F57EA0"/>
    <w:rsid w:val="00F72543"/>
    <w:rsid w:val="00F90B72"/>
    <w:rsid w:val="00FA693F"/>
    <w:rsid w:val="00FB69C3"/>
    <w:rsid w:val="00FC1364"/>
    <w:rsid w:val="00FC4C25"/>
    <w:rsid w:val="00FE150D"/>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92"/>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semiHidden/>
    <w:unhideWhenUsed/>
    <w:rsid w:val="00420FE8"/>
    <w:rPr>
      <w:sz w:val="16"/>
      <w:szCs w:val="16"/>
    </w:rPr>
  </w:style>
  <w:style w:type="paragraph" w:styleId="CommentText">
    <w:name w:val="annotation text"/>
    <w:basedOn w:val="Normal"/>
    <w:link w:val="CommentTextChar"/>
    <w:uiPriority w:val="99"/>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D95811"/>
    <w:pPr>
      <w:widowControl w:val="0"/>
      <w:autoSpaceDE w:val="0"/>
      <w:autoSpaceDN w:val="0"/>
      <w:spacing w:after="0" w:line="240" w:lineRule="auto"/>
      <w:ind w:left="105"/>
    </w:pPr>
    <w:rPr>
      <w:rFonts w:ascii="Calibri Light" w:eastAsia="Calibri Light" w:hAnsi="Calibri Light" w:cs="Calibri Light"/>
      <w:i w:val="0"/>
    </w:rPr>
  </w:style>
  <w:style w:type="table" w:customStyle="1" w:styleId="Lentelstinklelis11">
    <w:name w:val="Lentelės tinklelis11"/>
    <w:basedOn w:val="TableNormal"/>
    <w:next w:val="TableGrid"/>
    <w:uiPriority w:val="39"/>
    <w:rsid w:val="00AE4E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4EB9"/>
    <w:pPr>
      <w:widowControl w:val="0"/>
      <w:autoSpaceDE w:val="0"/>
      <w:autoSpaceDN w:val="0"/>
      <w:spacing w:after="0" w:line="240" w:lineRule="auto"/>
    </w:pPr>
    <w:rPr>
      <w:rFonts w:ascii="Arial" w:eastAsia="Arial" w:hAnsi="Arial" w:cs="Arial"/>
      <w:i w:val="0"/>
      <w:sz w:val="20"/>
      <w:szCs w:val="20"/>
    </w:rPr>
  </w:style>
  <w:style w:type="character" w:customStyle="1" w:styleId="BodyTextChar">
    <w:name w:val="Body Text Char"/>
    <w:basedOn w:val="DefaultParagraphFont"/>
    <w:link w:val="BodyText"/>
    <w:uiPriority w:val="1"/>
    <w:rsid w:val="00AE4EB9"/>
    <w:rPr>
      <w:rFonts w:ascii="Arial" w:eastAsia="Arial" w:hAnsi="Arial" w:cs="Arial"/>
      <w:sz w:val="20"/>
      <w:szCs w:val="20"/>
    </w:rPr>
  </w:style>
  <w:style w:type="paragraph" w:customStyle="1" w:styleId="Default">
    <w:name w:val="Default"/>
    <w:rsid w:val="007B4D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0">
      <w:bodyDiv w:val="1"/>
      <w:marLeft w:val="0"/>
      <w:marRight w:val="0"/>
      <w:marTop w:val="0"/>
      <w:marBottom w:val="0"/>
      <w:divBdr>
        <w:top w:val="none" w:sz="0" w:space="0" w:color="auto"/>
        <w:left w:val="none" w:sz="0" w:space="0" w:color="auto"/>
        <w:bottom w:val="none" w:sz="0" w:space="0" w:color="auto"/>
        <w:right w:val="none" w:sz="0" w:space="0" w:color="auto"/>
      </w:divBdr>
    </w:div>
    <w:div w:id="11037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B1379-E860-4D6B-86A9-66106650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3040</Words>
  <Characters>1734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Dalia Vienažindytė</cp:lastModifiedBy>
  <cp:revision>19</cp:revision>
  <dcterms:created xsi:type="dcterms:W3CDTF">2025-03-03T13:29:00Z</dcterms:created>
  <dcterms:modified xsi:type="dcterms:W3CDTF">2025-05-05T11:04:00Z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2025-02-28T14:04:30Z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92cb1112-6502-4c2d-8d7d-5a35af8289a0</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