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1E0" w:firstRow="1" w:lastRow="1" w:firstColumn="1" w:lastColumn="1" w:noHBand="0" w:noVBand="0"/>
      </w:tblPr>
      <w:tblGrid>
        <w:gridCol w:w="5965"/>
      </w:tblGrid>
      <w:tr w:rsidR="00E15E73" w:rsidRPr="00E15E73" w14:paraId="7C626353" w14:textId="77777777" w:rsidTr="00045163">
        <w:trPr>
          <w:jc w:val="right"/>
        </w:trPr>
        <w:tc>
          <w:tcPr>
            <w:tcW w:w="5965" w:type="dxa"/>
          </w:tcPr>
          <w:p w14:paraId="76FDA9A7" w14:textId="753C477B" w:rsidR="00E15E73" w:rsidRPr="00E15E73" w:rsidRDefault="00E15E73" w:rsidP="00385FE8">
            <w:pPr>
              <w:widowControl/>
              <w:tabs>
                <w:tab w:val="left" w:pos="426"/>
                <w:tab w:val="left" w:pos="567"/>
                <w:tab w:val="left" w:pos="851"/>
              </w:tabs>
              <w:suppressAutoHyphens w:val="0"/>
              <w:autoSpaceDN w:val="0"/>
              <w:contextualSpacing/>
              <w:rPr>
                <w:rFonts w:eastAsia="Calibri"/>
                <w:kern w:val="0"/>
                <w:lang w:eastAsia="en-US"/>
              </w:rPr>
            </w:pPr>
          </w:p>
        </w:tc>
      </w:tr>
      <w:tr w:rsidR="00E15E73" w:rsidRPr="00E15E73" w14:paraId="7B7A2199" w14:textId="77777777" w:rsidTr="00045163">
        <w:trPr>
          <w:jc w:val="right"/>
        </w:trPr>
        <w:tc>
          <w:tcPr>
            <w:tcW w:w="5965" w:type="dxa"/>
          </w:tcPr>
          <w:p w14:paraId="63C79A5F" w14:textId="35123EB1" w:rsidR="00F94ADC" w:rsidRPr="00E15E73" w:rsidRDefault="00F94ADC" w:rsidP="00F94ADC">
            <w:pPr>
              <w:widowControl/>
              <w:tabs>
                <w:tab w:val="left" w:pos="426"/>
                <w:tab w:val="left" w:pos="567"/>
                <w:tab w:val="left" w:pos="851"/>
              </w:tabs>
              <w:suppressAutoHyphens w:val="0"/>
              <w:autoSpaceDN w:val="0"/>
              <w:contextualSpacing/>
              <w:rPr>
                <w:rFonts w:eastAsia="Calibri"/>
                <w:kern w:val="0"/>
                <w:lang w:eastAsia="en-US"/>
              </w:rPr>
            </w:pPr>
          </w:p>
        </w:tc>
      </w:tr>
    </w:tbl>
    <w:p w14:paraId="75707E8D" w14:textId="77777777" w:rsidR="000F1C73" w:rsidRPr="0010582E" w:rsidRDefault="000F1C73" w:rsidP="005B45CE">
      <w:pPr>
        <w:pStyle w:val="SLONormal"/>
        <w:spacing w:before="0" w:after="0"/>
        <w:rPr>
          <w:b/>
          <w:lang w:val="lt-LT"/>
        </w:rPr>
      </w:pPr>
    </w:p>
    <w:p w14:paraId="7C2E5C49" w14:textId="2B2E54B6" w:rsidR="00F94ADC" w:rsidRDefault="00014455" w:rsidP="00E27AD7">
      <w:pPr>
        <w:jc w:val="center"/>
        <w:rPr>
          <w:b/>
        </w:rPr>
      </w:pPr>
      <w:r>
        <w:rPr>
          <w:b/>
        </w:rPr>
        <w:t>PROJEKTAVIMO</w:t>
      </w:r>
      <w:r w:rsidR="00AE2EB7" w:rsidRPr="0004269A">
        <w:rPr>
          <w:b/>
        </w:rPr>
        <w:t xml:space="preserve"> UŽDUOTIS</w:t>
      </w:r>
      <w:r w:rsidR="00771FA1">
        <w:rPr>
          <w:b/>
        </w:rPr>
        <w:t xml:space="preserve"> (TECHNINĖ SPECIFIKACIJA)</w:t>
      </w: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124"/>
      </w:tblGrid>
      <w:tr w:rsidR="0004269A" w:rsidRPr="0004269A" w14:paraId="3096AEA2" w14:textId="77777777" w:rsidTr="00F94AD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pPr>
              <w:spacing w:line="276" w:lineRule="auto"/>
              <w:jc w:val="center"/>
              <w:rPr>
                <w:b/>
              </w:rPr>
            </w:pPr>
            <w:r w:rsidRPr="0004269A">
              <w:rPr>
                <w:b/>
              </w:rPr>
              <w:t>Pavadinimas</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FBD2CEE"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69A" w:rsidRDefault="002A5E73">
            <w:pPr>
              <w:spacing w:line="276" w:lineRule="auto"/>
              <w:jc w:val="both"/>
            </w:pPr>
            <w:r w:rsidRPr="0004269A">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04269A" w:rsidRDefault="002A5E73">
            <w:pPr>
              <w:spacing w:line="276" w:lineRule="auto"/>
              <w:jc w:val="both"/>
              <w:rPr>
                <w:u w:val="single"/>
              </w:rPr>
            </w:pPr>
            <w:r w:rsidRPr="0004269A">
              <w:t>Statytojas</w:t>
            </w:r>
            <w:r w:rsidR="005E1A65" w:rsidRPr="0004269A">
              <w:t xml:space="preserve"> (Užsakovas)</w:t>
            </w:r>
          </w:p>
        </w:tc>
        <w:tc>
          <w:tcPr>
            <w:tcW w:w="6124" w:type="dxa"/>
            <w:tcBorders>
              <w:top w:val="single" w:sz="4" w:space="0" w:color="auto"/>
              <w:left w:val="single" w:sz="4" w:space="0" w:color="auto"/>
              <w:bottom w:val="single" w:sz="4" w:space="0" w:color="auto"/>
              <w:right w:val="single" w:sz="4" w:space="0" w:color="auto"/>
            </w:tcBorders>
          </w:tcPr>
          <w:p w14:paraId="77BE0470" w14:textId="33E6322C" w:rsidR="002A5E73" w:rsidRPr="00E15E73" w:rsidRDefault="00504E99" w:rsidP="00504E99">
            <w:pPr>
              <w:suppressAutoHyphens w:val="0"/>
              <w:spacing w:line="276" w:lineRule="auto"/>
              <w:jc w:val="both"/>
              <w:rPr>
                <w:iCs/>
                <w:kern w:val="0"/>
                <w:lang w:eastAsia="lt-LT"/>
              </w:rPr>
            </w:pPr>
            <w:r>
              <w:rPr>
                <w:rFonts w:eastAsia="Times New Roman"/>
                <w:kern w:val="0"/>
                <w:lang w:eastAsia="lt-LT"/>
              </w:rPr>
              <w:t xml:space="preserve">Jurbarko </w:t>
            </w:r>
            <w:r w:rsidR="00E15E73" w:rsidRPr="00E15E73">
              <w:rPr>
                <w:rFonts w:eastAsia="Times New Roman"/>
                <w:kern w:val="0"/>
                <w:lang w:eastAsia="lt-LT"/>
              </w:rPr>
              <w:t xml:space="preserve"> rajono savivaldybės administracija, kodas 18871</w:t>
            </w:r>
            <w:r>
              <w:rPr>
                <w:rFonts w:eastAsia="Times New Roman"/>
                <w:kern w:val="0"/>
                <w:lang w:eastAsia="lt-LT"/>
              </w:rPr>
              <w:t>3933</w:t>
            </w:r>
            <w:r w:rsidR="00E15E73" w:rsidRPr="00E15E73">
              <w:rPr>
                <w:rFonts w:eastAsia="Times New Roman"/>
                <w:kern w:val="0"/>
                <w:lang w:eastAsia="lt-LT"/>
              </w:rPr>
              <w:t xml:space="preserve">, </w:t>
            </w:r>
            <w:r>
              <w:rPr>
                <w:rFonts w:eastAsia="Times New Roman"/>
                <w:kern w:val="0"/>
                <w:lang w:eastAsia="lt-LT"/>
              </w:rPr>
              <w:t>Dariaus ir Girėno</w:t>
            </w:r>
            <w:r w:rsidR="00E15E73" w:rsidRPr="00E15E73">
              <w:rPr>
                <w:rFonts w:eastAsia="Times New Roman"/>
                <w:kern w:val="0"/>
                <w:lang w:eastAsia="lt-LT"/>
              </w:rPr>
              <w:t xml:space="preserve"> g. </w:t>
            </w:r>
            <w:r>
              <w:rPr>
                <w:rFonts w:eastAsia="Times New Roman"/>
                <w:kern w:val="0"/>
                <w:lang w:eastAsia="lt-LT"/>
              </w:rPr>
              <w:t>96</w:t>
            </w:r>
            <w:r w:rsidR="00E15E73" w:rsidRPr="00E15E73">
              <w:rPr>
                <w:rFonts w:eastAsia="Times New Roman"/>
                <w:kern w:val="0"/>
                <w:lang w:eastAsia="lt-LT"/>
              </w:rPr>
              <w:t>, LT-</w:t>
            </w:r>
            <w:r>
              <w:rPr>
                <w:rFonts w:eastAsia="Times New Roman"/>
                <w:kern w:val="0"/>
                <w:lang w:eastAsia="lt-LT"/>
              </w:rPr>
              <w:t>74</w:t>
            </w:r>
            <w:r w:rsidR="00E15E73" w:rsidRPr="00E15E73">
              <w:rPr>
                <w:rFonts w:eastAsia="Times New Roman"/>
                <w:kern w:val="0"/>
                <w:lang w:eastAsia="lt-LT"/>
              </w:rPr>
              <w:t>1</w:t>
            </w:r>
            <w:r>
              <w:rPr>
                <w:rFonts w:eastAsia="Times New Roman"/>
                <w:kern w:val="0"/>
                <w:lang w:eastAsia="lt-LT"/>
              </w:rPr>
              <w:t>8</w:t>
            </w:r>
            <w:r w:rsidR="00E15E73" w:rsidRPr="00E15E73">
              <w:rPr>
                <w:rFonts w:eastAsia="Times New Roman"/>
                <w:kern w:val="0"/>
                <w:lang w:eastAsia="lt-LT"/>
              </w:rPr>
              <w:t xml:space="preserve">7 </w:t>
            </w:r>
            <w:r>
              <w:rPr>
                <w:rFonts w:eastAsia="Times New Roman"/>
                <w:kern w:val="0"/>
                <w:lang w:eastAsia="lt-LT"/>
              </w:rPr>
              <w:t>Jurbarkas</w:t>
            </w:r>
            <w:r w:rsidR="00D73219">
              <w:rPr>
                <w:rFonts w:eastAsia="Times New Roman"/>
                <w:kern w:val="0"/>
                <w:lang w:eastAsia="lt-LT"/>
              </w:rPr>
              <w:t>.</w:t>
            </w:r>
            <w:r w:rsidR="00E15E73">
              <w:rPr>
                <w:rFonts w:eastAsia="Times New Roman"/>
                <w:kern w:val="0"/>
                <w:lang w:eastAsia="lt-LT"/>
              </w:rPr>
              <w:t xml:space="preserve"> </w:t>
            </w:r>
          </w:p>
        </w:tc>
      </w:tr>
      <w:tr w:rsidR="0004269A" w:rsidRPr="0004269A" w14:paraId="0A53921D" w14:textId="77777777" w:rsidTr="0010582E">
        <w:trPr>
          <w:trHeight w:val="11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2399"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pPr>
              <w:spacing w:line="276" w:lineRule="auto"/>
              <w:jc w:val="both"/>
            </w:pPr>
            <w:r w:rsidRPr="0004269A">
              <w:t>Pirkimo objektas</w:t>
            </w:r>
            <w:r w:rsidR="00FE76F8" w:rsidRPr="0004269A">
              <w:t xml:space="preserve"> </w:t>
            </w:r>
          </w:p>
        </w:tc>
        <w:tc>
          <w:tcPr>
            <w:tcW w:w="6124" w:type="dxa"/>
            <w:tcBorders>
              <w:top w:val="single" w:sz="4" w:space="0" w:color="auto"/>
              <w:left w:val="single" w:sz="4" w:space="0" w:color="auto"/>
              <w:bottom w:val="single" w:sz="4" w:space="0" w:color="auto"/>
              <w:right w:val="single" w:sz="4" w:space="0" w:color="auto"/>
            </w:tcBorders>
          </w:tcPr>
          <w:p w14:paraId="0B1045D4" w14:textId="7648F2AE" w:rsidR="0010582E" w:rsidRPr="00E15E73" w:rsidRDefault="000701DB" w:rsidP="000701DB">
            <w:pPr>
              <w:jc w:val="both"/>
            </w:pPr>
            <w:r>
              <w:rPr>
                <w:color w:val="000000"/>
              </w:rPr>
              <w:t xml:space="preserve">Jurbarko m. </w:t>
            </w:r>
            <w:r w:rsidR="00C550FD">
              <w:rPr>
                <w:color w:val="000000"/>
              </w:rPr>
              <w:t>Dainių</w:t>
            </w:r>
            <w:r w:rsidR="00771FA1">
              <w:rPr>
                <w:color w:val="000000"/>
              </w:rPr>
              <w:t xml:space="preserve"> </w:t>
            </w:r>
            <w:r w:rsidR="00504E99">
              <w:rPr>
                <w:color w:val="000000"/>
              </w:rPr>
              <w:t>g.</w:t>
            </w:r>
            <w:r w:rsidR="0010582E" w:rsidRPr="0010582E">
              <w:rPr>
                <w:color w:val="000000"/>
              </w:rPr>
              <w:t xml:space="preserve"> </w:t>
            </w:r>
            <w:r w:rsidR="00504E99">
              <w:rPr>
                <w:color w:val="000000"/>
              </w:rPr>
              <w:t xml:space="preserve">Nr. </w:t>
            </w:r>
            <w:r w:rsidR="00C550FD">
              <w:rPr>
                <w:color w:val="000000"/>
              </w:rPr>
              <w:t>jrm19652</w:t>
            </w:r>
            <w:r>
              <w:rPr>
                <w:color w:val="000000"/>
              </w:rPr>
              <w:t xml:space="preserve"> dalies (nuo Liepų g. iki Eržvilko g.) naujos</w:t>
            </w:r>
            <w:r w:rsidR="00D60615">
              <w:rPr>
                <w:color w:val="000000"/>
              </w:rPr>
              <w:t xml:space="preserve"> statybos</w:t>
            </w:r>
            <w:r>
              <w:rPr>
                <w:color w:val="000000"/>
              </w:rPr>
              <w:t xml:space="preserve"> projekto parengimas</w:t>
            </w:r>
            <w:r w:rsidR="0010582E" w:rsidRPr="0010582E">
              <w:rPr>
                <w:color w:val="000000"/>
              </w:rPr>
              <w:t xml:space="preserve"> </w:t>
            </w:r>
          </w:p>
        </w:tc>
      </w:tr>
      <w:tr w:rsidR="0004269A" w:rsidRPr="0004269A" w14:paraId="21D3E1D2" w14:textId="77777777" w:rsidTr="00F94AD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69A" w:rsidRDefault="003D108C" w:rsidP="002A5E73">
            <w:pPr>
              <w:spacing w:line="276" w:lineRule="auto"/>
              <w:jc w:val="both"/>
            </w:pPr>
            <w:r w:rsidRPr="0004269A">
              <w:t>3.</w:t>
            </w:r>
          </w:p>
        </w:tc>
        <w:tc>
          <w:tcPr>
            <w:tcW w:w="2399" w:type="dxa"/>
            <w:tcBorders>
              <w:top w:val="single" w:sz="4" w:space="0" w:color="auto"/>
              <w:left w:val="single" w:sz="4" w:space="0" w:color="auto"/>
              <w:bottom w:val="single" w:sz="4" w:space="0" w:color="auto"/>
              <w:right w:val="single" w:sz="4" w:space="0" w:color="auto"/>
            </w:tcBorders>
          </w:tcPr>
          <w:p w14:paraId="292F62D9" w14:textId="5798E2E6" w:rsidR="002A5E73" w:rsidRPr="0004269A" w:rsidRDefault="002A5E73" w:rsidP="002A5E73">
            <w:pPr>
              <w:spacing w:line="276" w:lineRule="auto"/>
              <w:jc w:val="both"/>
            </w:pPr>
            <w:r w:rsidRPr="0004269A">
              <w:t>Projekt</w:t>
            </w:r>
            <w:r w:rsidR="00346A70">
              <w:t>o</w:t>
            </w:r>
            <w:r w:rsidRPr="0004269A">
              <w:t xml:space="preserve"> pavadinima</w:t>
            </w:r>
            <w:r w:rsidR="00346A70">
              <w:t>s</w:t>
            </w:r>
          </w:p>
        </w:tc>
        <w:tc>
          <w:tcPr>
            <w:tcW w:w="6124" w:type="dxa"/>
            <w:tcBorders>
              <w:top w:val="single" w:sz="4" w:space="0" w:color="auto"/>
              <w:left w:val="single" w:sz="4" w:space="0" w:color="auto"/>
              <w:bottom w:val="single" w:sz="4" w:space="0" w:color="auto"/>
              <w:right w:val="single" w:sz="4" w:space="0" w:color="auto"/>
            </w:tcBorders>
          </w:tcPr>
          <w:p w14:paraId="19EFDBE7" w14:textId="00BC5E91" w:rsidR="002A5E73" w:rsidRPr="008740C6" w:rsidRDefault="000701DB" w:rsidP="000701DB">
            <w:pPr>
              <w:suppressAutoHyphens w:val="0"/>
              <w:spacing w:line="276" w:lineRule="auto"/>
              <w:jc w:val="both"/>
              <w:rPr>
                <w:iCs/>
                <w:kern w:val="0"/>
                <w:lang w:eastAsia="lt-LT"/>
              </w:rPr>
            </w:pPr>
            <w:r>
              <w:rPr>
                <w:color w:val="000000"/>
              </w:rPr>
              <w:t>Jurbarko m. Dainių g.</w:t>
            </w:r>
            <w:r w:rsidRPr="0010582E">
              <w:rPr>
                <w:color w:val="000000"/>
              </w:rPr>
              <w:t xml:space="preserve"> </w:t>
            </w:r>
            <w:r>
              <w:rPr>
                <w:color w:val="000000"/>
              </w:rPr>
              <w:t xml:space="preserve">Nr. jrm19652 dalies (nuo Liepų g. iki Eržvilko g.) </w:t>
            </w:r>
            <w:r w:rsidR="00D60615">
              <w:rPr>
                <w:iCs/>
                <w:kern w:val="0"/>
                <w:lang w:eastAsia="lt-LT"/>
              </w:rPr>
              <w:t>naujos statybos</w:t>
            </w:r>
            <w:r w:rsidR="000702EA">
              <w:rPr>
                <w:iCs/>
                <w:kern w:val="0"/>
                <w:lang w:eastAsia="lt-LT"/>
              </w:rPr>
              <w:t xml:space="preserve"> technini</w:t>
            </w:r>
            <w:r w:rsidR="00076B8C">
              <w:rPr>
                <w:iCs/>
                <w:kern w:val="0"/>
                <w:lang w:eastAsia="lt-LT"/>
              </w:rPr>
              <w:t>s</w:t>
            </w:r>
            <w:r w:rsidR="000702EA">
              <w:rPr>
                <w:iCs/>
                <w:kern w:val="0"/>
                <w:lang w:eastAsia="lt-LT"/>
              </w:rPr>
              <w:t xml:space="preserve"> darbo projekta</w:t>
            </w:r>
            <w:r w:rsidR="00076B8C">
              <w:rPr>
                <w:iCs/>
                <w:kern w:val="0"/>
                <w:lang w:eastAsia="lt-LT"/>
              </w:rPr>
              <w:t>s</w:t>
            </w:r>
            <w:r w:rsidR="00205FEF">
              <w:rPr>
                <w:iCs/>
                <w:kern w:val="0"/>
                <w:lang w:eastAsia="lt-LT"/>
              </w:rPr>
              <w:t xml:space="preserve"> (toliau Projektas)</w:t>
            </w:r>
            <w:r w:rsidR="00C550FD">
              <w:rPr>
                <w:iCs/>
                <w:kern w:val="0"/>
                <w:lang w:eastAsia="lt-LT"/>
              </w:rPr>
              <w:t xml:space="preserve"> </w:t>
            </w:r>
          </w:p>
        </w:tc>
      </w:tr>
      <w:tr w:rsidR="0004269A" w:rsidRPr="0004269A" w14:paraId="4944D4CF" w14:textId="77777777" w:rsidTr="00F94ADC">
        <w:trPr>
          <w:trHeight w:val="503"/>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69A" w:rsidRDefault="003D108C" w:rsidP="002A5E73">
            <w:pPr>
              <w:spacing w:line="276" w:lineRule="auto"/>
              <w:jc w:val="both"/>
            </w:pPr>
            <w:r w:rsidRPr="0004269A">
              <w:t>4.</w:t>
            </w:r>
          </w:p>
        </w:tc>
        <w:tc>
          <w:tcPr>
            <w:tcW w:w="2399" w:type="dxa"/>
            <w:tcBorders>
              <w:top w:val="single" w:sz="4" w:space="0" w:color="auto"/>
              <w:left w:val="single" w:sz="4" w:space="0" w:color="auto"/>
              <w:bottom w:val="single" w:sz="4" w:space="0" w:color="auto"/>
              <w:right w:val="single" w:sz="4" w:space="0" w:color="auto"/>
            </w:tcBorders>
          </w:tcPr>
          <w:p w14:paraId="23C4B1F9" w14:textId="62A623C7" w:rsidR="0020443F" w:rsidRPr="0004269A" w:rsidRDefault="0020443F" w:rsidP="002A5E73">
            <w:pPr>
              <w:spacing w:line="276" w:lineRule="auto"/>
              <w:jc w:val="both"/>
            </w:pPr>
            <w:r w:rsidRPr="0004269A">
              <w:t>Statini</w:t>
            </w:r>
            <w:r w:rsidR="00507D80">
              <w:t>ų</w:t>
            </w:r>
            <w:r w:rsidRPr="0004269A">
              <w:t xml:space="preserve"> adresas</w:t>
            </w:r>
          </w:p>
        </w:tc>
        <w:tc>
          <w:tcPr>
            <w:tcW w:w="6124" w:type="dxa"/>
            <w:tcBorders>
              <w:top w:val="single" w:sz="4" w:space="0" w:color="auto"/>
              <w:left w:val="single" w:sz="4" w:space="0" w:color="auto"/>
              <w:bottom w:val="single" w:sz="4" w:space="0" w:color="auto"/>
              <w:right w:val="single" w:sz="4" w:space="0" w:color="auto"/>
            </w:tcBorders>
          </w:tcPr>
          <w:p w14:paraId="4BEC74AC" w14:textId="3A567599" w:rsidR="0020443F" w:rsidRPr="008740C6" w:rsidRDefault="00504E99" w:rsidP="00C550FD">
            <w:pPr>
              <w:suppressAutoHyphens w:val="0"/>
              <w:spacing w:line="276" w:lineRule="auto"/>
              <w:jc w:val="both"/>
              <w:rPr>
                <w:iCs/>
                <w:kern w:val="0"/>
                <w:lang w:eastAsia="lt-LT"/>
              </w:rPr>
            </w:pPr>
            <w:r>
              <w:rPr>
                <w:iCs/>
                <w:kern w:val="0"/>
                <w:lang w:eastAsia="lt-LT"/>
              </w:rPr>
              <w:t>Jurbarko</w:t>
            </w:r>
            <w:r w:rsidR="00771FA1" w:rsidRPr="00771FA1">
              <w:rPr>
                <w:iCs/>
                <w:kern w:val="0"/>
                <w:lang w:eastAsia="lt-LT"/>
              </w:rPr>
              <w:t xml:space="preserve"> r. sav., </w:t>
            </w:r>
            <w:r w:rsidR="00C550FD">
              <w:rPr>
                <w:iCs/>
                <w:kern w:val="0"/>
                <w:lang w:eastAsia="lt-LT"/>
              </w:rPr>
              <w:t>Jurbarkas</w:t>
            </w:r>
            <w:r w:rsidR="00771FA1" w:rsidRPr="00771FA1">
              <w:rPr>
                <w:iCs/>
                <w:kern w:val="0"/>
                <w:lang w:eastAsia="lt-LT"/>
              </w:rPr>
              <w:t xml:space="preserve">, </w:t>
            </w:r>
            <w:r w:rsidR="00C550FD">
              <w:rPr>
                <w:iCs/>
                <w:kern w:val="0"/>
                <w:lang w:eastAsia="lt-LT"/>
              </w:rPr>
              <w:t>Dainių g</w:t>
            </w:r>
            <w:r w:rsidR="00771FA1">
              <w:rPr>
                <w:iCs/>
                <w:kern w:val="0"/>
                <w:lang w:eastAsia="lt-LT"/>
              </w:rPr>
              <w:t>.</w:t>
            </w:r>
          </w:p>
        </w:tc>
      </w:tr>
      <w:tr w:rsidR="0004269A" w:rsidRPr="0004269A" w14:paraId="47EECA0D" w14:textId="77777777" w:rsidTr="00F94ADC">
        <w:trPr>
          <w:trHeight w:val="451"/>
        </w:trPr>
        <w:tc>
          <w:tcPr>
            <w:tcW w:w="828" w:type="dxa"/>
            <w:tcBorders>
              <w:top w:val="single" w:sz="4" w:space="0" w:color="auto"/>
              <w:left w:val="single" w:sz="4" w:space="0" w:color="auto"/>
              <w:bottom w:val="single" w:sz="4" w:space="0" w:color="auto"/>
              <w:right w:val="single" w:sz="4" w:space="0" w:color="auto"/>
            </w:tcBorders>
            <w:hideMark/>
          </w:tcPr>
          <w:p w14:paraId="61511A56" w14:textId="0DB85CF8" w:rsidR="002A5E73" w:rsidRPr="0004269A" w:rsidRDefault="00F61A13" w:rsidP="002A5E73">
            <w:pPr>
              <w:spacing w:line="276" w:lineRule="auto"/>
              <w:jc w:val="both"/>
            </w:pPr>
            <w:r>
              <w:t>5</w:t>
            </w:r>
            <w:r w:rsidR="003D108C"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AD584D5" w:rsidR="002A5E73" w:rsidRPr="0004269A" w:rsidRDefault="002A5E73" w:rsidP="002A5E73">
            <w:pPr>
              <w:spacing w:line="276" w:lineRule="auto"/>
              <w:jc w:val="both"/>
              <w:rPr>
                <w:u w:val="single"/>
              </w:rPr>
            </w:pPr>
            <w:r w:rsidRPr="0004269A">
              <w:t>Statini</w:t>
            </w:r>
            <w:r w:rsidR="00507D80">
              <w:t>ų</w:t>
            </w:r>
            <w:r w:rsidRPr="0004269A">
              <w:rPr>
                <w:b/>
              </w:rPr>
              <w:t xml:space="preserve"> </w:t>
            </w:r>
            <w:r w:rsidR="00FE76F8" w:rsidRPr="0004269A">
              <w:t>statybos rūšis</w:t>
            </w:r>
          </w:p>
        </w:tc>
        <w:tc>
          <w:tcPr>
            <w:tcW w:w="6124" w:type="dxa"/>
            <w:tcBorders>
              <w:top w:val="single" w:sz="4" w:space="0" w:color="auto"/>
              <w:left w:val="single" w:sz="4" w:space="0" w:color="auto"/>
              <w:bottom w:val="single" w:sz="4" w:space="0" w:color="auto"/>
              <w:right w:val="single" w:sz="4" w:space="0" w:color="auto"/>
            </w:tcBorders>
            <w:hideMark/>
          </w:tcPr>
          <w:p w14:paraId="762015BC" w14:textId="7FC73707" w:rsidR="002A5E73" w:rsidRPr="008740C6" w:rsidRDefault="00EC719F" w:rsidP="008740C6">
            <w:pPr>
              <w:jc w:val="both"/>
              <w:rPr>
                <w:iCs/>
                <w:lang w:eastAsia="lt-LT"/>
              </w:rPr>
            </w:pPr>
            <w:r>
              <w:rPr>
                <w:iCs/>
                <w:lang w:eastAsia="lt-LT"/>
              </w:rPr>
              <w:t>Nauja statyba</w:t>
            </w:r>
          </w:p>
        </w:tc>
      </w:tr>
      <w:tr w:rsidR="0004269A" w:rsidRPr="0004269A" w14:paraId="315E316E" w14:textId="77777777" w:rsidTr="00F94ADC">
        <w:trPr>
          <w:trHeight w:val="373"/>
        </w:trPr>
        <w:tc>
          <w:tcPr>
            <w:tcW w:w="828" w:type="dxa"/>
            <w:tcBorders>
              <w:top w:val="single" w:sz="4" w:space="0" w:color="auto"/>
              <w:left w:val="single" w:sz="4" w:space="0" w:color="auto"/>
              <w:bottom w:val="single" w:sz="4" w:space="0" w:color="auto"/>
              <w:right w:val="single" w:sz="4" w:space="0" w:color="auto"/>
            </w:tcBorders>
            <w:hideMark/>
          </w:tcPr>
          <w:p w14:paraId="2ECA3F32" w14:textId="67AEE3BC" w:rsidR="002A5E73" w:rsidRPr="0004269A" w:rsidRDefault="00F61A13" w:rsidP="002A5E73">
            <w:pPr>
              <w:spacing w:line="276" w:lineRule="auto"/>
              <w:jc w:val="both"/>
            </w:pPr>
            <w:r>
              <w:t>6</w:t>
            </w:r>
            <w:r w:rsidR="003D108C"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309CF83E" w:rsidR="002A5E73" w:rsidRPr="0004269A" w:rsidRDefault="00FE76F8" w:rsidP="002A5E73">
            <w:pPr>
              <w:spacing w:line="276" w:lineRule="auto"/>
              <w:jc w:val="both"/>
              <w:rPr>
                <w:u w:val="single"/>
              </w:rPr>
            </w:pPr>
            <w:r w:rsidRPr="0004269A">
              <w:t>Statini</w:t>
            </w:r>
            <w:r w:rsidR="00507D80">
              <w:t>ų</w:t>
            </w:r>
            <w:r w:rsidRPr="0004269A">
              <w:t xml:space="preserve"> kategorij</w:t>
            </w:r>
            <w:r w:rsidR="00507D80">
              <w:t>os</w:t>
            </w:r>
          </w:p>
        </w:tc>
        <w:tc>
          <w:tcPr>
            <w:tcW w:w="6124" w:type="dxa"/>
            <w:tcBorders>
              <w:top w:val="single" w:sz="4" w:space="0" w:color="auto"/>
              <w:left w:val="single" w:sz="4" w:space="0" w:color="auto"/>
              <w:bottom w:val="single" w:sz="4" w:space="0" w:color="auto"/>
              <w:right w:val="single" w:sz="4" w:space="0" w:color="auto"/>
            </w:tcBorders>
          </w:tcPr>
          <w:p w14:paraId="05733FAB" w14:textId="2756DD48" w:rsidR="002A5E73" w:rsidRPr="008740C6" w:rsidRDefault="00014455" w:rsidP="008740C6">
            <w:pPr>
              <w:jc w:val="both"/>
              <w:rPr>
                <w:iCs/>
              </w:rPr>
            </w:pPr>
            <w:r>
              <w:rPr>
                <w:iCs/>
              </w:rPr>
              <w:t>II grupės nesudėting</w:t>
            </w:r>
            <w:r w:rsidR="00771FA1">
              <w:rPr>
                <w:iCs/>
              </w:rPr>
              <w:t>asis</w:t>
            </w:r>
            <w:r w:rsidR="00AF6EB8" w:rsidRPr="00772026">
              <w:rPr>
                <w:iCs/>
              </w:rPr>
              <w:t>, neypatingasis statinys</w:t>
            </w:r>
          </w:p>
        </w:tc>
      </w:tr>
      <w:tr w:rsidR="0004269A" w:rsidRPr="0004269A" w14:paraId="64B74437" w14:textId="77777777" w:rsidTr="00F94ADC">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78677876" w:rsidR="00084A04" w:rsidRPr="0004269A" w:rsidRDefault="00F61A13" w:rsidP="00084A04">
            <w:pPr>
              <w:spacing w:line="276" w:lineRule="auto"/>
              <w:jc w:val="both"/>
            </w:pPr>
            <w:r>
              <w:t>7</w:t>
            </w:r>
            <w:r w:rsidR="00084A04" w:rsidRPr="0004269A">
              <w:t>.</w:t>
            </w:r>
          </w:p>
        </w:tc>
        <w:tc>
          <w:tcPr>
            <w:tcW w:w="2399" w:type="dxa"/>
            <w:tcBorders>
              <w:top w:val="single" w:sz="4" w:space="0" w:color="auto"/>
              <w:left w:val="single" w:sz="4" w:space="0" w:color="auto"/>
              <w:bottom w:val="single" w:sz="4" w:space="0" w:color="auto"/>
              <w:right w:val="single" w:sz="4" w:space="0" w:color="auto"/>
            </w:tcBorders>
          </w:tcPr>
          <w:p w14:paraId="28571B2A" w14:textId="6562335E" w:rsidR="00084A04" w:rsidRPr="0004269A" w:rsidRDefault="00084A04" w:rsidP="00C7128C">
            <w:pPr>
              <w:spacing w:line="276" w:lineRule="auto"/>
              <w:jc w:val="both"/>
            </w:pPr>
            <w:r w:rsidRPr="0004269A">
              <w:t>Esamos</w:t>
            </w:r>
            <w:r w:rsidR="00507D80">
              <w:t xml:space="preserve"> </w:t>
            </w:r>
            <w:r w:rsidRPr="0004269A">
              <w:t>statini</w:t>
            </w:r>
            <w:r w:rsidR="00507D80">
              <w:t>ų</w:t>
            </w:r>
            <w:r w:rsidRPr="0004269A">
              <w:t xml:space="preserve"> konstrukcijos, jų funkcinė paskirtis</w:t>
            </w:r>
          </w:p>
        </w:tc>
        <w:tc>
          <w:tcPr>
            <w:tcW w:w="6124" w:type="dxa"/>
            <w:tcBorders>
              <w:top w:val="single" w:sz="4" w:space="0" w:color="auto"/>
              <w:left w:val="single" w:sz="4" w:space="0" w:color="auto"/>
              <w:bottom w:val="single" w:sz="4" w:space="0" w:color="auto"/>
              <w:right w:val="single" w:sz="4" w:space="0" w:color="auto"/>
            </w:tcBorders>
          </w:tcPr>
          <w:p w14:paraId="30B9D899" w14:textId="55EB2629" w:rsidR="00084A04" w:rsidRPr="008740C6" w:rsidRDefault="008740C6" w:rsidP="00AA44E5">
            <w:pPr>
              <w:jc w:val="both"/>
              <w:rPr>
                <w:iCs/>
                <w:lang w:eastAsia="lt-LT"/>
              </w:rPr>
            </w:pPr>
            <w:r>
              <w:rPr>
                <w:iCs/>
                <w:lang w:eastAsia="lt-LT"/>
              </w:rPr>
              <w:t xml:space="preserve">Gatvė su </w:t>
            </w:r>
            <w:r w:rsidR="00C64117">
              <w:rPr>
                <w:iCs/>
                <w:lang w:eastAsia="lt-LT"/>
              </w:rPr>
              <w:t>žvyro</w:t>
            </w:r>
            <w:r>
              <w:rPr>
                <w:iCs/>
                <w:lang w:eastAsia="lt-LT"/>
              </w:rPr>
              <w:t xml:space="preserve"> danga</w:t>
            </w:r>
          </w:p>
        </w:tc>
      </w:tr>
      <w:tr w:rsidR="0004269A" w:rsidRPr="0004269A"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4269A"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4269A" w:rsidRDefault="00084A04" w:rsidP="00084A04">
            <w:pPr>
              <w:spacing w:line="276" w:lineRule="auto"/>
              <w:ind w:left="360"/>
              <w:jc w:val="center"/>
              <w:rPr>
                <w:b/>
              </w:rPr>
            </w:pPr>
            <w:r w:rsidRPr="0004269A">
              <w:rPr>
                <w:b/>
              </w:rPr>
              <w:t xml:space="preserve">II. Perkamų paslaugų apimtis ir trukmė </w:t>
            </w:r>
          </w:p>
        </w:tc>
      </w:tr>
      <w:tr w:rsidR="0004269A" w:rsidRPr="0004269A" w14:paraId="02B3143C" w14:textId="77777777" w:rsidTr="00F94ADC">
        <w:trPr>
          <w:trHeight w:val="1047"/>
        </w:trPr>
        <w:tc>
          <w:tcPr>
            <w:tcW w:w="828" w:type="dxa"/>
            <w:tcBorders>
              <w:top w:val="single" w:sz="4" w:space="0" w:color="auto"/>
              <w:left w:val="single" w:sz="4" w:space="0" w:color="auto"/>
              <w:bottom w:val="single" w:sz="4" w:space="0" w:color="auto"/>
              <w:right w:val="single" w:sz="4" w:space="0" w:color="auto"/>
            </w:tcBorders>
            <w:hideMark/>
          </w:tcPr>
          <w:p w14:paraId="521F6654" w14:textId="212FC061" w:rsidR="00084A04" w:rsidRPr="0004269A" w:rsidRDefault="00F61A13" w:rsidP="00084A04">
            <w:pPr>
              <w:spacing w:line="276" w:lineRule="auto"/>
              <w:jc w:val="both"/>
            </w:pPr>
            <w:r>
              <w:t>8</w:t>
            </w:r>
            <w:r w:rsidR="00D44CAE"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04269A" w:rsidRDefault="00084A04" w:rsidP="00084A04">
            <w:pPr>
              <w:spacing w:line="276" w:lineRule="auto"/>
              <w:jc w:val="both"/>
              <w:rPr>
                <w:u w:val="single"/>
              </w:rPr>
            </w:pPr>
            <w:r w:rsidRPr="0004269A">
              <w:t>Perkamų paslaugų apimtis:</w:t>
            </w:r>
          </w:p>
        </w:tc>
        <w:tc>
          <w:tcPr>
            <w:tcW w:w="6124" w:type="dxa"/>
            <w:tcBorders>
              <w:top w:val="single" w:sz="4" w:space="0" w:color="auto"/>
              <w:left w:val="single" w:sz="4" w:space="0" w:color="auto"/>
              <w:bottom w:val="single" w:sz="4" w:space="0" w:color="auto"/>
              <w:right w:val="single" w:sz="4" w:space="0" w:color="auto"/>
            </w:tcBorders>
          </w:tcPr>
          <w:p w14:paraId="2FF2AB99" w14:textId="35E2C71D" w:rsidR="00E92ABC" w:rsidRDefault="00B7063A" w:rsidP="00B7063A">
            <w:pPr>
              <w:widowControl/>
              <w:suppressAutoHyphens w:val="0"/>
              <w:rPr>
                <w:rFonts w:eastAsia="Times New Roman"/>
                <w:kern w:val="0"/>
                <w:lang w:eastAsia="lt-LT"/>
              </w:rPr>
            </w:pPr>
            <w:r>
              <w:rPr>
                <w:rFonts w:eastAsia="Times New Roman"/>
                <w:kern w:val="0"/>
                <w:lang w:eastAsia="lt-LT"/>
              </w:rPr>
              <w:t xml:space="preserve">1. </w:t>
            </w:r>
            <w:r w:rsidR="00BF3E8B">
              <w:rPr>
                <w:rFonts w:eastAsia="Times New Roman"/>
                <w:kern w:val="0"/>
                <w:lang w:eastAsia="lt-LT"/>
              </w:rPr>
              <w:t xml:space="preserve">Parengti </w:t>
            </w:r>
            <w:r w:rsidR="00A53239">
              <w:rPr>
                <w:rFonts w:eastAsia="Times New Roman"/>
                <w:kern w:val="0"/>
                <w:lang w:eastAsia="lt-LT"/>
              </w:rPr>
              <w:t>Projekt</w:t>
            </w:r>
            <w:r w:rsidR="00076B8C">
              <w:rPr>
                <w:rFonts w:eastAsia="Times New Roman"/>
                <w:kern w:val="0"/>
                <w:lang w:eastAsia="lt-LT"/>
              </w:rPr>
              <w:t>ą</w:t>
            </w:r>
            <w:r w:rsidRPr="00B7063A">
              <w:rPr>
                <w:rFonts w:eastAsia="Times New Roman"/>
                <w:kern w:val="0"/>
                <w:lang w:eastAsia="lt-LT"/>
              </w:rPr>
              <w:t xml:space="preserve"> (įvertinant esamą</w:t>
            </w:r>
            <w:r w:rsidR="00CD5E41">
              <w:rPr>
                <w:rFonts w:eastAsia="Times New Roman"/>
                <w:kern w:val="0"/>
                <w:lang w:eastAsia="lt-LT"/>
              </w:rPr>
              <w:t xml:space="preserve"> </w:t>
            </w:r>
            <w:r w:rsidR="00BF3E8B">
              <w:rPr>
                <w:rFonts w:eastAsia="Times New Roman"/>
                <w:kern w:val="0"/>
                <w:lang w:eastAsia="lt-LT"/>
              </w:rPr>
              <w:t>situaciją vietoje, dalyvaujant Statytojo atstovui)</w:t>
            </w:r>
            <w:r w:rsidR="00E92ABC">
              <w:rPr>
                <w:rFonts w:eastAsia="Times New Roman"/>
                <w:kern w:val="0"/>
                <w:lang w:eastAsia="lt-LT"/>
              </w:rPr>
              <w:t xml:space="preserve"> sekančia apimtimi:</w:t>
            </w:r>
          </w:p>
          <w:p w14:paraId="1DEF7BF9" w14:textId="77777777" w:rsidR="00471C06" w:rsidRDefault="00E92ABC" w:rsidP="00B7063A">
            <w:pPr>
              <w:widowControl/>
              <w:suppressAutoHyphens w:val="0"/>
              <w:rPr>
                <w:rFonts w:eastAsia="Times New Roman"/>
                <w:kern w:val="0"/>
                <w:lang w:eastAsia="lt-LT"/>
              </w:rPr>
            </w:pPr>
            <w:r>
              <w:rPr>
                <w:rFonts w:eastAsia="Times New Roman"/>
                <w:kern w:val="0"/>
                <w:lang w:eastAsia="lt-LT"/>
              </w:rPr>
              <w:t>- bendroji</w:t>
            </w:r>
            <w:r w:rsidR="00471C06">
              <w:rPr>
                <w:rFonts w:eastAsia="Times New Roman"/>
                <w:kern w:val="0"/>
                <w:lang w:eastAsia="lt-LT"/>
              </w:rPr>
              <w:t>;</w:t>
            </w:r>
          </w:p>
          <w:p w14:paraId="21C582DE" w14:textId="2685B639" w:rsidR="00EC713E" w:rsidRDefault="00471C06" w:rsidP="00B7063A">
            <w:pPr>
              <w:widowControl/>
              <w:suppressAutoHyphens w:val="0"/>
              <w:rPr>
                <w:rFonts w:eastAsia="Times New Roman"/>
                <w:kern w:val="0"/>
                <w:lang w:eastAsia="lt-LT"/>
              </w:rPr>
            </w:pPr>
            <w:r>
              <w:rPr>
                <w:rFonts w:eastAsia="Times New Roman"/>
                <w:kern w:val="0"/>
                <w:lang w:eastAsia="lt-LT"/>
              </w:rPr>
              <w:t>-</w:t>
            </w:r>
            <w:r w:rsidR="00E92ABC">
              <w:rPr>
                <w:rFonts w:eastAsia="Times New Roman"/>
                <w:kern w:val="0"/>
                <w:lang w:eastAsia="lt-LT"/>
              </w:rPr>
              <w:t xml:space="preserve"> susisiekimo;</w:t>
            </w:r>
          </w:p>
          <w:p w14:paraId="54D4E956" w14:textId="65E29CFE" w:rsidR="00DE5281" w:rsidRDefault="00DE5281" w:rsidP="00B7063A">
            <w:pPr>
              <w:widowControl/>
              <w:suppressAutoHyphens w:val="0"/>
              <w:rPr>
                <w:rFonts w:eastAsia="Times New Roman"/>
                <w:kern w:val="0"/>
                <w:lang w:eastAsia="lt-LT"/>
              </w:rPr>
            </w:pPr>
            <w:r>
              <w:rPr>
                <w:rFonts w:eastAsia="Times New Roman"/>
                <w:kern w:val="0"/>
                <w:lang w:eastAsia="lt-LT"/>
              </w:rPr>
              <w:t>- lietaus nuotekų;</w:t>
            </w:r>
          </w:p>
          <w:p w14:paraId="21EA3D2F" w14:textId="09F2DCC5" w:rsidR="00C550FD" w:rsidRDefault="00C550FD" w:rsidP="00B7063A">
            <w:pPr>
              <w:widowControl/>
              <w:suppressAutoHyphens w:val="0"/>
              <w:rPr>
                <w:rFonts w:eastAsia="Times New Roman"/>
                <w:kern w:val="0"/>
                <w:lang w:eastAsia="lt-LT"/>
              </w:rPr>
            </w:pPr>
            <w:r>
              <w:rPr>
                <w:rFonts w:eastAsia="Times New Roman"/>
                <w:kern w:val="0"/>
                <w:lang w:eastAsia="lt-LT"/>
              </w:rPr>
              <w:t>- elektrotechninė</w:t>
            </w:r>
          </w:p>
          <w:p w14:paraId="5407DA38" w14:textId="6F2B939C" w:rsidR="00DE5281" w:rsidRDefault="00DE5281" w:rsidP="00B7063A">
            <w:pPr>
              <w:widowControl/>
              <w:suppressAutoHyphens w:val="0"/>
              <w:rPr>
                <w:rFonts w:eastAsia="Times New Roman"/>
                <w:kern w:val="0"/>
                <w:lang w:eastAsia="lt-LT"/>
              </w:rPr>
            </w:pPr>
            <w:r>
              <w:rPr>
                <w:rFonts w:eastAsia="Times New Roman"/>
                <w:kern w:val="0"/>
                <w:lang w:eastAsia="lt-LT"/>
              </w:rPr>
              <w:t>- pasirengimo statybai ir statybos darbų organizavimo;</w:t>
            </w:r>
          </w:p>
          <w:p w14:paraId="57F1B893" w14:textId="393AFEBA" w:rsidR="005B1191" w:rsidRDefault="00A53A25" w:rsidP="00B7063A">
            <w:pPr>
              <w:widowControl/>
              <w:suppressAutoHyphens w:val="0"/>
              <w:rPr>
                <w:rFonts w:eastAsia="Times New Roman"/>
                <w:kern w:val="0"/>
                <w:lang w:eastAsia="lt-LT"/>
              </w:rPr>
            </w:pPr>
            <w:r>
              <w:rPr>
                <w:rFonts w:eastAsia="Times New Roman"/>
                <w:kern w:val="0"/>
                <w:lang w:eastAsia="lt-LT"/>
              </w:rPr>
              <w:t>- statybos skaičiuojamosios kainos nustatymo</w:t>
            </w:r>
            <w:r w:rsidR="00356EBE">
              <w:rPr>
                <w:rFonts w:eastAsia="Times New Roman"/>
                <w:kern w:val="0"/>
                <w:lang w:eastAsia="lt-LT"/>
              </w:rPr>
              <w:t>.</w:t>
            </w:r>
          </w:p>
          <w:p w14:paraId="49C7F128" w14:textId="4FE6659C" w:rsidR="005B1191" w:rsidRDefault="00DE5281" w:rsidP="00B7063A">
            <w:pPr>
              <w:widowControl/>
              <w:suppressAutoHyphens w:val="0"/>
              <w:rPr>
                <w:rFonts w:eastAsia="Times New Roman"/>
                <w:kern w:val="0"/>
                <w:lang w:eastAsia="lt-LT"/>
              </w:rPr>
            </w:pPr>
            <w:r>
              <w:rPr>
                <w:rFonts w:eastAsia="Times New Roman"/>
                <w:kern w:val="0"/>
                <w:lang w:eastAsia="lt-LT"/>
              </w:rPr>
              <w:t>Projekto d</w:t>
            </w:r>
            <w:r w:rsidR="00E92ABC">
              <w:rPr>
                <w:rFonts w:eastAsia="Times New Roman"/>
                <w:kern w:val="0"/>
                <w:lang w:eastAsia="lt-LT"/>
              </w:rPr>
              <w:t>alių skaičius gali būti tikslinamas projektavimo eigoje</w:t>
            </w:r>
            <w:r w:rsidR="00D25BFC">
              <w:rPr>
                <w:rFonts w:eastAsia="Times New Roman"/>
                <w:kern w:val="0"/>
                <w:lang w:eastAsia="lt-LT"/>
              </w:rPr>
              <w:t>;</w:t>
            </w:r>
          </w:p>
          <w:p w14:paraId="560D609D" w14:textId="471F8BE8" w:rsidR="005D08BF" w:rsidRPr="00D25BFC" w:rsidRDefault="007C400B" w:rsidP="00D25BFC">
            <w:pPr>
              <w:widowControl/>
              <w:suppressAutoHyphens w:val="0"/>
              <w:rPr>
                <w:rFonts w:eastAsia="Times New Roman"/>
                <w:kern w:val="0"/>
                <w:lang w:eastAsia="lt-LT"/>
              </w:rPr>
            </w:pPr>
            <w:r>
              <w:rPr>
                <w:rFonts w:eastAsia="Times New Roman"/>
                <w:kern w:val="0"/>
                <w:lang w:eastAsia="lt-LT"/>
              </w:rPr>
              <w:t>2.</w:t>
            </w:r>
            <w:r w:rsidR="00E1011B">
              <w:rPr>
                <w:rFonts w:eastAsia="Times New Roman"/>
                <w:kern w:val="0"/>
                <w:lang w:eastAsia="lt-LT"/>
              </w:rPr>
              <w:t xml:space="preserve"> </w:t>
            </w:r>
            <w:r w:rsidR="00A87DC1">
              <w:rPr>
                <w:rFonts w:eastAsia="Times New Roman"/>
                <w:kern w:val="0"/>
                <w:lang w:eastAsia="lt-LT"/>
              </w:rPr>
              <w:t>Projektuojamos</w:t>
            </w:r>
            <w:r w:rsidR="00EC4DCA">
              <w:rPr>
                <w:rFonts w:eastAsia="Times New Roman"/>
                <w:kern w:val="0"/>
                <w:lang w:eastAsia="lt-LT"/>
              </w:rPr>
              <w:t xml:space="preserve"> </w:t>
            </w:r>
            <w:r w:rsidR="00C550FD">
              <w:rPr>
                <w:color w:val="000000"/>
              </w:rPr>
              <w:t xml:space="preserve">(Nr. jrm19652), </w:t>
            </w:r>
            <w:r w:rsidR="00EC719F">
              <w:rPr>
                <w:color w:val="000000"/>
              </w:rPr>
              <w:t>gatvės įrengimo</w:t>
            </w:r>
            <w:r w:rsidR="00A87DC1">
              <w:rPr>
                <w:rFonts w:eastAsia="Times New Roman"/>
                <w:kern w:val="0"/>
                <w:lang w:eastAsia="lt-LT"/>
              </w:rPr>
              <w:t xml:space="preserve"> </w:t>
            </w:r>
            <w:r w:rsidR="00A87DC1" w:rsidRPr="00A87DC1">
              <w:rPr>
                <w:rFonts w:eastAsia="Times New Roman"/>
                <w:kern w:val="0"/>
                <w:lang w:eastAsia="lt-LT"/>
              </w:rPr>
              <w:t>ribos yra</w:t>
            </w:r>
            <w:r w:rsidR="00A87DC1">
              <w:rPr>
                <w:rFonts w:eastAsia="Times New Roman"/>
                <w:kern w:val="0"/>
                <w:lang w:eastAsia="lt-LT"/>
              </w:rPr>
              <w:t xml:space="preserve"> gatvės </w:t>
            </w:r>
            <w:r w:rsidR="00A87DC1" w:rsidRPr="00A87DC1">
              <w:rPr>
                <w:rFonts w:eastAsia="Times New Roman"/>
                <w:kern w:val="0"/>
                <w:lang w:eastAsia="lt-LT"/>
              </w:rPr>
              <w:t xml:space="preserve">ruožas </w:t>
            </w:r>
            <w:r w:rsidR="00A87DC1">
              <w:rPr>
                <w:rFonts w:eastAsia="Times New Roman"/>
                <w:kern w:val="0"/>
                <w:lang w:eastAsia="lt-LT"/>
              </w:rPr>
              <w:t>nuo</w:t>
            </w:r>
            <w:r w:rsidR="00A87DC1" w:rsidRPr="00A87DC1">
              <w:rPr>
                <w:rFonts w:eastAsia="Times New Roman"/>
                <w:kern w:val="0"/>
                <w:lang w:eastAsia="lt-LT"/>
              </w:rPr>
              <w:t xml:space="preserve"> </w:t>
            </w:r>
            <w:r w:rsidR="00C550FD">
              <w:rPr>
                <w:rFonts w:eastAsia="Times New Roman"/>
                <w:kern w:val="0"/>
                <w:lang w:eastAsia="lt-LT"/>
              </w:rPr>
              <w:t xml:space="preserve">Liepų gatvės iki Eržvilko </w:t>
            </w:r>
            <w:r w:rsidR="00C44A2C">
              <w:rPr>
                <w:rFonts w:eastAsia="Times New Roman"/>
                <w:kern w:val="0"/>
                <w:lang w:eastAsia="lt-LT"/>
              </w:rPr>
              <w:t xml:space="preserve">gatvės </w:t>
            </w:r>
            <w:r w:rsidR="00A87DC1">
              <w:rPr>
                <w:rFonts w:eastAsia="Times New Roman"/>
                <w:kern w:val="0"/>
                <w:lang w:eastAsia="lt-LT"/>
              </w:rPr>
              <w:t>preliminarus</w:t>
            </w:r>
            <w:r w:rsidR="00437441">
              <w:rPr>
                <w:rFonts w:eastAsia="Times New Roman"/>
                <w:kern w:val="0"/>
                <w:lang w:eastAsia="lt-LT"/>
              </w:rPr>
              <w:t xml:space="preserve"> gatvės</w:t>
            </w:r>
            <w:r w:rsidR="00A87DC1">
              <w:rPr>
                <w:rFonts w:eastAsia="Times New Roman"/>
                <w:kern w:val="0"/>
                <w:lang w:eastAsia="lt-LT"/>
              </w:rPr>
              <w:t xml:space="preserve"> ilgis </w:t>
            </w:r>
            <w:r w:rsidR="00C550FD" w:rsidRPr="00C550FD">
              <w:rPr>
                <w:rFonts w:eastAsia="Times New Roman"/>
                <w:kern w:val="0"/>
                <w:lang w:eastAsia="lt-LT"/>
              </w:rPr>
              <w:t>760</w:t>
            </w:r>
            <w:r w:rsidR="00A87DC1">
              <w:rPr>
                <w:rFonts w:eastAsia="Times New Roman"/>
                <w:kern w:val="0"/>
                <w:lang w:eastAsia="lt-LT"/>
              </w:rPr>
              <w:t xml:space="preserve"> m</w:t>
            </w:r>
            <w:r w:rsidR="00CF21F6">
              <w:rPr>
                <w:rFonts w:eastAsia="Times New Roman"/>
                <w:kern w:val="0"/>
                <w:lang w:eastAsia="lt-LT"/>
              </w:rPr>
              <w:t xml:space="preserve">, važiuojamosios dalies plotis </w:t>
            </w:r>
            <w:r w:rsidR="00C550FD">
              <w:rPr>
                <w:rFonts w:eastAsia="Times New Roman"/>
                <w:kern w:val="0"/>
                <w:lang w:eastAsia="lt-LT"/>
              </w:rPr>
              <w:t>5</w:t>
            </w:r>
            <w:r w:rsidR="00437441">
              <w:rPr>
                <w:rFonts w:eastAsia="Times New Roman"/>
                <w:kern w:val="0"/>
                <w:lang w:eastAsia="lt-LT"/>
              </w:rPr>
              <w:t>,5 m.</w:t>
            </w:r>
            <w:r w:rsidR="00C550FD">
              <w:rPr>
                <w:rFonts w:eastAsia="Times New Roman"/>
                <w:kern w:val="0"/>
                <w:lang w:eastAsia="lt-LT"/>
              </w:rPr>
              <w:t xml:space="preserve"> </w:t>
            </w:r>
          </w:p>
          <w:p w14:paraId="6BCB5B55" w14:textId="5D243009" w:rsidR="002D422F" w:rsidRDefault="00A059CF" w:rsidP="00B2404E">
            <w:pPr>
              <w:jc w:val="both"/>
            </w:pPr>
            <w:r>
              <w:rPr>
                <w:color w:val="000000"/>
              </w:rPr>
              <w:t>3</w:t>
            </w:r>
            <w:r w:rsidR="00BF3E8B" w:rsidRPr="00B2404E">
              <w:rPr>
                <w:color w:val="000000"/>
              </w:rPr>
              <w:t>.</w:t>
            </w:r>
            <w:r w:rsidR="00B2404E">
              <w:rPr>
                <w:color w:val="000000"/>
              </w:rPr>
              <w:t xml:space="preserve"> Projektuojam</w:t>
            </w:r>
            <w:r w:rsidR="006750DF">
              <w:rPr>
                <w:color w:val="000000"/>
              </w:rPr>
              <w:t>os</w:t>
            </w:r>
            <w:r w:rsidR="002F0037">
              <w:rPr>
                <w:color w:val="000000"/>
              </w:rPr>
              <w:t xml:space="preserve"> gatv</w:t>
            </w:r>
            <w:r w:rsidR="006750DF">
              <w:rPr>
                <w:color w:val="000000"/>
              </w:rPr>
              <w:t>ės</w:t>
            </w:r>
            <w:r w:rsidR="002F0037">
              <w:rPr>
                <w:color w:val="000000"/>
              </w:rPr>
              <w:t xml:space="preserve"> su asfaltbetonio danga</w:t>
            </w:r>
            <w:r w:rsidR="00F124DF">
              <w:rPr>
                <w:color w:val="000000"/>
              </w:rPr>
              <w:t xml:space="preserve"> ir </w:t>
            </w:r>
            <w:proofErr w:type="spellStart"/>
            <w:r w:rsidR="00F124DF">
              <w:rPr>
                <w:color w:val="000000"/>
              </w:rPr>
              <w:t>nuovažų</w:t>
            </w:r>
            <w:proofErr w:type="spellEnd"/>
            <w:r w:rsidR="00B2404E">
              <w:rPr>
                <w:color w:val="000000"/>
              </w:rPr>
              <w:t xml:space="preserve"> </w:t>
            </w:r>
            <w:r w:rsidR="00B2404E" w:rsidRPr="00B2404E">
              <w:t>dangos konstrukcijos klasė pagal Automobilių kelių standartizuotų dangų konstrukcijų projektavimo t</w:t>
            </w:r>
            <w:r w:rsidR="00CE3200">
              <w:t>a</w:t>
            </w:r>
            <w:r w:rsidR="00A53A25">
              <w:t xml:space="preserve">isykles KPT SDK 19, </w:t>
            </w:r>
            <w:r w:rsidR="00CE3200">
              <w:t>projektuojant vadovautis statybos rekomendacijomis R 36-01 „Automobilių kelių sankryžos“</w:t>
            </w:r>
            <w:r w:rsidR="00F129FD">
              <w:t>;</w:t>
            </w:r>
          </w:p>
          <w:p w14:paraId="375CB00A" w14:textId="3DCD631D" w:rsidR="00F129FD" w:rsidRDefault="005477DC" w:rsidP="00B2404E">
            <w:pPr>
              <w:jc w:val="both"/>
            </w:pPr>
            <w:r>
              <w:t>4</w:t>
            </w:r>
            <w:r w:rsidR="00F129FD" w:rsidRPr="00F129FD">
              <w:t>. Gatv</w:t>
            </w:r>
            <w:r w:rsidR="00437441">
              <w:t>ei</w:t>
            </w:r>
            <w:r w:rsidR="00F129FD" w:rsidRPr="00F129FD">
              <w:t xml:space="preserve"> VK</w:t>
            </w:r>
            <w:r w:rsidR="00F129FD">
              <w:t>7</w:t>
            </w:r>
            <w:r w:rsidR="00437441">
              <w:t xml:space="preserve">324 </w:t>
            </w:r>
            <w:r w:rsidR="00F129FD" w:rsidRPr="00F129FD">
              <w:t>suprojektuoti  iki</w:t>
            </w:r>
            <w:r w:rsidR="00437441">
              <w:t xml:space="preserve"> 1,0</w:t>
            </w:r>
            <w:r w:rsidR="00F129FD" w:rsidRPr="00F129FD">
              <w:t xml:space="preserve"> m pločio kelkraščius, projektuojamų kelkraščių danga: projektuoti </w:t>
            </w:r>
            <w:proofErr w:type="spellStart"/>
            <w:r w:rsidR="00F129FD" w:rsidRPr="00F129FD">
              <w:t>skaldažolę</w:t>
            </w:r>
            <w:proofErr w:type="spellEnd"/>
            <w:r w:rsidR="00F129FD" w:rsidRPr="00F129FD">
              <w:t xml:space="preserve">, kai dirvožemio kiekis joje 15 % ir naudojama mineralinė medžiaga – skalda (vadovautis ĮT ŽS 17, ĮT SBR </w:t>
            </w:r>
            <w:r w:rsidR="004C44E7">
              <w:t>19</w:t>
            </w:r>
            <w:r w:rsidR="00F129FD" w:rsidRPr="00F129FD">
              <w:t xml:space="preserve">, TRA SBR </w:t>
            </w:r>
            <w:r w:rsidR="004C44E7">
              <w:t>19</w:t>
            </w:r>
            <w:r w:rsidR="00F129FD" w:rsidRPr="00F129FD">
              <w:t xml:space="preserve"> dokumentais.</w:t>
            </w:r>
          </w:p>
          <w:p w14:paraId="1D92813C" w14:textId="012B584D" w:rsidR="005D08BF" w:rsidRDefault="00CA46E8" w:rsidP="00B2404E">
            <w:pPr>
              <w:jc w:val="both"/>
            </w:pPr>
            <w:r>
              <w:lastRenderedPageBreak/>
              <w:t>5</w:t>
            </w:r>
            <w:r w:rsidR="00B2404E">
              <w:t xml:space="preserve">. </w:t>
            </w:r>
            <w:r w:rsidR="00D875F8" w:rsidRPr="00D875F8">
              <w:t>Numatyti</w:t>
            </w:r>
            <w:r w:rsidR="00A059CF">
              <w:t xml:space="preserve"> </w:t>
            </w:r>
            <w:r w:rsidR="00D875F8" w:rsidRPr="00D875F8">
              <w:t>eismo saugumo priemonių įrengim</w:t>
            </w:r>
            <w:r w:rsidR="00D875F8">
              <w:t xml:space="preserve">o ir </w:t>
            </w:r>
            <w:r w:rsidR="00D875F8" w:rsidRPr="00D875F8">
              <w:t>teritorijos sutvarkymo sprendinius</w:t>
            </w:r>
            <w:r w:rsidR="00A059CF">
              <w:t>;</w:t>
            </w:r>
          </w:p>
          <w:p w14:paraId="6A9DDE88" w14:textId="1CD83E05" w:rsidR="00D70C04" w:rsidRDefault="00CA46E8" w:rsidP="00D70C04">
            <w:pPr>
              <w:jc w:val="both"/>
            </w:pPr>
            <w:r>
              <w:t>6</w:t>
            </w:r>
            <w:r w:rsidR="00D70C04">
              <w:t>. Vykdyti projekt</w:t>
            </w:r>
            <w:r w:rsidR="00E1011B">
              <w:t>o</w:t>
            </w:r>
            <w:r w:rsidR="00D70C04">
              <w:t xml:space="preserve"> vykdymo priežiūrą:</w:t>
            </w:r>
          </w:p>
          <w:p w14:paraId="7D09F96F" w14:textId="55697CDF" w:rsidR="00D70C04" w:rsidRPr="00B2404E" w:rsidRDefault="00D70C04" w:rsidP="00D70C04">
            <w:pPr>
              <w:jc w:val="both"/>
            </w:pPr>
            <w:r>
              <w:t xml:space="preserve"> Projekt</w:t>
            </w:r>
            <w:r w:rsidR="00E1011B">
              <w:t>o</w:t>
            </w:r>
            <w:r>
              <w:t xml:space="preserve"> vykdymo priežiūros paslaugas teikti pagal statybos techninių reglamentų STR nuostatas ir lankytis darbų vietoje ne rečiau kaip 1 kartą per mėnesį arba, esant būtinybei, Užsakovo kvietimu. Užsakovui pareikalavus bei pagrindus poreikį, projekt</w:t>
            </w:r>
            <w:r w:rsidR="00484484">
              <w:t>ų</w:t>
            </w:r>
            <w:r>
              <w:t xml:space="preserve"> vykdymo priežiūros metu teikti tarpines ataskaitas ir pateikti </w:t>
            </w:r>
            <w:r w:rsidRPr="00D70C04">
              <w:t>baigiamąją ataskaitą (pateikiama per vieną mėnesį nuo statybos užbaigimo akto surašymo dienos). Visos ataskaitos parengiamos lietuvių kalba dviem egzemplioriais ir pateikiamos Užsakovui. Projekt</w:t>
            </w:r>
            <w:r w:rsidR="00E1011B">
              <w:t>o</w:t>
            </w:r>
            <w:r w:rsidRPr="00D70C04">
              <w:t xml:space="preserve"> vykdymo priežiūrą vykdyti visoje statybos darbų vykdymo eigoje.</w:t>
            </w:r>
          </w:p>
        </w:tc>
      </w:tr>
      <w:tr w:rsidR="0004269A" w:rsidRPr="0004269A" w14:paraId="227B992E"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2B1BED7B" w14:textId="0A18E566" w:rsidR="00084A04" w:rsidRPr="0004269A" w:rsidRDefault="00671DC9" w:rsidP="00084A04">
            <w:pPr>
              <w:spacing w:line="276" w:lineRule="auto"/>
              <w:jc w:val="both"/>
            </w:pPr>
            <w:r>
              <w:lastRenderedPageBreak/>
              <w:t>9</w:t>
            </w:r>
            <w:r w:rsidR="00DE3F0A">
              <w:t>.</w:t>
            </w:r>
          </w:p>
        </w:tc>
        <w:tc>
          <w:tcPr>
            <w:tcW w:w="2399" w:type="dxa"/>
            <w:tcBorders>
              <w:top w:val="single" w:sz="4" w:space="0" w:color="auto"/>
              <w:left w:val="single" w:sz="4" w:space="0" w:color="auto"/>
              <w:bottom w:val="single" w:sz="4" w:space="0" w:color="auto"/>
              <w:right w:val="single" w:sz="4" w:space="0" w:color="auto"/>
            </w:tcBorders>
            <w:hideMark/>
          </w:tcPr>
          <w:p w14:paraId="69725D8D" w14:textId="3DE07D1D" w:rsidR="005E1A65" w:rsidRPr="0004269A" w:rsidRDefault="00CF7258" w:rsidP="00674468">
            <w:pPr>
              <w:spacing w:line="276" w:lineRule="auto"/>
            </w:pPr>
            <w:r>
              <w:t>P</w:t>
            </w:r>
            <w:r w:rsidR="00C17E47" w:rsidRPr="0004269A">
              <w:t>rojektavimo paslaugos</w:t>
            </w:r>
            <w:r w:rsidR="005E1A65" w:rsidRPr="0004269A">
              <w:t xml:space="preserve"> </w:t>
            </w:r>
          </w:p>
        </w:tc>
        <w:tc>
          <w:tcPr>
            <w:tcW w:w="6124" w:type="dxa"/>
            <w:tcBorders>
              <w:top w:val="single" w:sz="4" w:space="0" w:color="auto"/>
              <w:left w:val="single" w:sz="4" w:space="0" w:color="auto"/>
              <w:bottom w:val="single" w:sz="4" w:space="0" w:color="auto"/>
              <w:right w:val="single" w:sz="4" w:space="0" w:color="auto"/>
            </w:tcBorders>
            <w:hideMark/>
          </w:tcPr>
          <w:p w14:paraId="67D8D773" w14:textId="6C845804" w:rsidR="00A45379" w:rsidRDefault="00A45379" w:rsidP="00D641C8">
            <w:pPr>
              <w:jc w:val="both"/>
              <w:rPr>
                <w:rFonts w:eastAsia="Times New Roman"/>
                <w:kern w:val="0"/>
              </w:rPr>
            </w:pPr>
            <w:r>
              <w:rPr>
                <w:rFonts w:eastAsia="Times New Roman"/>
                <w:kern w:val="0"/>
                <w:lang w:eastAsia="lt-LT"/>
              </w:rPr>
              <w:t>1.</w:t>
            </w:r>
            <w:r w:rsidR="004E1B5B">
              <w:rPr>
                <w:rFonts w:eastAsia="Times New Roman"/>
                <w:kern w:val="0"/>
                <w:lang w:eastAsia="lt-LT"/>
              </w:rPr>
              <w:t xml:space="preserve"> Projektuojant</w:t>
            </w:r>
            <w:r w:rsidRPr="00A45379">
              <w:rPr>
                <w:rFonts w:eastAsia="Times New Roman"/>
                <w:kern w:val="0"/>
              </w:rPr>
              <w:t xml:space="preserve"> turi būti</w:t>
            </w:r>
            <w:r w:rsidR="00D641C8">
              <w:rPr>
                <w:rFonts w:eastAsia="Times New Roman"/>
                <w:kern w:val="0"/>
              </w:rPr>
              <w:t xml:space="preserve"> laikomasi </w:t>
            </w:r>
            <w:r w:rsidRPr="00A45379">
              <w:rPr>
                <w:rFonts w:eastAsia="Times New Roman"/>
                <w:kern w:val="0"/>
              </w:rPr>
              <w:t>Lietuvos Respublikos aplinkos ministro 2011 m. birželio 28 d. įsakymu Nr. D1-508 „Dėl aplinkos apsaugos kriterijų taikymo, vykdant žaliuosius pirkimus, tvarkos aprašo patvirtinimo“ XVII skyriaus „Kelių projektavimo paslaugos ir statybos darbai, kelio elementai“ 26</w:t>
            </w:r>
            <w:r w:rsidR="00D641C8">
              <w:rPr>
                <w:rFonts w:eastAsia="Times New Roman"/>
                <w:kern w:val="0"/>
              </w:rPr>
              <w:t xml:space="preserve"> </w:t>
            </w:r>
            <w:r w:rsidRPr="00A45379">
              <w:rPr>
                <w:rFonts w:eastAsia="Times New Roman"/>
                <w:kern w:val="0"/>
              </w:rPr>
              <w:t>punkte nurodyt</w:t>
            </w:r>
            <w:r w:rsidR="00D641C8">
              <w:rPr>
                <w:rFonts w:eastAsia="Times New Roman"/>
                <w:kern w:val="0"/>
              </w:rPr>
              <w:t>ų</w:t>
            </w:r>
            <w:r w:rsidRPr="00A45379">
              <w:rPr>
                <w:rFonts w:eastAsia="Times New Roman"/>
                <w:kern w:val="0"/>
              </w:rPr>
              <w:t xml:space="preserve"> kriterijų;</w:t>
            </w:r>
          </w:p>
          <w:p w14:paraId="3E7E7716" w14:textId="44C140D8" w:rsidR="000825AB" w:rsidRDefault="00D641C8" w:rsidP="00D55681">
            <w:pPr>
              <w:widowControl/>
              <w:suppressAutoHyphens w:val="0"/>
              <w:rPr>
                <w:rFonts w:eastAsia="Times New Roman"/>
                <w:kern w:val="0"/>
                <w:lang w:eastAsia="lt-LT"/>
              </w:rPr>
            </w:pPr>
            <w:r>
              <w:rPr>
                <w:rFonts w:eastAsia="Times New Roman"/>
                <w:kern w:val="0"/>
                <w:lang w:eastAsia="lt-LT"/>
              </w:rPr>
              <w:t>2</w:t>
            </w:r>
            <w:r w:rsidR="00CC7513" w:rsidRPr="00CC7513">
              <w:rPr>
                <w:rFonts w:eastAsia="Times New Roman"/>
                <w:kern w:val="0"/>
                <w:lang w:eastAsia="lt-LT"/>
              </w:rPr>
              <w:t xml:space="preserve">. </w:t>
            </w:r>
            <w:r w:rsidR="00D87EFB">
              <w:rPr>
                <w:rFonts w:eastAsia="Times New Roman"/>
                <w:kern w:val="0"/>
                <w:lang w:eastAsia="lt-LT"/>
              </w:rPr>
              <w:t xml:space="preserve">Pagal Statytojo suteiktą įgaliojimą </w:t>
            </w:r>
            <w:r w:rsidR="002875DB" w:rsidRPr="002875DB">
              <w:rPr>
                <w:rFonts w:eastAsia="Times New Roman"/>
                <w:kern w:val="0"/>
                <w:lang w:eastAsia="lt-LT"/>
              </w:rPr>
              <w:t>Užsakyti ir gauti topografinių, geologinių tyrinėjimų</w:t>
            </w:r>
            <w:r w:rsidR="00603387">
              <w:rPr>
                <w:rFonts w:eastAsia="Times New Roman"/>
                <w:kern w:val="0"/>
                <w:lang w:eastAsia="lt-LT"/>
              </w:rPr>
              <w:t xml:space="preserve"> </w:t>
            </w:r>
            <w:r w:rsidR="002875DB" w:rsidRPr="002875DB">
              <w:rPr>
                <w:rFonts w:eastAsia="Times New Roman"/>
                <w:kern w:val="0"/>
                <w:lang w:eastAsia="lt-LT"/>
              </w:rPr>
              <w:t>dokumentus, bei visas reikiamas projektavimo sąlygas ir projektą suderinti su visomis reikalingomis institucijomis</w:t>
            </w:r>
            <w:r w:rsidR="00E1011B">
              <w:rPr>
                <w:rFonts w:eastAsia="Times New Roman"/>
                <w:kern w:val="0"/>
                <w:lang w:eastAsia="lt-LT"/>
              </w:rPr>
              <w:t xml:space="preserve">, </w:t>
            </w:r>
            <w:r w:rsidR="002875DB" w:rsidRPr="002875DB">
              <w:rPr>
                <w:rFonts w:eastAsia="Times New Roman"/>
                <w:kern w:val="0"/>
                <w:lang w:eastAsia="lt-LT"/>
              </w:rPr>
              <w:t>gauti projekt</w:t>
            </w:r>
            <w:r w:rsidR="00A059CF">
              <w:rPr>
                <w:rFonts w:eastAsia="Times New Roman"/>
                <w:kern w:val="0"/>
                <w:lang w:eastAsia="lt-LT"/>
              </w:rPr>
              <w:t>o bendrosios</w:t>
            </w:r>
            <w:r w:rsidR="002875DB" w:rsidRPr="002875DB">
              <w:rPr>
                <w:rFonts w:eastAsia="Times New Roman"/>
                <w:kern w:val="0"/>
                <w:lang w:eastAsia="lt-LT"/>
              </w:rPr>
              <w:t xml:space="preserve"> ekspertizės išvadas</w:t>
            </w:r>
            <w:r w:rsidR="00A059CF">
              <w:rPr>
                <w:rFonts w:eastAsia="Times New Roman"/>
                <w:kern w:val="0"/>
                <w:lang w:eastAsia="lt-LT"/>
              </w:rPr>
              <w:t xml:space="preserve">, </w:t>
            </w:r>
            <w:r w:rsidR="00A059CF" w:rsidRPr="00A059CF">
              <w:rPr>
                <w:rFonts w:eastAsia="Times New Roman"/>
                <w:kern w:val="0"/>
                <w:lang w:eastAsia="lt-LT"/>
              </w:rPr>
              <w:t>Projekt</w:t>
            </w:r>
            <w:r w:rsidR="00A059CF">
              <w:rPr>
                <w:rFonts w:eastAsia="Times New Roman"/>
                <w:kern w:val="0"/>
                <w:lang w:eastAsia="lt-LT"/>
              </w:rPr>
              <w:t>ą</w:t>
            </w:r>
            <w:r w:rsidR="00A059CF" w:rsidRPr="00A059CF">
              <w:rPr>
                <w:rFonts w:eastAsia="Times New Roman"/>
                <w:kern w:val="0"/>
                <w:lang w:eastAsia="lt-LT"/>
              </w:rPr>
              <w:t xml:space="preserve"> koreguo</w:t>
            </w:r>
            <w:r w:rsidR="00A059CF">
              <w:rPr>
                <w:rFonts w:eastAsia="Times New Roman"/>
                <w:kern w:val="0"/>
                <w:lang w:eastAsia="lt-LT"/>
              </w:rPr>
              <w:t>ti</w:t>
            </w:r>
            <w:r w:rsidR="00A059CF" w:rsidRPr="00A059CF">
              <w:rPr>
                <w:rFonts w:eastAsia="Times New Roman"/>
                <w:kern w:val="0"/>
                <w:lang w:eastAsia="lt-LT"/>
              </w:rPr>
              <w:t xml:space="preserve"> ir ištais</w:t>
            </w:r>
            <w:r w:rsidR="00A059CF">
              <w:rPr>
                <w:rFonts w:eastAsia="Times New Roman"/>
                <w:kern w:val="0"/>
                <w:lang w:eastAsia="lt-LT"/>
              </w:rPr>
              <w:t>yti</w:t>
            </w:r>
            <w:r w:rsidR="00A059CF" w:rsidRPr="00A059CF">
              <w:rPr>
                <w:rFonts w:eastAsia="Times New Roman"/>
                <w:kern w:val="0"/>
                <w:lang w:eastAsia="lt-LT"/>
              </w:rPr>
              <w:t xml:space="preserve"> pagal privalomosios ekspertizės pastabas</w:t>
            </w:r>
            <w:r w:rsidR="00D87EFB">
              <w:rPr>
                <w:rFonts w:eastAsia="Times New Roman"/>
                <w:kern w:val="0"/>
                <w:lang w:eastAsia="lt-LT"/>
              </w:rPr>
              <w:t>;</w:t>
            </w:r>
          </w:p>
          <w:p w14:paraId="637BE135" w14:textId="6C017DE1" w:rsidR="001807D9" w:rsidRPr="00D55681" w:rsidRDefault="00D641C8" w:rsidP="00D55681">
            <w:pPr>
              <w:widowControl/>
              <w:suppressAutoHyphens w:val="0"/>
              <w:rPr>
                <w:rFonts w:eastAsia="Times New Roman"/>
                <w:kern w:val="0"/>
                <w:lang w:eastAsia="lt-LT"/>
              </w:rPr>
            </w:pPr>
            <w:r>
              <w:rPr>
                <w:rFonts w:eastAsia="Times New Roman"/>
                <w:kern w:val="0"/>
                <w:lang w:eastAsia="lt-LT"/>
              </w:rPr>
              <w:t>3</w:t>
            </w:r>
            <w:r w:rsidR="00D55681">
              <w:rPr>
                <w:rFonts w:eastAsia="Times New Roman"/>
                <w:kern w:val="0"/>
                <w:lang w:eastAsia="lt-LT"/>
              </w:rPr>
              <w:t>. Pat</w:t>
            </w:r>
            <w:r w:rsidR="00A53239">
              <w:rPr>
                <w:rFonts w:eastAsia="Times New Roman"/>
                <w:kern w:val="0"/>
                <w:lang w:eastAsia="lt-LT"/>
              </w:rPr>
              <w:t>eikti Projekt</w:t>
            </w:r>
            <w:r w:rsidR="00E1011B">
              <w:rPr>
                <w:rFonts w:eastAsia="Times New Roman"/>
                <w:kern w:val="0"/>
                <w:lang w:eastAsia="lt-LT"/>
              </w:rPr>
              <w:t>ą</w:t>
            </w:r>
            <w:r w:rsidR="00D55681" w:rsidRPr="00D55681">
              <w:rPr>
                <w:rFonts w:eastAsia="Times New Roman"/>
                <w:kern w:val="0"/>
                <w:lang w:eastAsia="lt-LT"/>
              </w:rPr>
              <w:t xml:space="preserve"> įprasta </w:t>
            </w:r>
            <w:r w:rsidR="00D55681">
              <w:rPr>
                <w:rFonts w:eastAsia="Times New Roman"/>
                <w:kern w:val="0"/>
                <w:lang w:eastAsia="lt-LT"/>
              </w:rPr>
              <w:t>projekt</w:t>
            </w:r>
            <w:r w:rsidR="00484484">
              <w:rPr>
                <w:rFonts w:eastAsia="Times New Roman"/>
                <w:kern w:val="0"/>
                <w:lang w:eastAsia="lt-LT"/>
              </w:rPr>
              <w:t>ų</w:t>
            </w:r>
            <w:r w:rsidR="00D55681">
              <w:rPr>
                <w:rFonts w:eastAsia="Times New Roman"/>
                <w:kern w:val="0"/>
                <w:lang w:eastAsia="lt-LT"/>
              </w:rPr>
              <w:t xml:space="preserve"> </w:t>
            </w:r>
            <w:r w:rsidR="00D55681" w:rsidRPr="00D55681">
              <w:rPr>
                <w:rFonts w:eastAsia="Times New Roman"/>
                <w:kern w:val="0"/>
                <w:lang w:eastAsia="lt-LT"/>
              </w:rPr>
              <w:t>sudėtimi pagal STR 1.04.04:201</w:t>
            </w:r>
            <w:r w:rsidR="00D87EFB">
              <w:rPr>
                <w:rFonts w:eastAsia="Times New Roman"/>
                <w:kern w:val="0"/>
                <w:lang w:eastAsia="lt-LT"/>
              </w:rPr>
              <w:t>9</w:t>
            </w:r>
            <w:r w:rsidR="00D55681" w:rsidRPr="00D55681">
              <w:rPr>
                <w:rFonts w:eastAsia="Times New Roman"/>
                <w:kern w:val="0"/>
                <w:lang w:eastAsia="lt-LT"/>
              </w:rPr>
              <w:t xml:space="preserve"> „Statinio</w:t>
            </w:r>
            <w:r w:rsidR="00D55681">
              <w:rPr>
                <w:rFonts w:eastAsia="Times New Roman"/>
                <w:kern w:val="0"/>
                <w:lang w:eastAsia="lt-LT"/>
              </w:rPr>
              <w:t xml:space="preserve"> </w:t>
            </w:r>
            <w:r w:rsidR="00D55681" w:rsidRPr="00D55681">
              <w:rPr>
                <w:rFonts w:eastAsia="Times New Roman"/>
                <w:kern w:val="0"/>
                <w:lang w:eastAsia="lt-LT"/>
              </w:rPr>
              <w:t>projektavimas, projekto ekspertizė“, Lietuvos Respublikos statybos įstatymą, galiojančius teritorijų planavimo dokumentus bei kitus</w:t>
            </w:r>
            <w:r w:rsidR="00D55681">
              <w:rPr>
                <w:rFonts w:eastAsia="Times New Roman"/>
                <w:kern w:val="0"/>
                <w:lang w:eastAsia="lt-LT"/>
              </w:rPr>
              <w:t xml:space="preserve"> teisės aktus, </w:t>
            </w:r>
            <w:r w:rsidR="00D55681" w:rsidRPr="00D55681">
              <w:rPr>
                <w:rFonts w:eastAsia="Times New Roman"/>
                <w:kern w:val="0"/>
                <w:lang w:eastAsia="lt-LT"/>
              </w:rPr>
              <w:t>atsižvelgiant į statinio paskirtį, specifiką ir</w:t>
            </w:r>
            <w:r w:rsidR="00D55681">
              <w:rPr>
                <w:rFonts w:eastAsia="Times New Roman"/>
                <w:kern w:val="0"/>
                <w:lang w:eastAsia="lt-LT"/>
              </w:rPr>
              <w:t xml:space="preserve"> </w:t>
            </w:r>
            <w:r w:rsidR="00D55681" w:rsidRPr="00D55681">
              <w:rPr>
                <w:rFonts w:eastAsia="Times New Roman"/>
                <w:kern w:val="0"/>
                <w:lang w:eastAsia="lt-LT"/>
              </w:rPr>
              <w:t>sudėtingumą. Projekt</w:t>
            </w:r>
            <w:r w:rsidR="00E1011B">
              <w:rPr>
                <w:rFonts w:eastAsia="Times New Roman"/>
                <w:kern w:val="0"/>
                <w:lang w:eastAsia="lt-LT"/>
              </w:rPr>
              <w:t>o</w:t>
            </w:r>
            <w:r w:rsidR="00D55681" w:rsidRPr="00D55681">
              <w:rPr>
                <w:rFonts w:eastAsia="Times New Roman"/>
                <w:kern w:val="0"/>
                <w:lang w:eastAsia="lt-LT"/>
              </w:rPr>
              <w:t xml:space="preserve"> apimt</w:t>
            </w:r>
            <w:r w:rsidR="00E1011B">
              <w:rPr>
                <w:rFonts w:eastAsia="Times New Roman"/>
                <w:kern w:val="0"/>
                <w:lang w:eastAsia="lt-LT"/>
              </w:rPr>
              <w:t>is</w:t>
            </w:r>
            <w:r w:rsidR="00D55681" w:rsidRPr="00D55681">
              <w:rPr>
                <w:rFonts w:eastAsia="Times New Roman"/>
                <w:kern w:val="0"/>
                <w:lang w:eastAsia="lt-LT"/>
              </w:rPr>
              <w:t xml:space="preserve"> ir detalumas turi būti pakankamas statytojo sumanymui suprasti.</w:t>
            </w:r>
            <w:r w:rsidR="001807D9">
              <w:rPr>
                <w:rFonts w:eastAsia="Times New Roman"/>
                <w:kern w:val="0"/>
                <w:lang w:eastAsia="lt-LT"/>
              </w:rPr>
              <w:t xml:space="preserve"> </w:t>
            </w:r>
            <w:r w:rsidR="001807D9" w:rsidRPr="001807D9">
              <w:rPr>
                <w:rFonts w:eastAsia="Times New Roman"/>
                <w:kern w:val="0"/>
                <w:lang w:eastAsia="lt-LT"/>
              </w:rPr>
              <w:t>Statinio projekt</w:t>
            </w:r>
            <w:r w:rsidR="00E1011B">
              <w:rPr>
                <w:rFonts w:eastAsia="Times New Roman"/>
                <w:kern w:val="0"/>
                <w:lang w:eastAsia="lt-LT"/>
              </w:rPr>
              <w:t>o</w:t>
            </w:r>
            <w:r w:rsidR="001807D9" w:rsidRPr="001807D9">
              <w:rPr>
                <w:rFonts w:eastAsia="Times New Roman"/>
                <w:kern w:val="0"/>
                <w:lang w:eastAsia="lt-LT"/>
              </w:rPr>
              <w:t xml:space="preserve"> techninės specifikacijos sprendiniai turi būti parašyti konkrečiai ši</w:t>
            </w:r>
            <w:r w:rsidR="00484484">
              <w:rPr>
                <w:rFonts w:eastAsia="Times New Roman"/>
                <w:kern w:val="0"/>
                <w:lang w:eastAsia="lt-LT"/>
              </w:rPr>
              <w:t>ems</w:t>
            </w:r>
            <w:r w:rsidR="001807D9" w:rsidRPr="001807D9">
              <w:rPr>
                <w:rFonts w:eastAsia="Times New Roman"/>
                <w:kern w:val="0"/>
                <w:lang w:eastAsia="lt-LT"/>
              </w:rPr>
              <w:t xml:space="preserve"> projekt</w:t>
            </w:r>
            <w:r w:rsidR="00484484">
              <w:rPr>
                <w:rFonts w:eastAsia="Times New Roman"/>
                <w:kern w:val="0"/>
                <w:lang w:eastAsia="lt-LT"/>
              </w:rPr>
              <w:t>ams</w:t>
            </w:r>
            <w:r w:rsidR="001807D9" w:rsidRPr="001807D9">
              <w:rPr>
                <w:rFonts w:eastAsia="Times New Roman"/>
                <w:kern w:val="0"/>
                <w:lang w:eastAsia="lt-LT"/>
              </w:rPr>
              <w:t>, išsamūs ir detalūs. Statini</w:t>
            </w:r>
            <w:r w:rsidR="00E1011B">
              <w:rPr>
                <w:rFonts w:eastAsia="Times New Roman"/>
                <w:kern w:val="0"/>
                <w:lang w:eastAsia="lt-LT"/>
              </w:rPr>
              <w:t>o</w:t>
            </w:r>
            <w:r w:rsidR="001807D9" w:rsidRPr="001807D9">
              <w:rPr>
                <w:rFonts w:eastAsia="Times New Roman"/>
                <w:kern w:val="0"/>
                <w:lang w:eastAsia="lt-LT"/>
              </w:rPr>
              <w:t xml:space="preserve"> projekt</w:t>
            </w:r>
            <w:r w:rsidR="00E1011B">
              <w:rPr>
                <w:rFonts w:eastAsia="Times New Roman"/>
                <w:kern w:val="0"/>
                <w:lang w:eastAsia="lt-LT"/>
              </w:rPr>
              <w:t>e</w:t>
            </w:r>
            <w:r w:rsidR="001807D9" w:rsidRPr="001807D9">
              <w:rPr>
                <w:rFonts w:eastAsia="Times New Roman"/>
                <w:kern w:val="0"/>
                <w:lang w:eastAsia="lt-LT"/>
              </w:rPr>
              <w:t>, techninėse specifikacijose negali būti nurodytas konkretus modelis ar šaltinis, konkretus procesas ar prekės ženklas, patentas, tipai konkreti kilmė ar gamykla, dėl kurių tam tikroms įmonėms ar tam tikriems produktams būtų sudarytos palankesnės sąlygos. Toks nurodymas yra leistinas išimties tvarka, kai statinio statybos neįmanoma tiksliai ir suprantamai aprašyti ir apibūdinti. Šiuo atveju nurodymas pateikiamas įrašant žodžius „arba lygiavertis“.</w:t>
            </w:r>
          </w:p>
        </w:tc>
      </w:tr>
      <w:tr w:rsidR="0004269A" w:rsidRPr="0004269A" w14:paraId="035493C9"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7AB034E7" w14:textId="4508AF50" w:rsidR="00084A04" w:rsidRPr="0004269A" w:rsidRDefault="00D44CAE" w:rsidP="00084A04">
            <w:pPr>
              <w:spacing w:line="276" w:lineRule="auto"/>
              <w:jc w:val="both"/>
            </w:pPr>
            <w:r w:rsidRPr="0004269A">
              <w:t>1</w:t>
            </w:r>
            <w:r w:rsidR="00671DC9">
              <w:t>0</w:t>
            </w:r>
            <w:r w:rsidR="00DE3F0A">
              <w:t>.</w:t>
            </w:r>
          </w:p>
        </w:tc>
        <w:tc>
          <w:tcPr>
            <w:tcW w:w="2399" w:type="dxa"/>
            <w:tcBorders>
              <w:top w:val="single" w:sz="4" w:space="0" w:color="auto"/>
              <w:left w:val="single" w:sz="4" w:space="0" w:color="auto"/>
              <w:bottom w:val="single" w:sz="4" w:space="0" w:color="auto"/>
              <w:right w:val="single" w:sz="4" w:space="0" w:color="auto"/>
            </w:tcBorders>
          </w:tcPr>
          <w:p w14:paraId="40A91260" w14:textId="562A86D6" w:rsidR="00084A04" w:rsidRPr="0004269A" w:rsidRDefault="00CF7258" w:rsidP="00B61880">
            <w:pPr>
              <w:spacing w:line="276" w:lineRule="auto"/>
            </w:pPr>
            <w:r>
              <w:t>K</w:t>
            </w:r>
            <w:r w:rsidR="00B61880">
              <w:t xml:space="preserve">itos paslaugos, susijusios su </w:t>
            </w:r>
            <w:r w:rsidR="00084A04" w:rsidRPr="0004269A">
              <w:t>projektavimo paslaugomis</w:t>
            </w:r>
          </w:p>
        </w:tc>
        <w:tc>
          <w:tcPr>
            <w:tcW w:w="6124" w:type="dxa"/>
            <w:tcBorders>
              <w:top w:val="single" w:sz="4" w:space="0" w:color="auto"/>
              <w:left w:val="single" w:sz="4" w:space="0" w:color="auto"/>
              <w:bottom w:val="single" w:sz="4" w:space="0" w:color="auto"/>
              <w:right w:val="single" w:sz="4" w:space="0" w:color="auto"/>
            </w:tcBorders>
            <w:hideMark/>
          </w:tcPr>
          <w:p w14:paraId="3132C24B" w14:textId="5A5DF583" w:rsidR="00084A04" w:rsidRPr="00E27AD7" w:rsidRDefault="00D55681" w:rsidP="00D97FE9">
            <w:pPr>
              <w:jc w:val="both"/>
              <w:rPr>
                <w:color w:val="000000"/>
              </w:rPr>
            </w:pPr>
            <w:r w:rsidRPr="003E70F7">
              <w:t>Parengti ir elektroninėmis priemonėmis pateikti medžiagą, reikalingą gauti sutikimui iš Nacionalinės žemės tarnybos prie Žemės ūkio ministerijos, vykdyti projekte numatytus darbus valstybinėje žemėje, kurioje nesuformuoti žemės sklypai</w:t>
            </w:r>
            <w:r w:rsidR="00E27AD7">
              <w:t>.</w:t>
            </w:r>
          </w:p>
        </w:tc>
      </w:tr>
      <w:tr w:rsidR="0004269A" w:rsidRPr="0004269A"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4269A"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3E70F7" w:rsidRDefault="00084A04" w:rsidP="006C54C4">
            <w:pPr>
              <w:spacing w:line="276" w:lineRule="auto"/>
              <w:ind w:left="360"/>
              <w:jc w:val="center"/>
              <w:rPr>
                <w:b/>
              </w:rPr>
            </w:pPr>
            <w:r w:rsidRPr="003E70F7">
              <w:rPr>
                <w:b/>
              </w:rPr>
              <w:t>III. Reikalavimai projektavimo paslaugoms</w:t>
            </w:r>
          </w:p>
        </w:tc>
      </w:tr>
      <w:tr w:rsidR="0004269A" w:rsidRPr="0004269A" w14:paraId="567A610D" w14:textId="77777777" w:rsidTr="00F94ADC">
        <w:trPr>
          <w:trHeight w:val="481"/>
        </w:trPr>
        <w:tc>
          <w:tcPr>
            <w:tcW w:w="828" w:type="dxa"/>
            <w:tcBorders>
              <w:top w:val="single" w:sz="4" w:space="0" w:color="auto"/>
              <w:left w:val="single" w:sz="4" w:space="0" w:color="auto"/>
              <w:bottom w:val="single" w:sz="4" w:space="0" w:color="auto"/>
              <w:right w:val="single" w:sz="4" w:space="0" w:color="auto"/>
            </w:tcBorders>
            <w:hideMark/>
          </w:tcPr>
          <w:p w14:paraId="3AC28D06" w14:textId="1BB77C7E" w:rsidR="00084A04" w:rsidRPr="0004269A" w:rsidRDefault="00D44CAE" w:rsidP="00084A04">
            <w:pPr>
              <w:spacing w:line="276" w:lineRule="auto"/>
              <w:jc w:val="both"/>
            </w:pPr>
            <w:r w:rsidRPr="0004269A">
              <w:t>1</w:t>
            </w:r>
            <w:r w:rsidR="00E51578">
              <w:t>1</w:t>
            </w:r>
            <w:r w:rsidR="00084A04"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035CFCBA" w:rsidR="00084A04" w:rsidRPr="0004269A" w:rsidRDefault="006F0F4A" w:rsidP="00084A04">
            <w:pPr>
              <w:spacing w:line="276" w:lineRule="auto"/>
              <w:jc w:val="both"/>
              <w:rPr>
                <w:b/>
                <w:u w:val="single"/>
              </w:rPr>
            </w:pPr>
            <w:r w:rsidRPr="006F0F4A">
              <w:t xml:space="preserve">Statinio projekte </w:t>
            </w:r>
            <w:r w:rsidRPr="006F0F4A">
              <w:lastRenderedPageBreak/>
              <w:t>taikoma teisė ir normatyviniai dokumentai</w:t>
            </w:r>
          </w:p>
        </w:tc>
        <w:tc>
          <w:tcPr>
            <w:tcW w:w="6124" w:type="dxa"/>
            <w:tcBorders>
              <w:top w:val="single" w:sz="4" w:space="0" w:color="auto"/>
              <w:left w:val="single" w:sz="4" w:space="0" w:color="auto"/>
              <w:bottom w:val="single" w:sz="4" w:space="0" w:color="auto"/>
              <w:right w:val="single" w:sz="4" w:space="0" w:color="auto"/>
            </w:tcBorders>
          </w:tcPr>
          <w:p w14:paraId="1C1EBF66" w14:textId="25F30586" w:rsidR="006F0F4A" w:rsidRPr="006F0F4A" w:rsidRDefault="006F0F4A" w:rsidP="006F0F4A">
            <w:pPr>
              <w:widowControl/>
              <w:suppressAutoHyphens w:val="0"/>
              <w:autoSpaceDE w:val="0"/>
              <w:autoSpaceDN w:val="0"/>
              <w:adjustRightInd w:val="0"/>
              <w:rPr>
                <w:rFonts w:ascii="LiberationSerif" w:eastAsia="Times New Roman" w:hAnsi="LiberationSerif" w:cs="LiberationSerif"/>
                <w:kern w:val="0"/>
                <w:lang w:eastAsia="lt-LT"/>
              </w:rPr>
            </w:pPr>
            <w:r w:rsidRPr="006F0F4A">
              <w:rPr>
                <w:rFonts w:ascii="LiberationSerif" w:eastAsia="Times New Roman" w:hAnsi="LiberationSerif" w:cs="LiberationSerif"/>
                <w:kern w:val="0"/>
                <w:lang w:eastAsia="lt-LT"/>
              </w:rPr>
              <w:lastRenderedPageBreak/>
              <w:t>1.</w:t>
            </w:r>
            <w:r>
              <w:rPr>
                <w:rFonts w:ascii="LiberationSerif" w:eastAsia="Times New Roman" w:hAnsi="LiberationSerif" w:cs="LiberationSerif"/>
                <w:kern w:val="0"/>
                <w:lang w:eastAsia="lt-LT"/>
              </w:rPr>
              <w:t xml:space="preserve"> </w:t>
            </w:r>
            <w:r w:rsidRPr="006F0F4A">
              <w:rPr>
                <w:rFonts w:ascii="LiberationSerif" w:eastAsia="Times New Roman" w:hAnsi="LiberationSerif" w:cs="LiberationSerif"/>
                <w:kern w:val="0"/>
                <w:lang w:eastAsia="lt-LT"/>
              </w:rPr>
              <w:t>LR statybos įstatymas;</w:t>
            </w:r>
          </w:p>
          <w:p w14:paraId="62A16200" w14:textId="4008C742" w:rsidR="006F0F4A" w:rsidRPr="006F0F4A" w:rsidRDefault="006F0F4A" w:rsidP="006F0F4A">
            <w:pPr>
              <w:widowControl/>
              <w:suppressAutoHyphens w:val="0"/>
              <w:autoSpaceDE w:val="0"/>
              <w:autoSpaceDN w:val="0"/>
              <w:adjustRightInd w:val="0"/>
              <w:rPr>
                <w:rFonts w:ascii="LiberationSerif" w:eastAsia="Times New Roman" w:hAnsi="LiberationSerif" w:cs="LiberationSerif"/>
                <w:kern w:val="0"/>
                <w:lang w:eastAsia="lt-LT"/>
              </w:rPr>
            </w:pPr>
            <w:r w:rsidRPr="006F0F4A">
              <w:rPr>
                <w:rFonts w:ascii="LiberationSerif" w:eastAsia="Times New Roman" w:hAnsi="LiberationSerif" w:cs="LiberationSerif"/>
                <w:kern w:val="0"/>
                <w:lang w:eastAsia="lt-LT"/>
              </w:rPr>
              <w:t>2.</w:t>
            </w:r>
            <w:r>
              <w:rPr>
                <w:rFonts w:ascii="LiberationSerif" w:eastAsia="Times New Roman" w:hAnsi="LiberationSerif" w:cs="LiberationSerif"/>
                <w:kern w:val="0"/>
                <w:lang w:eastAsia="lt-LT"/>
              </w:rPr>
              <w:t xml:space="preserve"> </w:t>
            </w:r>
            <w:r w:rsidRPr="006F0F4A">
              <w:rPr>
                <w:rFonts w:ascii="LiberationSerif" w:eastAsia="Times New Roman" w:hAnsi="LiberationSerif" w:cs="LiberationSerif"/>
                <w:kern w:val="0"/>
                <w:lang w:eastAsia="lt-LT"/>
              </w:rPr>
              <w:t>STR 1.04.04:201</w:t>
            </w:r>
            <w:r w:rsidR="005477DC">
              <w:rPr>
                <w:rFonts w:ascii="LiberationSerif" w:eastAsia="Times New Roman" w:hAnsi="LiberationSerif" w:cs="LiberationSerif"/>
                <w:kern w:val="0"/>
                <w:lang w:eastAsia="lt-LT"/>
              </w:rPr>
              <w:t>7</w:t>
            </w:r>
            <w:r w:rsidRPr="006F0F4A">
              <w:rPr>
                <w:rFonts w:ascii="LiberationSerif" w:eastAsia="Times New Roman" w:hAnsi="LiberationSerif" w:cs="LiberationSerif"/>
                <w:kern w:val="0"/>
                <w:lang w:eastAsia="lt-LT"/>
              </w:rPr>
              <w:t xml:space="preserve">„Statinio projektavimas, projekto </w:t>
            </w:r>
            <w:r w:rsidRPr="006F0F4A">
              <w:rPr>
                <w:rFonts w:ascii="LiberationSerif" w:eastAsia="Times New Roman" w:hAnsi="LiberationSerif" w:cs="LiberationSerif"/>
                <w:kern w:val="0"/>
                <w:lang w:eastAsia="lt-LT"/>
              </w:rPr>
              <w:lastRenderedPageBreak/>
              <w:t>ekspertizė“;</w:t>
            </w:r>
          </w:p>
          <w:p w14:paraId="643991CF" w14:textId="39F1CB57" w:rsidR="006F0F4A" w:rsidRPr="006F0F4A" w:rsidRDefault="006F0F4A" w:rsidP="006F0F4A">
            <w:pPr>
              <w:widowControl/>
              <w:suppressAutoHyphens w:val="0"/>
              <w:autoSpaceDE w:val="0"/>
              <w:autoSpaceDN w:val="0"/>
              <w:adjustRightInd w:val="0"/>
              <w:rPr>
                <w:rFonts w:ascii="LiberationSerif" w:eastAsia="Times New Roman" w:hAnsi="LiberationSerif" w:cs="LiberationSerif"/>
                <w:kern w:val="0"/>
                <w:lang w:eastAsia="lt-LT"/>
              </w:rPr>
            </w:pPr>
            <w:r w:rsidRPr="006F0F4A">
              <w:rPr>
                <w:rFonts w:ascii="LiberationSerif" w:eastAsia="Times New Roman" w:hAnsi="LiberationSerif" w:cs="LiberationSerif"/>
                <w:kern w:val="0"/>
                <w:lang w:eastAsia="lt-LT"/>
              </w:rPr>
              <w:t>3.</w:t>
            </w:r>
            <w:r>
              <w:rPr>
                <w:rFonts w:ascii="LiberationSerif" w:eastAsia="Times New Roman" w:hAnsi="LiberationSerif" w:cs="LiberationSerif"/>
                <w:kern w:val="0"/>
                <w:lang w:eastAsia="lt-LT"/>
              </w:rPr>
              <w:t xml:space="preserve"> </w:t>
            </w:r>
            <w:r w:rsidRPr="006F0F4A">
              <w:rPr>
                <w:rFonts w:ascii="LiberationSerif" w:eastAsia="Times New Roman" w:hAnsi="LiberationSerif" w:cs="LiberationSerif"/>
                <w:kern w:val="0"/>
                <w:lang w:eastAsia="lt-LT"/>
              </w:rPr>
              <w:t>STR 2.06.04:2014 „Gatvės ir vietinės reikšmės keliai“;</w:t>
            </w:r>
          </w:p>
          <w:p w14:paraId="0F9B9D0D" w14:textId="4ECDF6D2" w:rsidR="006F0F4A" w:rsidRPr="006F0F4A" w:rsidRDefault="006F0F4A" w:rsidP="006F0F4A">
            <w:pPr>
              <w:widowControl/>
              <w:suppressAutoHyphens w:val="0"/>
              <w:autoSpaceDE w:val="0"/>
              <w:autoSpaceDN w:val="0"/>
              <w:adjustRightInd w:val="0"/>
              <w:rPr>
                <w:rFonts w:ascii="LiberationSerif" w:eastAsia="Times New Roman" w:hAnsi="LiberationSerif" w:cs="LiberationSerif"/>
                <w:kern w:val="0"/>
                <w:lang w:eastAsia="lt-LT"/>
              </w:rPr>
            </w:pPr>
            <w:r w:rsidRPr="006F0F4A">
              <w:rPr>
                <w:rFonts w:ascii="LiberationSerif" w:eastAsia="Times New Roman" w:hAnsi="LiberationSerif" w:cs="LiberationSerif"/>
                <w:kern w:val="0"/>
                <w:lang w:eastAsia="lt-LT"/>
              </w:rPr>
              <w:t>4.</w:t>
            </w:r>
            <w:r>
              <w:rPr>
                <w:rFonts w:ascii="LiberationSerif" w:eastAsia="Times New Roman" w:hAnsi="LiberationSerif" w:cs="LiberationSerif"/>
                <w:kern w:val="0"/>
                <w:lang w:eastAsia="lt-LT"/>
              </w:rPr>
              <w:t xml:space="preserve"> </w:t>
            </w:r>
            <w:r w:rsidRPr="006F0F4A">
              <w:rPr>
                <w:rFonts w:ascii="LiberationSerif" w:eastAsia="Times New Roman" w:hAnsi="LiberationSerif" w:cs="LiberationSerif"/>
                <w:kern w:val="0"/>
                <w:lang w:eastAsia="lt-LT"/>
              </w:rPr>
              <w:t>Automobilių kelių standartizuotų dangų konstrukcijų projektavimo taisyklės KPT SDK 19;</w:t>
            </w:r>
          </w:p>
          <w:p w14:paraId="7194046B" w14:textId="11E8B290" w:rsidR="00AF5B13" w:rsidRPr="00700C3A" w:rsidRDefault="006F0F4A" w:rsidP="00700C3A">
            <w:pPr>
              <w:widowControl/>
              <w:suppressAutoHyphens w:val="0"/>
              <w:autoSpaceDE w:val="0"/>
              <w:autoSpaceDN w:val="0"/>
              <w:adjustRightInd w:val="0"/>
              <w:rPr>
                <w:rFonts w:ascii="LiberationSerif" w:eastAsia="Times New Roman" w:hAnsi="LiberationSerif" w:cs="LiberationSerif"/>
                <w:kern w:val="0"/>
                <w:lang w:eastAsia="lt-LT"/>
              </w:rPr>
            </w:pPr>
            <w:r w:rsidRPr="00700C3A">
              <w:rPr>
                <w:rFonts w:ascii="LiberationSerif" w:eastAsia="Times New Roman" w:hAnsi="LiberationSerif" w:cs="LiberationSerif"/>
                <w:kern w:val="0"/>
                <w:lang w:eastAsia="lt-LT"/>
              </w:rPr>
              <w:t xml:space="preserve">5. Kiti galiojantys </w:t>
            </w:r>
            <w:r w:rsidR="00700C3A" w:rsidRPr="00700C3A">
              <w:rPr>
                <w:bCs/>
              </w:rPr>
              <w:t>norminiai teisės aktai</w:t>
            </w:r>
            <w:r w:rsidR="00700C3A">
              <w:rPr>
                <w:rFonts w:ascii="LiberationSerif" w:eastAsia="Times New Roman" w:hAnsi="LiberationSerif" w:cs="LiberationSerif"/>
                <w:kern w:val="0"/>
                <w:lang w:eastAsia="lt-LT"/>
              </w:rPr>
              <w:t>.</w:t>
            </w:r>
          </w:p>
        </w:tc>
      </w:tr>
      <w:tr w:rsidR="0004269A" w:rsidRPr="0004269A" w14:paraId="0BB223CB"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01A27B5C" w14:textId="66257502" w:rsidR="0049562B" w:rsidRPr="0004269A" w:rsidRDefault="00DE3F0A" w:rsidP="0049562B">
            <w:pPr>
              <w:spacing w:line="276" w:lineRule="auto"/>
              <w:jc w:val="both"/>
            </w:pPr>
            <w:r>
              <w:lastRenderedPageBreak/>
              <w:t>1</w:t>
            </w:r>
            <w:r w:rsidR="00E51578">
              <w:t>2</w:t>
            </w:r>
            <w:r w:rsidR="0049562B"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51631CE9" w14:textId="4C2BE9DB" w:rsidR="0049562B" w:rsidRPr="0004269A" w:rsidRDefault="0049562B" w:rsidP="0049562B">
            <w:pPr>
              <w:spacing w:line="276" w:lineRule="auto"/>
              <w:jc w:val="both"/>
            </w:pPr>
            <w:r w:rsidRPr="0004269A">
              <w:t>Reikalavimai projekt</w:t>
            </w:r>
            <w:r w:rsidR="00671DC9">
              <w:t>o</w:t>
            </w:r>
            <w:r w:rsidRPr="0004269A">
              <w:t xml:space="preserve"> </w:t>
            </w:r>
            <w:r w:rsidR="00DB76CB">
              <w:t xml:space="preserve">rengimo dokumentų kalbai </w:t>
            </w:r>
          </w:p>
        </w:tc>
        <w:tc>
          <w:tcPr>
            <w:tcW w:w="6124" w:type="dxa"/>
            <w:tcBorders>
              <w:top w:val="single" w:sz="4" w:space="0" w:color="auto"/>
              <w:left w:val="single" w:sz="4" w:space="0" w:color="auto"/>
              <w:bottom w:val="single" w:sz="4" w:space="0" w:color="auto"/>
              <w:right w:val="single" w:sz="4" w:space="0" w:color="auto"/>
            </w:tcBorders>
            <w:hideMark/>
          </w:tcPr>
          <w:p w14:paraId="62590217" w14:textId="565C8A05" w:rsidR="0049562B" w:rsidRPr="003E70F7" w:rsidRDefault="000825AB" w:rsidP="0049562B">
            <w:pPr>
              <w:spacing w:line="276" w:lineRule="auto"/>
              <w:jc w:val="both"/>
              <w:rPr>
                <w:iCs/>
                <w:kern w:val="0"/>
                <w:lang w:eastAsia="lt-LT"/>
              </w:rPr>
            </w:pPr>
            <w:r>
              <w:rPr>
                <w:iCs/>
                <w:kern w:val="0"/>
                <w:lang w:eastAsia="lt-LT"/>
              </w:rPr>
              <w:t xml:space="preserve"> </w:t>
            </w:r>
            <w:r w:rsidR="00D97FE9" w:rsidRPr="003E70F7">
              <w:rPr>
                <w:iCs/>
                <w:kern w:val="0"/>
                <w:lang w:eastAsia="lt-LT"/>
              </w:rPr>
              <w:t>Projekt</w:t>
            </w:r>
            <w:r w:rsidR="00671DC9">
              <w:rPr>
                <w:iCs/>
                <w:kern w:val="0"/>
                <w:lang w:eastAsia="lt-LT"/>
              </w:rPr>
              <w:t>o</w:t>
            </w:r>
            <w:r w:rsidR="00D97FE9" w:rsidRPr="003E70F7">
              <w:rPr>
                <w:iCs/>
                <w:kern w:val="0"/>
                <w:lang w:eastAsia="lt-LT"/>
              </w:rPr>
              <w:t xml:space="preserve"> rengimo dokumentai turi būti parengti lietuvių kalba.</w:t>
            </w:r>
          </w:p>
        </w:tc>
      </w:tr>
      <w:tr w:rsidR="00C11652" w:rsidRPr="0004269A" w14:paraId="1AA8DF1D" w14:textId="77777777" w:rsidTr="00F94ADC">
        <w:tc>
          <w:tcPr>
            <w:tcW w:w="828" w:type="dxa"/>
            <w:tcBorders>
              <w:top w:val="single" w:sz="4" w:space="0" w:color="auto"/>
              <w:left w:val="single" w:sz="4" w:space="0" w:color="auto"/>
              <w:bottom w:val="single" w:sz="4" w:space="0" w:color="auto"/>
              <w:right w:val="single" w:sz="4" w:space="0" w:color="auto"/>
            </w:tcBorders>
          </w:tcPr>
          <w:p w14:paraId="017C9FAC" w14:textId="017AA7FB" w:rsidR="00C11652" w:rsidRDefault="00C11652" w:rsidP="00C11652">
            <w:pPr>
              <w:spacing w:line="276" w:lineRule="auto"/>
              <w:jc w:val="both"/>
            </w:pPr>
            <w:r>
              <w:t>13</w:t>
            </w:r>
          </w:p>
        </w:tc>
        <w:tc>
          <w:tcPr>
            <w:tcW w:w="2399" w:type="dxa"/>
            <w:tcBorders>
              <w:top w:val="single" w:sz="4" w:space="0" w:color="auto"/>
              <w:left w:val="single" w:sz="4" w:space="0" w:color="auto"/>
              <w:bottom w:val="single" w:sz="4" w:space="0" w:color="auto"/>
              <w:right w:val="single" w:sz="4" w:space="0" w:color="auto"/>
            </w:tcBorders>
          </w:tcPr>
          <w:p w14:paraId="25064C53" w14:textId="39497D8A" w:rsidR="00C11652" w:rsidRPr="00772026" w:rsidRDefault="00C11652" w:rsidP="00C11652">
            <w:pPr>
              <w:spacing w:line="276" w:lineRule="auto"/>
              <w:jc w:val="both"/>
            </w:pPr>
            <w:r w:rsidRPr="00772026">
              <w:t>Statinio ar statinių grupės projektavimo ir statybos eiliškumas</w:t>
            </w:r>
          </w:p>
        </w:tc>
        <w:tc>
          <w:tcPr>
            <w:tcW w:w="6124" w:type="dxa"/>
            <w:tcBorders>
              <w:top w:val="single" w:sz="4" w:space="0" w:color="auto"/>
              <w:left w:val="single" w:sz="4" w:space="0" w:color="auto"/>
              <w:bottom w:val="single" w:sz="4" w:space="0" w:color="auto"/>
              <w:right w:val="single" w:sz="4" w:space="0" w:color="auto"/>
            </w:tcBorders>
          </w:tcPr>
          <w:p w14:paraId="5361FCA9" w14:textId="462535FC" w:rsidR="00C11652" w:rsidRDefault="00C11652" w:rsidP="00C11652">
            <w:pPr>
              <w:spacing w:line="276" w:lineRule="auto"/>
              <w:jc w:val="both"/>
              <w:rPr>
                <w:bCs/>
                <w:kern w:val="0"/>
                <w:lang w:eastAsia="lt-LT"/>
              </w:rPr>
            </w:pPr>
            <w:r w:rsidRPr="00772026">
              <w:rPr>
                <w:bCs/>
                <w:kern w:val="0"/>
                <w:lang w:eastAsia="lt-LT"/>
              </w:rPr>
              <w:t>Proje</w:t>
            </w:r>
            <w:r w:rsidR="000701DB">
              <w:rPr>
                <w:bCs/>
                <w:kern w:val="0"/>
                <w:lang w:eastAsia="lt-LT"/>
              </w:rPr>
              <w:t>ktavimas vykdomas dviem etapais:</w:t>
            </w:r>
          </w:p>
          <w:p w14:paraId="1C94EE46" w14:textId="2B058601" w:rsidR="000701DB" w:rsidRPr="000701DB" w:rsidRDefault="000701DB" w:rsidP="000701DB">
            <w:pPr>
              <w:pStyle w:val="Sraopastraipa"/>
              <w:numPr>
                <w:ilvl w:val="0"/>
                <w:numId w:val="27"/>
              </w:numPr>
              <w:jc w:val="both"/>
              <w:rPr>
                <w:rFonts w:ascii="Times New Roman" w:hAnsi="Times New Roman" w:cs="Times New Roman"/>
                <w:bCs/>
                <w:sz w:val="24"/>
                <w:szCs w:val="24"/>
                <w:lang w:eastAsia="lt-LT"/>
              </w:rPr>
            </w:pPr>
            <w:r w:rsidRPr="000701DB">
              <w:rPr>
                <w:rFonts w:ascii="Times New Roman" w:hAnsi="Times New Roman" w:cs="Times New Roman"/>
                <w:kern w:val="2"/>
                <w:sz w:val="24"/>
                <w:szCs w:val="24"/>
              </w:rPr>
              <w:t>Projekti</w:t>
            </w:r>
            <w:r w:rsidRPr="000701DB">
              <w:rPr>
                <w:rFonts w:ascii="Times New Roman" w:hAnsi="Times New Roman" w:cs="Times New Roman"/>
                <w:kern w:val="2"/>
                <w:sz w:val="24"/>
                <w:szCs w:val="24"/>
              </w:rPr>
              <w:t>nių pasiūlymų parengimo paslauga;</w:t>
            </w:r>
          </w:p>
          <w:p w14:paraId="0DF2A1C5" w14:textId="663F408E" w:rsidR="000701DB" w:rsidRPr="000701DB" w:rsidRDefault="000701DB" w:rsidP="000701DB">
            <w:pPr>
              <w:pStyle w:val="Sraopastraipa"/>
              <w:numPr>
                <w:ilvl w:val="0"/>
                <w:numId w:val="27"/>
              </w:numPr>
              <w:jc w:val="both"/>
              <w:rPr>
                <w:rFonts w:ascii="Times New Roman" w:hAnsi="Times New Roman" w:cs="Times New Roman"/>
                <w:bCs/>
                <w:sz w:val="24"/>
                <w:szCs w:val="24"/>
                <w:lang w:eastAsia="lt-LT"/>
              </w:rPr>
            </w:pPr>
            <w:r w:rsidRPr="000701DB">
              <w:rPr>
                <w:rFonts w:ascii="Times New Roman" w:hAnsi="Times New Roman" w:cs="Times New Roman"/>
                <w:kern w:val="2"/>
                <w:sz w:val="24"/>
                <w:szCs w:val="24"/>
              </w:rPr>
              <w:t>Techninio darbo projekto parengimo paslaug</w:t>
            </w:r>
            <w:r w:rsidR="00927E27">
              <w:rPr>
                <w:rFonts w:ascii="Times New Roman" w:hAnsi="Times New Roman" w:cs="Times New Roman"/>
                <w:kern w:val="2"/>
                <w:sz w:val="24"/>
                <w:szCs w:val="24"/>
              </w:rPr>
              <w:t>a.</w:t>
            </w:r>
            <w:bookmarkStart w:id="0" w:name="_GoBack"/>
            <w:bookmarkEnd w:id="0"/>
          </w:p>
          <w:p w14:paraId="7DAAC086" w14:textId="32071D56" w:rsidR="00C11652" w:rsidRPr="00772026" w:rsidRDefault="00C11652" w:rsidP="00927E27">
            <w:pPr>
              <w:pStyle w:val="Sraopastraipa"/>
              <w:jc w:val="both"/>
              <w:rPr>
                <w:iCs/>
                <w:lang w:eastAsia="lt-LT"/>
              </w:rPr>
            </w:pPr>
          </w:p>
        </w:tc>
      </w:tr>
      <w:tr w:rsidR="0004269A" w:rsidRPr="0004269A" w14:paraId="1695CA46" w14:textId="77777777" w:rsidTr="00F94ADC">
        <w:tc>
          <w:tcPr>
            <w:tcW w:w="828" w:type="dxa"/>
            <w:tcBorders>
              <w:top w:val="single" w:sz="4" w:space="0" w:color="auto"/>
              <w:left w:val="single" w:sz="4" w:space="0" w:color="auto"/>
              <w:bottom w:val="single" w:sz="4" w:space="0" w:color="auto"/>
              <w:right w:val="single" w:sz="4" w:space="0" w:color="auto"/>
            </w:tcBorders>
            <w:hideMark/>
          </w:tcPr>
          <w:p w14:paraId="4C13EAC0" w14:textId="24706270" w:rsidR="0049562B" w:rsidRPr="0004269A" w:rsidRDefault="00DE3F0A" w:rsidP="00C11652">
            <w:pPr>
              <w:spacing w:line="276" w:lineRule="auto"/>
              <w:jc w:val="both"/>
              <w:rPr>
                <w:kern w:val="2"/>
              </w:rPr>
            </w:pPr>
            <w:r>
              <w:t>1</w:t>
            </w:r>
            <w:r w:rsidR="00C11652">
              <w:t>4</w:t>
            </w:r>
            <w:r w:rsidR="0049562B" w:rsidRPr="0004269A">
              <w:t>.</w:t>
            </w:r>
          </w:p>
        </w:tc>
        <w:tc>
          <w:tcPr>
            <w:tcW w:w="2399" w:type="dxa"/>
            <w:tcBorders>
              <w:top w:val="single" w:sz="4" w:space="0" w:color="auto"/>
              <w:left w:val="single" w:sz="4" w:space="0" w:color="auto"/>
              <w:bottom w:val="single" w:sz="4" w:space="0" w:color="auto"/>
              <w:right w:val="single" w:sz="4" w:space="0" w:color="auto"/>
            </w:tcBorders>
            <w:hideMark/>
          </w:tcPr>
          <w:p w14:paraId="3321B6F2" w14:textId="28448793" w:rsidR="0049562B" w:rsidRPr="0004269A" w:rsidRDefault="00AA44E5" w:rsidP="00C96C06">
            <w:pPr>
              <w:spacing w:line="276" w:lineRule="auto"/>
              <w:jc w:val="both"/>
            </w:pPr>
            <w:r w:rsidRPr="0004269A">
              <w:t>Nurodymai statinio projekt</w:t>
            </w:r>
            <w:r w:rsidR="004D1BD3">
              <w:t>o</w:t>
            </w:r>
            <w:r w:rsidRPr="0004269A">
              <w:t xml:space="preserve"> dokumentų komplektavimui, įforminimui ir pateikimui</w:t>
            </w:r>
          </w:p>
        </w:tc>
        <w:tc>
          <w:tcPr>
            <w:tcW w:w="6124" w:type="dxa"/>
            <w:tcBorders>
              <w:top w:val="single" w:sz="4" w:space="0" w:color="auto"/>
              <w:left w:val="single" w:sz="4" w:space="0" w:color="auto"/>
              <w:bottom w:val="single" w:sz="4" w:space="0" w:color="auto"/>
              <w:right w:val="single" w:sz="4" w:space="0" w:color="auto"/>
            </w:tcBorders>
            <w:hideMark/>
          </w:tcPr>
          <w:p w14:paraId="5A00E0C4" w14:textId="6E937B06" w:rsidR="009A119A" w:rsidRPr="00772026" w:rsidRDefault="009A119A" w:rsidP="00C11652">
            <w:pPr>
              <w:jc w:val="both"/>
              <w:rPr>
                <w:bCs/>
              </w:rPr>
            </w:pPr>
            <w:r w:rsidRPr="00772026">
              <w:rPr>
                <w:iCs/>
                <w:kern w:val="0"/>
                <w:lang w:eastAsia="lt-LT"/>
              </w:rPr>
              <w:t>Statybos leidimo gavimas.</w:t>
            </w:r>
          </w:p>
          <w:p w14:paraId="080F7660" w14:textId="366670F9" w:rsidR="00C11652" w:rsidRPr="00772026" w:rsidRDefault="00C11652" w:rsidP="00C11652">
            <w:pPr>
              <w:jc w:val="both"/>
            </w:pPr>
            <w:r w:rsidRPr="00772026">
              <w:rPr>
                <w:bCs/>
              </w:rPr>
              <w:t xml:space="preserve">Po statybą leidžiančio dokumento gavimo, kartu su projektavimo dabų perdavimo-priėmimo aktu, pateikiami šie dokumentai: </w:t>
            </w:r>
          </w:p>
          <w:p w14:paraId="03100758" w14:textId="14D6F330" w:rsidR="006F0F4A" w:rsidRDefault="006F0F4A" w:rsidP="006F0F4A">
            <w:pPr>
              <w:spacing w:line="276" w:lineRule="auto"/>
              <w:jc w:val="both"/>
            </w:pPr>
            <w:r>
              <w:t>1.</w:t>
            </w:r>
            <w:r w:rsidR="00926679">
              <w:t xml:space="preserve"> </w:t>
            </w:r>
            <w:r>
              <w:t>Projektas įforminamas, komplektuojamas ir perduodamas statytojui vadovaujantis STR 1.04.04:201</w:t>
            </w:r>
            <w:r w:rsidR="005477DC">
              <w:t>7</w:t>
            </w:r>
            <w:r>
              <w:t xml:space="preserve"> „Statinio projektavimas, projekto ekspertizė“ reikalavimais, kitų reglamentų, standartų ir projektavimo darbų sutarties nuostatomis. </w:t>
            </w:r>
          </w:p>
          <w:p w14:paraId="2F742AAC" w14:textId="2F2AE1FC" w:rsidR="0049562B" w:rsidRPr="003E70F7" w:rsidRDefault="006F0F4A" w:rsidP="006F0F4A">
            <w:pPr>
              <w:spacing w:line="276" w:lineRule="auto"/>
              <w:jc w:val="both"/>
            </w:pPr>
            <w:r>
              <w:t>2.</w:t>
            </w:r>
            <w:r w:rsidR="00926679">
              <w:t xml:space="preserve"> </w:t>
            </w:r>
            <w:r>
              <w:t>Projektinės dokumentacijos skaičius:</w:t>
            </w:r>
            <w:r w:rsidR="00D87EFB">
              <w:t xml:space="preserve"> </w:t>
            </w:r>
            <w:r>
              <w:t>1 egz. elektroninėje laikmenoje (</w:t>
            </w:r>
            <w:r w:rsidR="00D87EFB">
              <w:t>pasirašytas elektroniniu parašu</w:t>
            </w:r>
            <w:r>
              <w:t>)</w:t>
            </w:r>
            <w:r w:rsidR="00D87EFB">
              <w:t xml:space="preserve"> </w:t>
            </w:r>
            <w:r>
              <w:t xml:space="preserve">projekto ekspertizei atlikti. Projektą pataisius pagal ekspertizės pastabas privaloma pateikti  projektą </w:t>
            </w:r>
            <w:r w:rsidR="00F245F2">
              <w:t>2</w:t>
            </w:r>
            <w:r>
              <w:t xml:space="preserve"> egz. popierine forma ir 1 egz. elektroninėje laikmenoje (PDF</w:t>
            </w:r>
            <w:r w:rsidR="00F245F2">
              <w:t xml:space="preserve"> ir DWG</w:t>
            </w:r>
            <w:r>
              <w:t xml:space="preserve"> format</w:t>
            </w:r>
            <w:r w:rsidR="00F245F2">
              <w:t>ais</w:t>
            </w:r>
            <w:r>
              <w:t>).</w:t>
            </w:r>
          </w:p>
        </w:tc>
      </w:tr>
      <w:tr w:rsidR="0004269A" w:rsidRPr="0004269A" w14:paraId="697936D5" w14:textId="77777777" w:rsidTr="00D87EFB">
        <w:trPr>
          <w:trHeight w:val="637"/>
        </w:trPr>
        <w:tc>
          <w:tcPr>
            <w:tcW w:w="828" w:type="dxa"/>
            <w:tcBorders>
              <w:top w:val="single" w:sz="4" w:space="0" w:color="auto"/>
              <w:left w:val="single" w:sz="4" w:space="0" w:color="auto"/>
              <w:bottom w:val="single" w:sz="4" w:space="0" w:color="auto"/>
              <w:right w:val="single" w:sz="4" w:space="0" w:color="auto"/>
            </w:tcBorders>
          </w:tcPr>
          <w:p w14:paraId="77523C62" w14:textId="1737A42E" w:rsidR="00CC38CE" w:rsidRPr="0004269A" w:rsidRDefault="00DE3F0A" w:rsidP="00C11652">
            <w:pPr>
              <w:spacing w:line="276" w:lineRule="auto"/>
              <w:jc w:val="both"/>
            </w:pPr>
            <w:r>
              <w:t>1</w:t>
            </w:r>
            <w:r w:rsidR="00C11652">
              <w:t>5</w:t>
            </w:r>
            <w:r w:rsidR="00CC38CE" w:rsidRPr="0004269A">
              <w:t>.</w:t>
            </w:r>
          </w:p>
        </w:tc>
        <w:tc>
          <w:tcPr>
            <w:tcW w:w="2399" w:type="dxa"/>
            <w:tcBorders>
              <w:top w:val="single" w:sz="4" w:space="0" w:color="auto"/>
              <w:left w:val="single" w:sz="4" w:space="0" w:color="auto"/>
              <w:bottom w:val="single" w:sz="4" w:space="0" w:color="auto"/>
              <w:right w:val="single" w:sz="4" w:space="0" w:color="auto"/>
            </w:tcBorders>
          </w:tcPr>
          <w:p w14:paraId="28E36A59" w14:textId="40E053B6" w:rsidR="00CC38CE" w:rsidRPr="0004269A" w:rsidRDefault="00617C92" w:rsidP="00C96C06">
            <w:pPr>
              <w:spacing w:line="276" w:lineRule="auto"/>
              <w:jc w:val="both"/>
            </w:pPr>
            <w:r>
              <w:t>Projekt</w:t>
            </w:r>
            <w:r w:rsidR="00671DC9">
              <w:t>o</w:t>
            </w:r>
            <w:r>
              <w:t xml:space="preserve"> e</w:t>
            </w:r>
            <w:r w:rsidR="00CC38CE" w:rsidRPr="0004269A">
              <w:t>kspertizės atlikimas</w:t>
            </w:r>
          </w:p>
        </w:tc>
        <w:tc>
          <w:tcPr>
            <w:tcW w:w="6124" w:type="dxa"/>
            <w:tcBorders>
              <w:top w:val="single" w:sz="4" w:space="0" w:color="auto"/>
              <w:left w:val="single" w:sz="4" w:space="0" w:color="auto"/>
              <w:bottom w:val="single" w:sz="4" w:space="0" w:color="auto"/>
              <w:right w:val="single" w:sz="4" w:space="0" w:color="auto"/>
            </w:tcBorders>
          </w:tcPr>
          <w:p w14:paraId="37739DCB" w14:textId="59EEEE84" w:rsidR="00CC38CE" w:rsidRPr="00CC7513" w:rsidRDefault="005B45CE" w:rsidP="00CC7513">
            <w:pPr>
              <w:widowControl/>
              <w:spacing w:before="40" w:after="40" w:line="276" w:lineRule="auto"/>
              <w:rPr>
                <w:rFonts w:eastAsia="Calibri"/>
                <w:kern w:val="0"/>
              </w:rPr>
            </w:pPr>
            <w:r w:rsidRPr="003E70F7">
              <w:rPr>
                <w:rFonts w:eastAsia="Calibri"/>
                <w:kern w:val="0"/>
              </w:rPr>
              <w:t>Projekt</w:t>
            </w:r>
            <w:r w:rsidR="00671DC9">
              <w:rPr>
                <w:rFonts w:eastAsia="Calibri"/>
                <w:kern w:val="0"/>
              </w:rPr>
              <w:t>o</w:t>
            </w:r>
            <w:r w:rsidRPr="003E70F7">
              <w:rPr>
                <w:rFonts w:eastAsia="Calibri"/>
                <w:kern w:val="0"/>
              </w:rPr>
              <w:t xml:space="preserve"> </w:t>
            </w:r>
            <w:r w:rsidR="00BB7304">
              <w:rPr>
                <w:rFonts w:eastAsia="Calibri"/>
                <w:kern w:val="0"/>
              </w:rPr>
              <w:t xml:space="preserve">bendrąją </w:t>
            </w:r>
            <w:r w:rsidRPr="003E70F7">
              <w:rPr>
                <w:rFonts w:eastAsia="Calibri"/>
                <w:kern w:val="0"/>
              </w:rPr>
              <w:t xml:space="preserve">ekspertizę užsako ir apmoka Užsakovas. </w:t>
            </w:r>
          </w:p>
        </w:tc>
      </w:tr>
    </w:tbl>
    <w:p w14:paraId="21C94D7D" w14:textId="5178C882" w:rsidR="00617C92" w:rsidRDefault="00617C92" w:rsidP="00FF142E">
      <w:pPr>
        <w:jc w:val="both"/>
      </w:pPr>
    </w:p>
    <w:p w14:paraId="4E880156" w14:textId="5EBA5765" w:rsidR="005D08BF" w:rsidRDefault="005D08BF" w:rsidP="005D08BF">
      <w:pPr>
        <w:jc w:val="both"/>
      </w:pPr>
      <w:r>
        <w:t>PIRKIMO VYKDYTOJO PATEIKIAMI DUOMENYS IR DOKUMENTAI</w:t>
      </w:r>
      <w:r w:rsidR="00D60316">
        <w:t>:</w:t>
      </w:r>
    </w:p>
    <w:p w14:paraId="3FEF1519" w14:textId="4A7B257F" w:rsidR="00AF5B13" w:rsidRPr="008A2062" w:rsidRDefault="00D60316" w:rsidP="008A2062">
      <w:pPr>
        <w:pStyle w:val="Sraopastraipa"/>
        <w:numPr>
          <w:ilvl w:val="0"/>
          <w:numId w:val="26"/>
        </w:numPr>
        <w:rPr>
          <w:rFonts w:ascii="Times New Roman" w:hAnsi="Times New Roman" w:cs="Times New Roman"/>
        </w:rPr>
      </w:pPr>
      <w:r w:rsidRPr="001807D9">
        <w:rPr>
          <w:rFonts w:ascii="Times New Roman" w:hAnsi="Times New Roman" w:cs="Times New Roman"/>
        </w:rPr>
        <w:t>Projektuojam</w:t>
      </w:r>
      <w:r w:rsidR="00BB7304">
        <w:rPr>
          <w:rFonts w:ascii="Times New Roman" w:hAnsi="Times New Roman" w:cs="Times New Roman"/>
        </w:rPr>
        <w:t>os</w:t>
      </w:r>
      <w:r w:rsidRPr="001807D9">
        <w:rPr>
          <w:rFonts w:ascii="Times New Roman" w:hAnsi="Times New Roman" w:cs="Times New Roman"/>
        </w:rPr>
        <w:t xml:space="preserve"> </w:t>
      </w:r>
      <w:r w:rsidR="00D87EFB">
        <w:rPr>
          <w:rFonts w:ascii="Times New Roman" w:hAnsi="Times New Roman" w:cs="Times New Roman"/>
        </w:rPr>
        <w:t>gatv</w:t>
      </w:r>
      <w:r w:rsidR="00BB7304">
        <w:rPr>
          <w:rFonts w:ascii="Times New Roman" w:hAnsi="Times New Roman" w:cs="Times New Roman"/>
        </w:rPr>
        <w:t>ės</w:t>
      </w:r>
      <w:r w:rsidRPr="001807D9">
        <w:rPr>
          <w:rFonts w:ascii="Times New Roman" w:hAnsi="Times New Roman" w:cs="Times New Roman"/>
        </w:rPr>
        <w:t xml:space="preserve"> schem</w:t>
      </w:r>
      <w:r w:rsidR="00671DC9">
        <w:rPr>
          <w:rFonts w:ascii="Times New Roman" w:hAnsi="Times New Roman" w:cs="Times New Roman"/>
        </w:rPr>
        <w:t>a</w:t>
      </w:r>
      <w:r w:rsidRPr="001807D9">
        <w:rPr>
          <w:rFonts w:ascii="Times New Roman" w:hAnsi="Times New Roman" w:cs="Times New Roman"/>
        </w:rPr>
        <w:t>.</w:t>
      </w:r>
    </w:p>
    <w:sectPr w:rsidR="00AF5B13" w:rsidRPr="008A206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DA65F" w14:textId="77777777" w:rsidR="00552984" w:rsidRDefault="00552984">
      <w:r>
        <w:separator/>
      </w:r>
    </w:p>
  </w:endnote>
  <w:endnote w:type="continuationSeparator" w:id="0">
    <w:p w14:paraId="7FACAA95" w14:textId="77777777" w:rsidR="00552984" w:rsidRDefault="005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B62F0" w14:textId="77777777" w:rsidR="00552984" w:rsidRDefault="00552984">
      <w:r>
        <w:separator/>
      </w:r>
    </w:p>
  </w:footnote>
  <w:footnote w:type="continuationSeparator" w:id="0">
    <w:p w14:paraId="1E69ECFB" w14:textId="77777777" w:rsidR="00552984" w:rsidRDefault="0055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56"/>
        </w:tabs>
        <w:ind w:left="356" w:hanging="432"/>
      </w:pPr>
    </w:lvl>
    <w:lvl w:ilvl="1">
      <w:start w:val="1"/>
      <w:numFmt w:val="none"/>
      <w:pStyle w:val="Antrat2"/>
      <w:lvlText w:val=""/>
      <w:lvlJc w:val="left"/>
      <w:pPr>
        <w:tabs>
          <w:tab w:val="num" w:pos="500"/>
        </w:tabs>
        <w:ind w:left="500" w:hanging="576"/>
      </w:pPr>
    </w:lvl>
    <w:lvl w:ilvl="2">
      <w:start w:val="1"/>
      <w:numFmt w:val="none"/>
      <w:lvlText w:val=""/>
      <w:lvlJc w:val="left"/>
      <w:pPr>
        <w:tabs>
          <w:tab w:val="num" w:pos="644"/>
        </w:tabs>
        <w:ind w:left="644" w:hanging="720"/>
      </w:pPr>
    </w:lvl>
    <w:lvl w:ilvl="3">
      <w:start w:val="1"/>
      <w:numFmt w:val="none"/>
      <w:lvlText w:val=""/>
      <w:lvlJc w:val="left"/>
      <w:pPr>
        <w:tabs>
          <w:tab w:val="num" w:pos="788"/>
        </w:tabs>
        <w:ind w:left="788" w:hanging="864"/>
      </w:pPr>
    </w:lvl>
    <w:lvl w:ilvl="4">
      <w:start w:val="1"/>
      <w:numFmt w:val="none"/>
      <w:lvlText w:val=""/>
      <w:lvlJc w:val="left"/>
      <w:pPr>
        <w:tabs>
          <w:tab w:val="num" w:pos="932"/>
        </w:tabs>
        <w:ind w:left="932" w:hanging="1008"/>
      </w:pPr>
    </w:lvl>
    <w:lvl w:ilvl="5">
      <w:start w:val="1"/>
      <w:numFmt w:val="none"/>
      <w:lvlText w:val=""/>
      <w:lvlJc w:val="left"/>
      <w:pPr>
        <w:tabs>
          <w:tab w:val="num" w:pos="1076"/>
        </w:tabs>
        <w:ind w:left="1076" w:hanging="1152"/>
      </w:pPr>
    </w:lvl>
    <w:lvl w:ilvl="6">
      <w:start w:val="1"/>
      <w:numFmt w:val="none"/>
      <w:lvlText w:val=""/>
      <w:lvlJc w:val="left"/>
      <w:pPr>
        <w:tabs>
          <w:tab w:val="num" w:pos="1220"/>
        </w:tabs>
        <w:ind w:left="1220" w:hanging="1296"/>
      </w:pPr>
    </w:lvl>
    <w:lvl w:ilvl="7">
      <w:start w:val="1"/>
      <w:numFmt w:val="none"/>
      <w:lvlText w:val=""/>
      <w:lvlJc w:val="left"/>
      <w:pPr>
        <w:tabs>
          <w:tab w:val="num" w:pos="1364"/>
        </w:tabs>
        <w:ind w:left="1364" w:hanging="1440"/>
      </w:pPr>
    </w:lvl>
    <w:lvl w:ilvl="8">
      <w:start w:val="1"/>
      <w:numFmt w:val="none"/>
      <w:lvlText w:val=""/>
      <w:lvlJc w:val="left"/>
      <w:pPr>
        <w:tabs>
          <w:tab w:val="num" w:pos="1508"/>
        </w:tabs>
        <w:ind w:left="1508" w:hanging="1584"/>
      </w:pPr>
    </w:lvl>
  </w:abstractNum>
  <w:abstractNum w:abstractNumId="1">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CE60097"/>
    <w:multiLevelType w:val="hybridMultilevel"/>
    <w:tmpl w:val="A9DE5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77C07"/>
    <w:multiLevelType w:val="hybridMultilevel"/>
    <w:tmpl w:val="1674DE5C"/>
    <w:lvl w:ilvl="0" w:tplc="5B4ABF4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3666AB"/>
    <w:multiLevelType w:val="hybridMultilevel"/>
    <w:tmpl w:val="9FD64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987C3B"/>
    <w:multiLevelType w:val="hybridMultilevel"/>
    <w:tmpl w:val="746AA86E"/>
    <w:lvl w:ilvl="0" w:tplc="C03A10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D9D1E69"/>
    <w:multiLevelType w:val="hybridMultilevel"/>
    <w:tmpl w:val="B082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9"/>
  </w:num>
  <w:num w:numId="10">
    <w:abstractNumId w:val="12"/>
  </w:num>
  <w:num w:numId="11">
    <w:abstractNumId w:val="15"/>
  </w:num>
  <w:num w:numId="12">
    <w:abstractNumId w:val="11"/>
  </w:num>
  <w:num w:numId="13">
    <w:abstractNumId w:val="25"/>
  </w:num>
  <w:num w:numId="14">
    <w:abstractNumId w:val="26"/>
  </w:num>
  <w:num w:numId="15">
    <w:abstractNumId w:val="17"/>
  </w:num>
  <w:num w:numId="16">
    <w:abstractNumId w:val="24"/>
  </w:num>
  <w:num w:numId="17">
    <w:abstractNumId w:val="16"/>
  </w:num>
  <w:num w:numId="18">
    <w:abstractNumId w:val="14"/>
  </w:num>
  <w:num w:numId="19">
    <w:abstractNumId w:val="13"/>
  </w:num>
  <w:num w:numId="20">
    <w:abstractNumId w:val="21"/>
  </w:num>
  <w:num w:numId="21">
    <w:abstractNumId w:val="23"/>
  </w:num>
  <w:num w:numId="22">
    <w:abstractNumId w:val="7"/>
  </w:num>
  <w:num w:numId="23">
    <w:abstractNumId w:val="8"/>
  </w:num>
  <w:num w:numId="24">
    <w:abstractNumId w:val="19"/>
  </w:num>
  <w:num w:numId="25">
    <w:abstractNumId w:val="10"/>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63"/>
    <w:rsid w:val="00014455"/>
    <w:rsid w:val="000178E4"/>
    <w:rsid w:val="00030FB9"/>
    <w:rsid w:val="00031E0D"/>
    <w:rsid w:val="00035C19"/>
    <w:rsid w:val="0004269A"/>
    <w:rsid w:val="000466E8"/>
    <w:rsid w:val="00046AA8"/>
    <w:rsid w:val="00061636"/>
    <w:rsid w:val="00062A6F"/>
    <w:rsid w:val="00063E04"/>
    <w:rsid w:val="00065351"/>
    <w:rsid w:val="00067370"/>
    <w:rsid w:val="000701DB"/>
    <w:rsid w:val="000702EA"/>
    <w:rsid w:val="00076B8C"/>
    <w:rsid w:val="00081CC0"/>
    <w:rsid w:val="000825AB"/>
    <w:rsid w:val="000829BB"/>
    <w:rsid w:val="00084491"/>
    <w:rsid w:val="00084A04"/>
    <w:rsid w:val="0008589F"/>
    <w:rsid w:val="0009092E"/>
    <w:rsid w:val="00097325"/>
    <w:rsid w:val="000A0096"/>
    <w:rsid w:val="000E10D7"/>
    <w:rsid w:val="000F1C73"/>
    <w:rsid w:val="000F622A"/>
    <w:rsid w:val="0010582E"/>
    <w:rsid w:val="00106BA3"/>
    <w:rsid w:val="001100DE"/>
    <w:rsid w:val="00113A33"/>
    <w:rsid w:val="001249AA"/>
    <w:rsid w:val="00124BA8"/>
    <w:rsid w:val="00131BAA"/>
    <w:rsid w:val="00135097"/>
    <w:rsid w:val="00136A8A"/>
    <w:rsid w:val="0013723C"/>
    <w:rsid w:val="00160E3A"/>
    <w:rsid w:val="00170C54"/>
    <w:rsid w:val="00172AFC"/>
    <w:rsid w:val="0017445E"/>
    <w:rsid w:val="0017708B"/>
    <w:rsid w:val="001807D9"/>
    <w:rsid w:val="00186FC6"/>
    <w:rsid w:val="001902A7"/>
    <w:rsid w:val="00192967"/>
    <w:rsid w:val="0019623C"/>
    <w:rsid w:val="001C6ED3"/>
    <w:rsid w:val="001E3499"/>
    <w:rsid w:val="001F0DEC"/>
    <w:rsid w:val="001F3494"/>
    <w:rsid w:val="0020443F"/>
    <w:rsid w:val="00204EB3"/>
    <w:rsid w:val="00205FEF"/>
    <w:rsid w:val="00206017"/>
    <w:rsid w:val="002066E3"/>
    <w:rsid w:val="00206831"/>
    <w:rsid w:val="00216E96"/>
    <w:rsid w:val="00234E35"/>
    <w:rsid w:val="0024547D"/>
    <w:rsid w:val="00251AA6"/>
    <w:rsid w:val="0025291C"/>
    <w:rsid w:val="00254D92"/>
    <w:rsid w:val="00263390"/>
    <w:rsid w:val="002656A1"/>
    <w:rsid w:val="00271AD7"/>
    <w:rsid w:val="00271B76"/>
    <w:rsid w:val="00275ABE"/>
    <w:rsid w:val="00277FC0"/>
    <w:rsid w:val="002806DA"/>
    <w:rsid w:val="00283DB6"/>
    <w:rsid w:val="00283F7D"/>
    <w:rsid w:val="002866CA"/>
    <w:rsid w:val="002871A2"/>
    <w:rsid w:val="002875DB"/>
    <w:rsid w:val="00290E19"/>
    <w:rsid w:val="002A0701"/>
    <w:rsid w:val="002A4E37"/>
    <w:rsid w:val="002A5E73"/>
    <w:rsid w:val="002B0FC6"/>
    <w:rsid w:val="002B67EA"/>
    <w:rsid w:val="002B6ABF"/>
    <w:rsid w:val="002B7164"/>
    <w:rsid w:val="002C0047"/>
    <w:rsid w:val="002C28D1"/>
    <w:rsid w:val="002C351E"/>
    <w:rsid w:val="002D422F"/>
    <w:rsid w:val="002F0037"/>
    <w:rsid w:val="002F142B"/>
    <w:rsid w:val="002F6D14"/>
    <w:rsid w:val="00307E84"/>
    <w:rsid w:val="0031108B"/>
    <w:rsid w:val="003226F7"/>
    <w:rsid w:val="00330D1C"/>
    <w:rsid w:val="0034142A"/>
    <w:rsid w:val="00344148"/>
    <w:rsid w:val="00346A70"/>
    <w:rsid w:val="0035312F"/>
    <w:rsid w:val="00356EBE"/>
    <w:rsid w:val="00357880"/>
    <w:rsid w:val="0036137B"/>
    <w:rsid w:val="00363A9B"/>
    <w:rsid w:val="00376C83"/>
    <w:rsid w:val="003856A7"/>
    <w:rsid w:val="00385FE8"/>
    <w:rsid w:val="0039045A"/>
    <w:rsid w:val="003A1794"/>
    <w:rsid w:val="003A3265"/>
    <w:rsid w:val="003A7AB9"/>
    <w:rsid w:val="003B6BA0"/>
    <w:rsid w:val="003B7CE5"/>
    <w:rsid w:val="003C0847"/>
    <w:rsid w:val="003D108C"/>
    <w:rsid w:val="003D2520"/>
    <w:rsid w:val="003E3F63"/>
    <w:rsid w:val="003E705F"/>
    <w:rsid w:val="003E70F7"/>
    <w:rsid w:val="003F2610"/>
    <w:rsid w:val="003F288D"/>
    <w:rsid w:val="004073E0"/>
    <w:rsid w:val="00407697"/>
    <w:rsid w:val="004101DF"/>
    <w:rsid w:val="00412A31"/>
    <w:rsid w:val="00424EFC"/>
    <w:rsid w:val="00425E4A"/>
    <w:rsid w:val="00437441"/>
    <w:rsid w:val="0045087A"/>
    <w:rsid w:val="00455B6F"/>
    <w:rsid w:val="004574F8"/>
    <w:rsid w:val="00471C06"/>
    <w:rsid w:val="004832F7"/>
    <w:rsid w:val="00484484"/>
    <w:rsid w:val="0049562B"/>
    <w:rsid w:val="004B0333"/>
    <w:rsid w:val="004B1C9F"/>
    <w:rsid w:val="004C363C"/>
    <w:rsid w:val="004C44E7"/>
    <w:rsid w:val="004D1789"/>
    <w:rsid w:val="004D1BD3"/>
    <w:rsid w:val="004E14BD"/>
    <w:rsid w:val="004E1B5B"/>
    <w:rsid w:val="004E22A2"/>
    <w:rsid w:val="004E2ADF"/>
    <w:rsid w:val="004E661A"/>
    <w:rsid w:val="004E6B23"/>
    <w:rsid w:val="004F007E"/>
    <w:rsid w:val="004F4A4B"/>
    <w:rsid w:val="00501667"/>
    <w:rsid w:val="00502289"/>
    <w:rsid w:val="00503868"/>
    <w:rsid w:val="00504E99"/>
    <w:rsid w:val="00507D80"/>
    <w:rsid w:val="00513514"/>
    <w:rsid w:val="00513AF5"/>
    <w:rsid w:val="005178D0"/>
    <w:rsid w:val="005268CF"/>
    <w:rsid w:val="0052738B"/>
    <w:rsid w:val="00527637"/>
    <w:rsid w:val="00545C5E"/>
    <w:rsid w:val="005477DC"/>
    <w:rsid w:val="00552984"/>
    <w:rsid w:val="00552C3E"/>
    <w:rsid w:val="00560D0D"/>
    <w:rsid w:val="00564A26"/>
    <w:rsid w:val="00564A34"/>
    <w:rsid w:val="0057704D"/>
    <w:rsid w:val="00577E2D"/>
    <w:rsid w:val="005843D9"/>
    <w:rsid w:val="00584D13"/>
    <w:rsid w:val="0059066E"/>
    <w:rsid w:val="005916AD"/>
    <w:rsid w:val="00594FDB"/>
    <w:rsid w:val="00595064"/>
    <w:rsid w:val="005A294D"/>
    <w:rsid w:val="005A65E6"/>
    <w:rsid w:val="005B10AF"/>
    <w:rsid w:val="005B1191"/>
    <w:rsid w:val="005B45CE"/>
    <w:rsid w:val="005C05A0"/>
    <w:rsid w:val="005C57D2"/>
    <w:rsid w:val="005C62D9"/>
    <w:rsid w:val="005C7E4B"/>
    <w:rsid w:val="005D08BF"/>
    <w:rsid w:val="005E0B65"/>
    <w:rsid w:val="005E1A65"/>
    <w:rsid w:val="005E2C84"/>
    <w:rsid w:val="005E5C30"/>
    <w:rsid w:val="005F1581"/>
    <w:rsid w:val="005F47C5"/>
    <w:rsid w:val="00603387"/>
    <w:rsid w:val="00605EA1"/>
    <w:rsid w:val="0060726A"/>
    <w:rsid w:val="00617C92"/>
    <w:rsid w:val="0062408B"/>
    <w:rsid w:val="00627BB5"/>
    <w:rsid w:val="00632E9C"/>
    <w:rsid w:val="00637370"/>
    <w:rsid w:val="00637625"/>
    <w:rsid w:val="00640D85"/>
    <w:rsid w:val="00646284"/>
    <w:rsid w:val="006669D6"/>
    <w:rsid w:val="00671DC9"/>
    <w:rsid w:val="00674468"/>
    <w:rsid w:val="006750DF"/>
    <w:rsid w:val="00675B7E"/>
    <w:rsid w:val="00676B42"/>
    <w:rsid w:val="006815D5"/>
    <w:rsid w:val="00687186"/>
    <w:rsid w:val="006A2E4C"/>
    <w:rsid w:val="006A512D"/>
    <w:rsid w:val="006B6775"/>
    <w:rsid w:val="006C11A1"/>
    <w:rsid w:val="006C54C4"/>
    <w:rsid w:val="006C6F1F"/>
    <w:rsid w:val="006F0F4A"/>
    <w:rsid w:val="007000CC"/>
    <w:rsid w:val="00700100"/>
    <w:rsid w:val="00700C3A"/>
    <w:rsid w:val="00710A65"/>
    <w:rsid w:val="00717E2F"/>
    <w:rsid w:val="00724337"/>
    <w:rsid w:val="007316F7"/>
    <w:rsid w:val="007347B7"/>
    <w:rsid w:val="00742831"/>
    <w:rsid w:val="007433E2"/>
    <w:rsid w:val="00744C87"/>
    <w:rsid w:val="00747E55"/>
    <w:rsid w:val="00752F49"/>
    <w:rsid w:val="00755DEA"/>
    <w:rsid w:val="007607A6"/>
    <w:rsid w:val="00760BB7"/>
    <w:rsid w:val="00762CC9"/>
    <w:rsid w:val="00771FA1"/>
    <w:rsid w:val="00772026"/>
    <w:rsid w:val="00777370"/>
    <w:rsid w:val="00777502"/>
    <w:rsid w:val="007848E5"/>
    <w:rsid w:val="00784A0A"/>
    <w:rsid w:val="0079401E"/>
    <w:rsid w:val="007A0A73"/>
    <w:rsid w:val="007B0C9A"/>
    <w:rsid w:val="007C372B"/>
    <w:rsid w:val="007C400B"/>
    <w:rsid w:val="007C5712"/>
    <w:rsid w:val="007D0FDE"/>
    <w:rsid w:val="007D2836"/>
    <w:rsid w:val="007D4DF0"/>
    <w:rsid w:val="007E78E4"/>
    <w:rsid w:val="007F0AE7"/>
    <w:rsid w:val="00800B35"/>
    <w:rsid w:val="00803692"/>
    <w:rsid w:val="00813EFB"/>
    <w:rsid w:val="0082444E"/>
    <w:rsid w:val="008348CF"/>
    <w:rsid w:val="00836F2F"/>
    <w:rsid w:val="00836FF6"/>
    <w:rsid w:val="00855F1D"/>
    <w:rsid w:val="00856201"/>
    <w:rsid w:val="008609D7"/>
    <w:rsid w:val="00861871"/>
    <w:rsid w:val="0086232E"/>
    <w:rsid w:val="0086470F"/>
    <w:rsid w:val="0087149A"/>
    <w:rsid w:val="00871F4D"/>
    <w:rsid w:val="008740C6"/>
    <w:rsid w:val="0087557C"/>
    <w:rsid w:val="00875EAD"/>
    <w:rsid w:val="00876A32"/>
    <w:rsid w:val="0088149C"/>
    <w:rsid w:val="00882B44"/>
    <w:rsid w:val="008871CC"/>
    <w:rsid w:val="008942EA"/>
    <w:rsid w:val="008A017B"/>
    <w:rsid w:val="008A2062"/>
    <w:rsid w:val="008A3892"/>
    <w:rsid w:val="008B7E1D"/>
    <w:rsid w:val="008C09AA"/>
    <w:rsid w:val="008C2DFD"/>
    <w:rsid w:val="008D1DE9"/>
    <w:rsid w:val="008D1F63"/>
    <w:rsid w:val="008D304B"/>
    <w:rsid w:val="008D637C"/>
    <w:rsid w:val="008E3DBA"/>
    <w:rsid w:val="008E6D9C"/>
    <w:rsid w:val="009115D9"/>
    <w:rsid w:val="009129A1"/>
    <w:rsid w:val="0092282D"/>
    <w:rsid w:val="00926679"/>
    <w:rsid w:val="00927E27"/>
    <w:rsid w:val="00930E37"/>
    <w:rsid w:val="00941F98"/>
    <w:rsid w:val="00943649"/>
    <w:rsid w:val="00943C13"/>
    <w:rsid w:val="00946D5A"/>
    <w:rsid w:val="0095037F"/>
    <w:rsid w:val="00956C0D"/>
    <w:rsid w:val="00961098"/>
    <w:rsid w:val="00964059"/>
    <w:rsid w:val="00967D71"/>
    <w:rsid w:val="00970B39"/>
    <w:rsid w:val="00985514"/>
    <w:rsid w:val="0099366E"/>
    <w:rsid w:val="0099476B"/>
    <w:rsid w:val="00996151"/>
    <w:rsid w:val="009A119A"/>
    <w:rsid w:val="009B03D0"/>
    <w:rsid w:val="009B0463"/>
    <w:rsid w:val="009C40BC"/>
    <w:rsid w:val="009C49DA"/>
    <w:rsid w:val="009D0B6C"/>
    <w:rsid w:val="009D2E76"/>
    <w:rsid w:val="009E3308"/>
    <w:rsid w:val="009E6223"/>
    <w:rsid w:val="009F5314"/>
    <w:rsid w:val="00A053CF"/>
    <w:rsid w:val="00A059CF"/>
    <w:rsid w:val="00A113D7"/>
    <w:rsid w:val="00A20CA6"/>
    <w:rsid w:val="00A428D9"/>
    <w:rsid w:val="00A45379"/>
    <w:rsid w:val="00A463FD"/>
    <w:rsid w:val="00A53239"/>
    <w:rsid w:val="00A53A25"/>
    <w:rsid w:val="00A5600E"/>
    <w:rsid w:val="00A61BA0"/>
    <w:rsid w:val="00A63074"/>
    <w:rsid w:val="00A6717F"/>
    <w:rsid w:val="00A71054"/>
    <w:rsid w:val="00A85D93"/>
    <w:rsid w:val="00A87DC1"/>
    <w:rsid w:val="00A93158"/>
    <w:rsid w:val="00A9373B"/>
    <w:rsid w:val="00A94E4E"/>
    <w:rsid w:val="00A9563B"/>
    <w:rsid w:val="00AA00B6"/>
    <w:rsid w:val="00AA0B19"/>
    <w:rsid w:val="00AA29A2"/>
    <w:rsid w:val="00AA44E5"/>
    <w:rsid w:val="00AA6BDF"/>
    <w:rsid w:val="00AB0475"/>
    <w:rsid w:val="00AB49B2"/>
    <w:rsid w:val="00AB7C91"/>
    <w:rsid w:val="00AC7C73"/>
    <w:rsid w:val="00AE2EB7"/>
    <w:rsid w:val="00AE3F07"/>
    <w:rsid w:val="00AE6176"/>
    <w:rsid w:val="00AF5B13"/>
    <w:rsid w:val="00AF6EB8"/>
    <w:rsid w:val="00B06136"/>
    <w:rsid w:val="00B13B06"/>
    <w:rsid w:val="00B15083"/>
    <w:rsid w:val="00B1701A"/>
    <w:rsid w:val="00B221E5"/>
    <w:rsid w:val="00B2404E"/>
    <w:rsid w:val="00B61880"/>
    <w:rsid w:val="00B63A69"/>
    <w:rsid w:val="00B666F0"/>
    <w:rsid w:val="00B7063A"/>
    <w:rsid w:val="00B758BC"/>
    <w:rsid w:val="00B764E2"/>
    <w:rsid w:val="00B85625"/>
    <w:rsid w:val="00B8576F"/>
    <w:rsid w:val="00B94E4B"/>
    <w:rsid w:val="00BA19EB"/>
    <w:rsid w:val="00BA5B91"/>
    <w:rsid w:val="00BA739A"/>
    <w:rsid w:val="00BB42DA"/>
    <w:rsid w:val="00BB7304"/>
    <w:rsid w:val="00BC03A2"/>
    <w:rsid w:val="00BD6F51"/>
    <w:rsid w:val="00BE2CBC"/>
    <w:rsid w:val="00BE47B7"/>
    <w:rsid w:val="00BE5B8F"/>
    <w:rsid w:val="00BF3449"/>
    <w:rsid w:val="00BF3E8B"/>
    <w:rsid w:val="00C047C4"/>
    <w:rsid w:val="00C049F4"/>
    <w:rsid w:val="00C11652"/>
    <w:rsid w:val="00C141E7"/>
    <w:rsid w:val="00C17E47"/>
    <w:rsid w:val="00C22307"/>
    <w:rsid w:val="00C2322D"/>
    <w:rsid w:val="00C30437"/>
    <w:rsid w:val="00C31601"/>
    <w:rsid w:val="00C44A2C"/>
    <w:rsid w:val="00C463FA"/>
    <w:rsid w:val="00C50489"/>
    <w:rsid w:val="00C53DF2"/>
    <w:rsid w:val="00C540FC"/>
    <w:rsid w:val="00C550FD"/>
    <w:rsid w:val="00C56177"/>
    <w:rsid w:val="00C605CD"/>
    <w:rsid w:val="00C63887"/>
    <w:rsid w:val="00C64117"/>
    <w:rsid w:val="00C70E0D"/>
    <w:rsid w:val="00C7128C"/>
    <w:rsid w:val="00C7319D"/>
    <w:rsid w:val="00C828DC"/>
    <w:rsid w:val="00C9242B"/>
    <w:rsid w:val="00C96C06"/>
    <w:rsid w:val="00C97FD7"/>
    <w:rsid w:val="00CA0F7D"/>
    <w:rsid w:val="00CA46E8"/>
    <w:rsid w:val="00CA47E9"/>
    <w:rsid w:val="00CC2A02"/>
    <w:rsid w:val="00CC38CE"/>
    <w:rsid w:val="00CC7513"/>
    <w:rsid w:val="00CD19DD"/>
    <w:rsid w:val="00CD5E41"/>
    <w:rsid w:val="00CE3200"/>
    <w:rsid w:val="00CE3BC3"/>
    <w:rsid w:val="00CE7DA4"/>
    <w:rsid w:val="00CF21F6"/>
    <w:rsid w:val="00CF3473"/>
    <w:rsid w:val="00CF59B4"/>
    <w:rsid w:val="00CF64A6"/>
    <w:rsid w:val="00CF7258"/>
    <w:rsid w:val="00D02BB4"/>
    <w:rsid w:val="00D10432"/>
    <w:rsid w:val="00D14ECE"/>
    <w:rsid w:val="00D16928"/>
    <w:rsid w:val="00D2572B"/>
    <w:rsid w:val="00D25BFC"/>
    <w:rsid w:val="00D269B6"/>
    <w:rsid w:val="00D32075"/>
    <w:rsid w:val="00D3568A"/>
    <w:rsid w:val="00D44CAE"/>
    <w:rsid w:val="00D52AFB"/>
    <w:rsid w:val="00D55681"/>
    <w:rsid w:val="00D60316"/>
    <w:rsid w:val="00D60615"/>
    <w:rsid w:val="00D63143"/>
    <w:rsid w:val="00D641C8"/>
    <w:rsid w:val="00D646DA"/>
    <w:rsid w:val="00D70849"/>
    <w:rsid w:val="00D70C04"/>
    <w:rsid w:val="00D712A7"/>
    <w:rsid w:val="00D73219"/>
    <w:rsid w:val="00D8209B"/>
    <w:rsid w:val="00D827FA"/>
    <w:rsid w:val="00D83F75"/>
    <w:rsid w:val="00D8492F"/>
    <w:rsid w:val="00D86411"/>
    <w:rsid w:val="00D875F8"/>
    <w:rsid w:val="00D87EFB"/>
    <w:rsid w:val="00D90C80"/>
    <w:rsid w:val="00D924A1"/>
    <w:rsid w:val="00D9681B"/>
    <w:rsid w:val="00D97FE9"/>
    <w:rsid w:val="00DB4EFB"/>
    <w:rsid w:val="00DB76CB"/>
    <w:rsid w:val="00DB7A73"/>
    <w:rsid w:val="00DC0F2A"/>
    <w:rsid w:val="00DC3A7C"/>
    <w:rsid w:val="00DD0E74"/>
    <w:rsid w:val="00DD712E"/>
    <w:rsid w:val="00DE21F7"/>
    <w:rsid w:val="00DE3F0A"/>
    <w:rsid w:val="00DE4B56"/>
    <w:rsid w:val="00DE507E"/>
    <w:rsid w:val="00DE5281"/>
    <w:rsid w:val="00DF2B3E"/>
    <w:rsid w:val="00DF5F73"/>
    <w:rsid w:val="00E00BF2"/>
    <w:rsid w:val="00E0203D"/>
    <w:rsid w:val="00E03703"/>
    <w:rsid w:val="00E1011B"/>
    <w:rsid w:val="00E1564E"/>
    <w:rsid w:val="00E15B36"/>
    <w:rsid w:val="00E15E73"/>
    <w:rsid w:val="00E170C6"/>
    <w:rsid w:val="00E17CE2"/>
    <w:rsid w:val="00E24D6C"/>
    <w:rsid w:val="00E277F8"/>
    <w:rsid w:val="00E27AD7"/>
    <w:rsid w:val="00E32D34"/>
    <w:rsid w:val="00E367AD"/>
    <w:rsid w:val="00E40288"/>
    <w:rsid w:val="00E435B1"/>
    <w:rsid w:val="00E50BB5"/>
    <w:rsid w:val="00E51578"/>
    <w:rsid w:val="00E52E79"/>
    <w:rsid w:val="00E536FE"/>
    <w:rsid w:val="00E60976"/>
    <w:rsid w:val="00E6384D"/>
    <w:rsid w:val="00E7457C"/>
    <w:rsid w:val="00E75F96"/>
    <w:rsid w:val="00E7758F"/>
    <w:rsid w:val="00E77D5F"/>
    <w:rsid w:val="00E8290B"/>
    <w:rsid w:val="00E911B9"/>
    <w:rsid w:val="00E92ABC"/>
    <w:rsid w:val="00EC2D9F"/>
    <w:rsid w:val="00EC30FB"/>
    <w:rsid w:val="00EC4DCA"/>
    <w:rsid w:val="00EC713E"/>
    <w:rsid w:val="00EC719F"/>
    <w:rsid w:val="00EC7D8B"/>
    <w:rsid w:val="00ED4F0F"/>
    <w:rsid w:val="00ED51A6"/>
    <w:rsid w:val="00ED70C2"/>
    <w:rsid w:val="00EF4CD5"/>
    <w:rsid w:val="00F03393"/>
    <w:rsid w:val="00F124DF"/>
    <w:rsid w:val="00F129FD"/>
    <w:rsid w:val="00F14CFC"/>
    <w:rsid w:val="00F21545"/>
    <w:rsid w:val="00F23E0F"/>
    <w:rsid w:val="00F245F2"/>
    <w:rsid w:val="00F42A36"/>
    <w:rsid w:val="00F552E3"/>
    <w:rsid w:val="00F61A13"/>
    <w:rsid w:val="00F70997"/>
    <w:rsid w:val="00F74260"/>
    <w:rsid w:val="00F9110C"/>
    <w:rsid w:val="00F919CB"/>
    <w:rsid w:val="00F94ADC"/>
    <w:rsid w:val="00F94D86"/>
    <w:rsid w:val="00FA008A"/>
    <w:rsid w:val="00FA690F"/>
    <w:rsid w:val="00FA6A20"/>
    <w:rsid w:val="00FB49D5"/>
    <w:rsid w:val="00FC3536"/>
    <w:rsid w:val="00FD6322"/>
    <w:rsid w:val="00FD6D11"/>
    <w:rsid w:val="00FE76F8"/>
    <w:rsid w:val="00FF142E"/>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E9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E9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960">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3FC9-1744-422E-A03C-855A9AD0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3956</Words>
  <Characters>2256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Valdimaras</dc:creator>
  <cp:lastModifiedBy>Agnė Matukaitienė</cp:lastModifiedBy>
  <cp:revision>7</cp:revision>
  <cp:lastPrinted>2025-05-12T09:57:00Z</cp:lastPrinted>
  <dcterms:created xsi:type="dcterms:W3CDTF">2025-05-12T08:24:00Z</dcterms:created>
  <dcterms:modified xsi:type="dcterms:W3CDTF">2025-05-12T10:38:00Z</dcterms:modified>
</cp:coreProperties>
</file>