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r>
                  <w:rPr>
                    <w:sz w:val="18"/>
                    <w:szCs w:val="18"/>
                  </w:rPr>
                  <w:t xml:space="preserve">Uždaroji akcinė bendrovė </w:t>
                </w:r>
              </w:p>
              <w:p w14:paraId="7506883A" w14:textId="77777777" w:rsidR="006345C6" w:rsidRDefault="006345C6" w:rsidP="000E4861">
                <w:pPr>
                  <w:rPr>
                    <w:sz w:val="18"/>
                    <w:szCs w:val="18"/>
                  </w:rPr>
                </w:pPr>
                <w:r>
                  <w:rPr>
                    <w:sz w:val="18"/>
                    <w:szCs w:val="18"/>
                  </w:rPr>
                  <w:t>„Sūduvos vandenys“</w:t>
                </w:r>
              </w:p>
              <w:p w14:paraId="16A4FD54" w14:textId="77777777" w:rsidR="006345C6" w:rsidRDefault="006345C6" w:rsidP="000E4861">
                <w:pPr>
                  <w:rPr>
                    <w:sz w:val="18"/>
                    <w:szCs w:val="18"/>
                  </w:rPr>
                </w:pPr>
                <w:r>
                  <w:rPr>
                    <w:sz w:val="18"/>
                    <w:szCs w:val="18"/>
                  </w:rPr>
                  <w:t>V</w:t>
                </w:r>
                <w:r w:rsidRPr="000D164F">
                  <w:rPr>
                    <w:sz w:val="18"/>
                    <w:szCs w:val="18"/>
                  </w:rPr>
                  <w:t xml:space="preserve">asaros g. 7, </w:t>
                </w:r>
                <w:r>
                  <w:rPr>
                    <w:sz w:val="18"/>
                    <w:szCs w:val="18"/>
                  </w:rPr>
                  <w:t>68114 Marijampolė</w:t>
                </w:r>
              </w:p>
              <w:p w14:paraId="5297347D" w14:textId="77777777" w:rsidR="006345C6" w:rsidRDefault="006345C6" w:rsidP="000E4861">
                <w:pPr>
                  <w:rPr>
                    <w:sz w:val="18"/>
                    <w:szCs w:val="18"/>
                  </w:rPr>
                </w:pPr>
                <w:r>
                  <w:rPr>
                    <w:sz w:val="18"/>
                    <w:szCs w:val="18"/>
                  </w:rPr>
                  <w:t>Įmonės kodas 151104226</w:t>
                </w:r>
              </w:p>
              <w:p w14:paraId="0DC5895D" w14:textId="77777777" w:rsidR="006345C6" w:rsidRPr="00785AA6" w:rsidRDefault="006345C6" w:rsidP="000E4861">
                <w:pPr>
                  <w:rPr>
                    <w:sz w:val="18"/>
                    <w:szCs w:val="18"/>
                  </w:rPr>
                </w:pPr>
                <w:r w:rsidRPr="000D164F">
                  <w:rPr>
                    <w:sz w:val="18"/>
                    <w:szCs w:val="18"/>
                  </w:rPr>
                  <w:t>PVM mokėtojo kodas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paštas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r w:rsidRPr="000D164F">
                  <w:rPr>
                    <w:sz w:val="18"/>
                    <w:szCs w:val="18"/>
                  </w:rPr>
                  <w:t xml:space="preserve">Duomenys kaupiami </w:t>
                </w:r>
              </w:p>
              <w:p w14:paraId="199A6624" w14:textId="77777777" w:rsidR="006345C6" w:rsidRPr="00F23E41" w:rsidRDefault="006345C6" w:rsidP="000E486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p>
        <w:p w14:paraId="294FCB28" w14:textId="0CBAD58D" w:rsidR="001A1D2A" w:rsidRPr="004B0DA4" w:rsidRDefault="001A1D2A" w:rsidP="001A1D2A">
          <w:pPr>
            <w:spacing w:after="120" w:line="20" w:lineRule="atLeast"/>
            <w:contextualSpacing/>
            <w:jc w:val="center"/>
            <w:rPr>
              <w:rFonts w:ascii="Times New Roman" w:hAnsi="Times New Roman" w:cs="Times New Roman"/>
              <w:b/>
              <w:bCs/>
              <w:caps/>
              <w:sz w:val="24"/>
              <w:szCs w:val="24"/>
              <w:lang w:val="lt-LT"/>
            </w:rPr>
          </w:pPr>
          <w:r w:rsidRPr="00574061">
            <w:rPr>
              <w:rFonts w:ascii="Times New Roman" w:hAnsi="Times New Roman" w:cs="Times New Roman"/>
              <w:b/>
              <w:bCs/>
              <w:caps/>
              <w:sz w:val="24"/>
              <w:szCs w:val="24"/>
              <w:lang w:val="lt-LT"/>
            </w:rPr>
            <w:t xml:space="preserve">„Nuotekų valyklos, </w:t>
          </w:r>
          <w:r w:rsidR="00DB60F3" w:rsidRPr="00DB60F3">
            <w:rPr>
              <w:rFonts w:ascii="Times New Roman" w:hAnsi="Times New Roman" w:cs="Times New Roman"/>
              <w:b/>
              <w:bCs/>
              <w:caps/>
              <w:sz w:val="24"/>
              <w:szCs w:val="24"/>
              <w:lang w:val="lt-LT"/>
            </w:rPr>
            <w:t>VALAVIČIŲ K. MARIJAMPOLĖS SAV.</w:t>
          </w:r>
          <w:r w:rsidRPr="00574061">
            <w:rPr>
              <w:rFonts w:ascii="Times New Roman" w:hAnsi="Times New Roman" w:cs="Times New Roman"/>
              <w:b/>
              <w:bCs/>
              <w:caps/>
              <w:sz w:val="24"/>
              <w:szCs w:val="24"/>
              <w:lang w:val="lt-LT"/>
            </w:rPr>
            <w:t>, rekonstravimo darbai“</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00117404">
              <w:rPr>
                <w:rStyle w:val="Hyperlink"/>
                <w:rFonts w:cstheme="minorHAnsi"/>
                <w:b w:val="0"/>
                <w:bCs w:val="0"/>
              </w:rPr>
              <w:t>Perkančiojo subjekto</w:t>
            </w:r>
            <w:r w:rsidRPr="00B47B9A">
              <w:rPr>
                <w:rStyle w:val="Hyperlink"/>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 xml:space="preserve">Teisė ginčyti </w:t>
            </w:r>
            <w:r w:rsidR="00117404">
              <w:rPr>
                <w:rStyle w:val="Hyperlink"/>
                <w:rFonts w:cstheme="minorHAnsi"/>
                <w:b w:val="0"/>
                <w:bCs w:val="0"/>
              </w:rPr>
              <w:t>Perkančiojo subjekto</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5CFE" w14:textId="77777777" w:rsidR="007E3CD6" w:rsidRDefault="007E3CD6" w:rsidP="00184B8C">
      <w:pPr>
        <w:spacing w:after="0" w:line="240" w:lineRule="auto"/>
      </w:pPr>
      <w:r>
        <w:separator/>
      </w:r>
    </w:p>
  </w:endnote>
  <w:endnote w:type="continuationSeparator" w:id="0">
    <w:p w14:paraId="33128A4B" w14:textId="77777777" w:rsidR="007E3CD6" w:rsidRDefault="007E3CD6" w:rsidP="00184B8C">
      <w:pPr>
        <w:spacing w:after="0" w:line="240" w:lineRule="auto"/>
      </w:pPr>
      <w:r>
        <w:continuationSeparator/>
      </w:r>
    </w:p>
  </w:endnote>
  <w:endnote w:type="continuationNotice" w:id="1">
    <w:p w14:paraId="44FB7A8E" w14:textId="77777777" w:rsidR="007E3CD6" w:rsidRDefault="007E3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7144F61"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345C6">
          <w:rPr>
            <w:noProof/>
            <w:lang w:val="lt-LT"/>
          </w:rPr>
          <w:t>16</w:t>
        </w:r>
        <w:r w:rsidRPr="002218AC">
          <w:rPr>
            <w:noProof/>
            <w:lang w:val="lt-LT"/>
          </w:rPr>
          <w:fldChar w:fldCharType="end"/>
        </w:r>
      </w:p>
    </w:sdtContent>
  </w:sdt>
  <w:p w14:paraId="42D67ABC" w14:textId="023EDB0D"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03</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6198" w14:textId="77777777" w:rsidR="007E3CD6" w:rsidRDefault="007E3CD6" w:rsidP="00184B8C">
      <w:pPr>
        <w:spacing w:after="0" w:line="240" w:lineRule="auto"/>
      </w:pPr>
      <w:r>
        <w:separator/>
      </w:r>
    </w:p>
  </w:footnote>
  <w:footnote w:type="continuationSeparator" w:id="0">
    <w:p w14:paraId="738FCCCA" w14:textId="77777777" w:rsidR="007E3CD6" w:rsidRDefault="007E3CD6" w:rsidP="00184B8C">
      <w:pPr>
        <w:spacing w:after="0" w:line="240" w:lineRule="auto"/>
      </w:pPr>
      <w:r>
        <w:continuationSeparator/>
      </w:r>
    </w:p>
  </w:footnote>
  <w:footnote w:type="continuationNotice" w:id="1">
    <w:p w14:paraId="7D215CD2" w14:textId="77777777" w:rsidR="007E3CD6" w:rsidRDefault="007E3CD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55404851">
    <w:abstractNumId w:val="65"/>
  </w:num>
  <w:num w:numId="2" w16cid:durableId="850333419">
    <w:abstractNumId w:val="27"/>
  </w:num>
  <w:num w:numId="3" w16cid:durableId="231084423">
    <w:abstractNumId w:val="19"/>
  </w:num>
  <w:num w:numId="4" w16cid:durableId="172885336">
    <w:abstractNumId w:val="40"/>
  </w:num>
  <w:num w:numId="5" w16cid:durableId="1638099445">
    <w:abstractNumId w:val="14"/>
  </w:num>
  <w:num w:numId="6" w16cid:durableId="312956605">
    <w:abstractNumId w:val="4"/>
  </w:num>
  <w:num w:numId="7" w16cid:durableId="1492405667">
    <w:abstractNumId w:val="44"/>
  </w:num>
  <w:num w:numId="8" w16cid:durableId="1449861072">
    <w:abstractNumId w:val="33"/>
  </w:num>
  <w:num w:numId="9" w16cid:durableId="1708019910">
    <w:abstractNumId w:val="31"/>
  </w:num>
  <w:num w:numId="10" w16cid:durableId="1224218497">
    <w:abstractNumId w:val="38"/>
  </w:num>
  <w:num w:numId="11" w16cid:durableId="1407730261">
    <w:abstractNumId w:val="15"/>
  </w:num>
  <w:num w:numId="12" w16cid:durableId="1665086476">
    <w:abstractNumId w:val="56"/>
  </w:num>
  <w:num w:numId="13" w16cid:durableId="363016767">
    <w:abstractNumId w:val="28"/>
  </w:num>
  <w:num w:numId="14" w16cid:durableId="1669214919">
    <w:abstractNumId w:val="1"/>
  </w:num>
  <w:num w:numId="15" w16cid:durableId="325715176">
    <w:abstractNumId w:val="7"/>
  </w:num>
  <w:num w:numId="16" w16cid:durableId="1231621427">
    <w:abstractNumId w:val="46"/>
  </w:num>
  <w:num w:numId="17" w16cid:durableId="1679386786">
    <w:abstractNumId w:val="61"/>
  </w:num>
  <w:num w:numId="18" w16cid:durableId="1416635444">
    <w:abstractNumId w:val="54"/>
  </w:num>
  <w:num w:numId="19" w16cid:durableId="1669017405">
    <w:abstractNumId w:val="6"/>
  </w:num>
  <w:num w:numId="20" w16cid:durableId="2088571998">
    <w:abstractNumId w:val="50"/>
  </w:num>
  <w:num w:numId="21" w16cid:durableId="1451706309">
    <w:abstractNumId w:val="43"/>
  </w:num>
  <w:num w:numId="22" w16cid:durableId="1617983355">
    <w:abstractNumId w:val="21"/>
  </w:num>
  <w:num w:numId="23" w16cid:durableId="1565212831">
    <w:abstractNumId w:val="18"/>
  </w:num>
  <w:num w:numId="24" w16cid:durableId="2002082693">
    <w:abstractNumId w:val="45"/>
  </w:num>
  <w:num w:numId="25" w16cid:durableId="86465278">
    <w:abstractNumId w:val="49"/>
  </w:num>
  <w:num w:numId="26" w16cid:durableId="393628519">
    <w:abstractNumId w:val="68"/>
  </w:num>
  <w:num w:numId="27" w16cid:durableId="375855577">
    <w:abstractNumId w:val="51"/>
  </w:num>
  <w:num w:numId="28" w16cid:durableId="981272666">
    <w:abstractNumId w:val="58"/>
  </w:num>
  <w:num w:numId="29" w16cid:durableId="209079507">
    <w:abstractNumId w:val="13"/>
  </w:num>
  <w:num w:numId="30" w16cid:durableId="693187543">
    <w:abstractNumId w:val="70"/>
  </w:num>
  <w:num w:numId="31" w16cid:durableId="1989820886">
    <w:abstractNumId w:val="20"/>
  </w:num>
  <w:num w:numId="32" w16cid:durableId="1292444571">
    <w:abstractNumId w:val="60"/>
  </w:num>
  <w:num w:numId="33" w16cid:durableId="1107852325">
    <w:abstractNumId w:val="36"/>
  </w:num>
  <w:num w:numId="34" w16cid:durableId="23559972">
    <w:abstractNumId w:val="67"/>
  </w:num>
  <w:num w:numId="35" w16cid:durableId="1389065237">
    <w:abstractNumId w:val="17"/>
  </w:num>
  <w:num w:numId="36" w16cid:durableId="846871899">
    <w:abstractNumId w:val="24"/>
  </w:num>
  <w:num w:numId="37" w16cid:durableId="2084334952">
    <w:abstractNumId w:val="25"/>
  </w:num>
  <w:num w:numId="38" w16cid:durableId="1909607071">
    <w:abstractNumId w:val="2"/>
  </w:num>
  <w:num w:numId="39" w16cid:durableId="239675634">
    <w:abstractNumId w:val="5"/>
  </w:num>
  <w:num w:numId="40" w16cid:durableId="977614097">
    <w:abstractNumId w:val="8"/>
  </w:num>
  <w:num w:numId="41" w16cid:durableId="733312150">
    <w:abstractNumId w:val="55"/>
  </w:num>
  <w:num w:numId="42" w16cid:durableId="1047951610">
    <w:abstractNumId w:val="32"/>
  </w:num>
  <w:num w:numId="43" w16cid:durableId="237634932">
    <w:abstractNumId w:val="9"/>
  </w:num>
  <w:num w:numId="44" w16cid:durableId="1755662844">
    <w:abstractNumId w:val="52"/>
  </w:num>
  <w:num w:numId="45" w16cid:durableId="1132096921">
    <w:abstractNumId w:val="0"/>
  </w:num>
  <w:num w:numId="46" w16cid:durableId="1017926082">
    <w:abstractNumId w:val="29"/>
  </w:num>
  <w:num w:numId="47" w16cid:durableId="729883363">
    <w:abstractNumId w:val="63"/>
  </w:num>
  <w:num w:numId="48" w16cid:durableId="915437653">
    <w:abstractNumId w:val="16"/>
  </w:num>
  <w:num w:numId="49" w16cid:durableId="1485926409">
    <w:abstractNumId w:val="10"/>
  </w:num>
  <w:num w:numId="50" w16cid:durableId="230433434">
    <w:abstractNumId w:val="66"/>
  </w:num>
  <w:num w:numId="51" w16cid:durableId="688992956">
    <w:abstractNumId w:val="39"/>
  </w:num>
  <w:num w:numId="52" w16cid:durableId="2048948160">
    <w:abstractNumId w:val="69"/>
  </w:num>
  <w:num w:numId="53" w16cid:durableId="770861024">
    <w:abstractNumId w:val="3"/>
  </w:num>
  <w:num w:numId="54" w16cid:durableId="414789240">
    <w:abstractNumId w:val="62"/>
  </w:num>
  <w:num w:numId="55" w16cid:durableId="861670165">
    <w:abstractNumId w:val="22"/>
  </w:num>
  <w:num w:numId="56" w16cid:durableId="409696443">
    <w:abstractNumId w:val="57"/>
  </w:num>
  <w:num w:numId="57" w16cid:durableId="1411662040">
    <w:abstractNumId w:val="72"/>
  </w:num>
  <w:num w:numId="58" w16cid:durableId="1623343383">
    <w:abstractNumId w:val="53"/>
  </w:num>
  <w:num w:numId="59" w16cid:durableId="515846157">
    <w:abstractNumId w:val="59"/>
  </w:num>
  <w:num w:numId="60" w16cid:durableId="2032796589">
    <w:abstractNumId w:val="11"/>
  </w:num>
  <w:num w:numId="61" w16cid:durableId="1486048424">
    <w:abstractNumId w:val="42"/>
  </w:num>
  <w:num w:numId="62" w16cid:durableId="861087871">
    <w:abstractNumId w:val="71"/>
  </w:num>
  <w:num w:numId="63" w16cid:durableId="1582444375">
    <w:abstractNumId w:val="41"/>
  </w:num>
  <w:num w:numId="64" w16cid:durableId="1065032182">
    <w:abstractNumId w:val="12"/>
  </w:num>
  <w:num w:numId="65" w16cid:durableId="1035082491">
    <w:abstractNumId w:val="30"/>
  </w:num>
  <w:num w:numId="66" w16cid:durableId="41754939">
    <w:abstractNumId w:val="34"/>
  </w:num>
  <w:num w:numId="67" w16cid:durableId="798189051">
    <w:abstractNumId w:val="23"/>
  </w:num>
  <w:num w:numId="68" w16cid:durableId="2097087965">
    <w:abstractNumId w:val="48"/>
  </w:num>
  <w:num w:numId="69" w16cid:durableId="1407724180">
    <w:abstractNumId w:val="26"/>
  </w:num>
  <w:num w:numId="70" w16cid:durableId="1231958843">
    <w:abstractNumId w:val="35"/>
  </w:num>
  <w:num w:numId="71" w16cid:durableId="1173453146">
    <w:abstractNumId w:val="37"/>
  </w:num>
  <w:num w:numId="72" w16cid:durableId="1341935425">
    <w:abstractNumId w:val="47"/>
  </w:num>
  <w:num w:numId="73" w16cid:durableId="37397061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0A1"/>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CFB"/>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CD6"/>
    <w:rsid w:val="007E4969"/>
    <w:rsid w:val="007E4D59"/>
    <w:rsid w:val="007E6243"/>
    <w:rsid w:val="007E69DB"/>
    <w:rsid w:val="007F0203"/>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40608</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SIKC kompiuteris</cp:lastModifiedBy>
  <cp:revision>6</cp:revision>
  <dcterms:created xsi:type="dcterms:W3CDTF">2025-02-05T18:08:00Z</dcterms:created>
  <dcterms:modified xsi:type="dcterms:W3CDTF">2025-04-02T05:43:00Z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