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p w14:paraId="3A54C753" w14:textId="02BB64F9" w:rsidR="00CF7CE3" w:rsidRDefault="00CF7CE3" w:rsidP="00AE5856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CF7CE3">
        <w:rPr>
          <w:rFonts w:eastAsiaTheme="minorHAnsi"/>
          <w:b/>
          <w:bCs/>
          <w:sz w:val="22"/>
          <w:szCs w:val="22"/>
          <w:lang w:eastAsia="en-US"/>
        </w:rPr>
        <w:t>(PU-13122/24) [ITP25] Mobilūs kompresoriai</w:t>
      </w:r>
    </w:p>
    <w:p w14:paraId="127131E7" w14:textId="77777777" w:rsidR="00CF7CE3" w:rsidRPr="000B0349" w:rsidRDefault="00CF7CE3" w:rsidP="00AE5856">
      <w:pPr>
        <w:jc w:val="center"/>
        <w:rPr>
          <w:sz w:val="22"/>
          <w:szCs w:val="22"/>
          <w:u w:val="single"/>
        </w:rPr>
      </w:pPr>
    </w:p>
    <w:p w14:paraId="12DFD13A" w14:textId="36D574DF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AC7" w14:textId="77777777" w:rsidR="00A80AD4" w:rsidRPr="00CF7CE3" w:rsidRDefault="00A80AD4" w:rsidP="00CF7C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0AD4" w:rsidRPr="000B0349" w14:paraId="09AB0588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FB2F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8697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AB0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F061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1BD3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E7E7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F42B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704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4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B3E" w14:textId="77777777" w:rsidR="00A80AD4" w:rsidRPr="000B0349" w:rsidRDefault="00A80AD4" w:rsidP="00CF7CE3">
            <w:pPr>
              <w:jc w:val="center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CF7C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D94" w14:textId="77777777" w:rsidR="00F24EB3" w:rsidRPr="000B0349" w:rsidRDefault="00F24EB3" w:rsidP="00CF7CE3">
            <w:pPr>
              <w:jc w:val="center"/>
              <w:rPr>
                <w:sz w:val="22"/>
                <w:szCs w:val="22"/>
              </w:rPr>
            </w:pPr>
          </w:p>
        </w:tc>
      </w:tr>
      <w:bookmarkEnd w:id="4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5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5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lastRenderedPageBreak/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</w:t>
            </w:r>
            <w:proofErr w:type="spellEnd"/>
            <w:r w:rsidRPr="00C24BA9">
              <w:rPr>
                <w:sz w:val="22"/>
                <w:szCs w:val="22"/>
              </w:rPr>
              <w:t xml:space="preserve">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</w:t>
            </w:r>
            <w:proofErr w:type="spellEnd"/>
            <w:r w:rsidRPr="00C24BA9">
              <w:rPr>
                <w:sz w:val="22"/>
                <w:szCs w:val="22"/>
              </w:rPr>
              <w:t xml:space="preserve">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proofErr w:type="spellStart"/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  <w:proofErr w:type="spellEnd"/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proofErr w:type="spellStart"/>
      <w:r w:rsidRPr="00265992">
        <w:rPr>
          <w:b/>
          <w:i/>
          <w:iCs/>
          <w:sz w:val="18"/>
          <w:szCs w:val="18"/>
        </w:rPr>
        <w:t>Kvazisubtiekėjai</w:t>
      </w:r>
      <w:proofErr w:type="spellEnd"/>
      <w:r w:rsidRPr="00265992">
        <w:rPr>
          <w:b/>
          <w:i/>
          <w:iCs/>
          <w:sz w:val="18"/>
          <w:szCs w:val="18"/>
        </w:rPr>
        <w:t xml:space="preserve">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3061D2AE" w14:textId="77777777" w:rsidR="00083575" w:rsidRPr="000B0349" w:rsidRDefault="00083575" w:rsidP="00AE5856">
      <w:pPr>
        <w:jc w:val="both"/>
        <w:rPr>
          <w:sz w:val="22"/>
          <w:szCs w:val="22"/>
        </w:rPr>
      </w:pPr>
    </w:p>
    <w:p w14:paraId="29FE2D5C" w14:textId="5E1CCADD" w:rsidR="003E5E4F" w:rsidRPr="003E7786" w:rsidRDefault="003E5E4F" w:rsidP="003E5E4F">
      <w:pPr>
        <w:jc w:val="center"/>
        <w:rPr>
          <w:b/>
          <w:sz w:val="22"/>
          <w:szCs w:val="22"/>
        </w:rPr>
      </w:pPr>
      <w:bookmarkStart w:id="6" w:name="_Hlk8377959"/>
      <w:bookmarkStart w:id="7" w:name="_Hlk96519690"/>
      <w:r w:rsidRPr="003E7786">
        <w:rPr>
          <w:b/>
          <w:sz w:val="22"/>
          <w:szCs w:val="22"/>
        </w:rPr>
        <w:t xml:space="preserve">3. PASIŪLYMO KAINA </w:t>
      </w:r>
    </w:p>
    <w:p w14:paraId="119F6DD5" w14:textId="2C454D49" w:rsidR="00B43797" w:rsidRPr="003E7786" w:rsidRDefault="00B43797" w:rsidP="008B5102">
      <w:pPr>
        <w:jc w:val="both"/>
        <w:rPr>
          <w:b/>
          <w:sz w:val="22"/>
          <w:szCs w:val="22"/>
        </w:rPr>
      </w:pPr>
    </w:p>
    <w:bookmarkEnd w:id="6"/>
    <w:p w14:paraId="226F8DDA" w14:textId="77777777" w:rsidR="003E7786" w:rsidRPr="003E7786" w:rsidRDefault="003E7786" w:rsidP="003E7786">
      <w:pPr>
        <w:jc w:val="both"/>
      </w:pPr>
      <w:r w:rsidRPr="003E7786">
        <w:t xml:space="preserve">3.1. Pasiūlymo kaina nurodoma eurais užpildant pateiktą 1 </w:t>
      </w:r>
      <w:hyperlink r:id="rId8" w:history="1">
        <w:r w:rsidRPr="003E7786">
          <w:rPr>
            <w:rStyle w:val="Hipersaitas"/>
          </w:rPr>
          <w:t>lentel</w:t>
        </w:r>
      </w:hyperlink>
      <w:r w:rsidRPr="003E7786">
        <w:rPr>
          <w:rStyle w:val="Hipersaitas"/>
        </w:rPr>
        <w:t xml:space="preserve">ę. </w:t>
      </w:r>
      <w:r w:rsidRPr="003E7786">
        <w:t>T</w:t>
      </w:r>
      <w:r w:rsidRPr="003E7786">
        <w:rPr>
          <w:rStyle w:val="pildymui"/>
          <w:iCs/>
        </w:rPr>
        <w:t xml:space="preserve">iekėjas turi pateikti pasiūlymą </w:t>
      </w:r>
      <w:r w:rsidRPr="003E7786">
        <w:t>visai lentelėje nurodytai apimčiai, nestambinant jos plačiau ar neskaidant jos smulkiau:</w:t>
      </w:r>
    </w:p>
    <w:p w14:paraId="2CA1AEE6" w14:textId="77777777" w:rsidR="003E7786" w:rsidRPr="003E7786" w:rsidRDefault="003E7786" w:rsidP="003E7786">
      <w:pPr>
        <w:jc w:val="both"/>
      </w:pPr>
    </w:p>
    <w:p w14:paraId="51BF8B10" w14:textId="77777777" w:rsidR="003E7786" w:rsidRPr="003E7786" w:rsidRDefault="003E7786" w:rsidP="003E7786">
      <w:pPr>
        <w:jc w:val="right"/>
      </w:pPr>
      <w:r w:rsidRPr="003E7786">
        <w:t>1 lentelė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4"/>
        <w:gridCol w:w="2396"/>
        <w:gridCol w:w="2695"/>
        <w:gridCol w:w="1277"/>
        <w:gridCol w:w="1135"/>
        <w:gridCol w:w="1763"/>
      </w:tblGrid>
      <w:tr w:rsidR="00BB187C" w:rsidRPr="00455E99" w14:paraId="68A11F09" w14:textId="77777777" w:rsidTr="00BB187C">
        <w:trPr>
          <w:trHeight w:hRule="exact" w:val="135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D907" w14:textId="77777777" w:rsidR="00BB187C" w:rsidRPr="00455E99" w:rsidRDefault="00BB187C" w:rsidP="003E7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B0D2" w14:textId="77777777" w:rsidR="00BB187C" w:rsidRPr="00455E99" w:rsidRDefault="00BB187C" w:rsidP="003E7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389" w:type="pct"/>
            <w:shd w:val="clear" w:color="auto" w:fill="auto"/>
            <w:vAlign w:val="center"/>
            <w:hideMark/>
          </w:tcPr>
          <w:p w14:paraId="068C2283" w14:textId="77777777" w:rsidR="00BB187C" w:rsidRPr="00455E99" w:rsidRDefault="00BB187C" w:rsidP="003E7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55E99">
              <w:rPr>
                <w:b/>
                <w:sz w:val="22"/>
                <w:szCs w:val="22"/>
              </w:rPr>
              <w:t>Siūlomų prekių gamintojo pavadinimas, prekės pavadinimas/kodas, prekės kilmės (pagaminimo) šalis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B43C" w14:textId="77777777" w:rsidR="00BB187C" w:rsidRPr="00455E99" w:rsidRDefault="00BB187C" w:rsidP="003E7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>Mato vienetas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47ED" w14:textId="77777777" w:rsidR="00BB187C" w:rsidRPr="00455E99" w:rsidRDefault="00BB187C" w:rsidP="003E7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DB45" w14:textId="77777777" w:rsidR="00BB187C" w:rsidRDefault="00BB187C" w:rsidP="003E7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 xml:space="preserve">Kaina 1 vnt. </w:t>
            </w:r>
          </w:p>
          <w:p w14:paraId="66EE8CEC" w14:textId="25752ABA" w:rsidR="00BB187C" w:rsidRPr="00455E99" w:rsidRDefault="00BB187C" w:rsidP="003E7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>EUR  be PVM</w:t>
            </w:r>
          </w:p>
        </w:tc>
      </w:tr>
      <w:tr w:rsidR="00BB187C" w:rsidRPr="00455E99" w14:paraId="4E8232AF" w14:textId="77777777" w:rsidTr="00BB187C">
        <w:trPr>
          <w:trHeight w:val="69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08308C4B" w14:textId="77777777" w:rsidR="00BB187C" w:rsidRPr="00455E99" w:rsidRDefault="00BB187C" w:rsidP="003E7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E99">
              <w:rPr>
                <w:sz w:val="22"/>
                <w:szCs w:val="22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BB90" w14:textId="7F9C4FEA" w:rsidR="00BB187C" w:rsidRPr="00455E99" w:rsidRDefault="00BB187C" w:rsidP="003E7786">
            <w:pPr>
              <w:pStyle w:val="Normalbepastumimo"/>
              <w:spacing w:line="240" w:lineRule="auto"/>
              <w:jc w:val="center"/>
              <w:rPr>
                <w:sz w:val="22"/>
              </w:rPr>
            </w:pPr>
            <w:r w:rsidRPr="00455E99">
              <w:rPr>
                <w:sz w:val="22"/>
              </w:rPr>
              <w:t>Mobilus kompresorius</w:t>
            </w:r>
          </w:p>
        </w:tc>
        <w:tc>
          <w:tcPr>
            <w:tcW w:w="1389" w:type="pct"/>
            <w:vAlign w:val="center"/>
          </w:tcPr>
          <w:p w14:paraId="3762647F" w14:textId="77777777" w:rsidR="00BB187C" w:rsidRPr="00455E99" w:rsidRDefault="00BB187C" w:rsidP="003E7786">
            <w:pPr>
              <w:pStyle w:val="Antrats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262A" w14:textId="5117030E" w:rsidR="00BB187C" w:rsidRPr="00455E99" w:rsidRDefault="00BB187C" w:rsidP="003E7786">
            <w:pPr>
              <w:pStyle w:val="Antrats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455E99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04C7" w14:textId="7383746A" w:rsidR="00BB187C" w:rsidRPr="00455E99" w:rsidRDefault="00BB187C" w:rsidP="003E7786">
            <w:pPr>
              <w:jc w:val="center"/>
              <w:rPr>
                <w:sz w:val="22"/>
                <w:szCs w:val="22"/>
              </w:rPr>
            </w:pPr>
            <w:r w:rsidRPr="00455E99">
              <w:rPr>
                <w:sz w:val="22"/>
                <w:szCs w:val="22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ED9" w14:textId="77777777" w:rsidR="00BB187C" w:rsidRPr="00455E99" w:rsidRDefault="00BB187C" w:rsidP="003E7786">
            <w:pPr>
              <w:jc w:val="center"/>
              <w:rPr>
                <w:sz w:val="22"/>
                <w:szCs w:val="22"/>
              </w:rPr>
            </w:pPr>
          </w:p>
        </w:tc>
      </w:tr>
      <w:tr w:rsidR="00BB187C" w:rsidRPr="00455E99" w14:paraId="6281CB81" w14:textId="77777777" w:rsidTr="00BB187C">
        <w:trPr>
          <w:trHeight w:val="69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82FCE3" w14:textId="0C465F7B" w:rsidR="00BB187C" w:rsidRPr="00455E99" w:rsidRDefault="00BB187C" w:rsidP="003E7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8A27" w14:textId="48AD02D0" w:rsidR="00BB187C" w:rsidRPr="00455E99" w:rsidRDefault="00BB187C" w:rsidP="003E7786">
            <w:pPr>
              <w:pStyle w:val="Normalbepastumimo"/>
              <w:spacing w:line="240" w:lineRule="auto"/>
              <w:jc w:val="center"/>
              <w:rPr>
                <w:sz w:val="22"/>
              </w:rPr>
            </w:pPr>
            <w:r w:rsidRPr="00455E99">
              <w:rPr>
                <w:sz w:val="22"/>
              </w:rPr>
              <w:t>Mobilus kompresorius</w:t>
            </w:r>
          </w:p>
        </w:tc>
        <w:tc>
          <w:tcPr>
            <w:tcW w:w="1389" w:type="pct"/>
            <w:vAlign w:val="center"/>
          </w:tcPr>
          <w:p w14:paraId="3BBCAD0B" w14:textId="77777777" w:rsidR="00BB187C" w:rsidRPr="00455E99" w:rsidRDefault="00BB187C" w:rsidP="003E7786">
            <w:pPr>
              <w:pStyle w:val="Antrats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65A6" w14:textId="6B9650A8" w:rsidR="00BB187C" w:rsidRPr="00455E99" w:rsidRDefault="00BB187C" w:rsidP="003E7786">
            <w:pPr>
              <w:pStyle w:val="Antrats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455E99">
              <w:rPr>
                <w:sz w:val="22"/>
                <w:szCs w:val="22"/>
                <w:lang w:eastAsia="en-US"/>
              </w:rPr>
              <w:t>vnt.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654C" w14:textId="00A13D8A" w:rsidR="00BB187C" w:rsidRPr="00455E99" w:rsidRDefault="00BB187C" w:rsidP="003E7786">
            <w:pPr>
              <w:jc w:val="center"/>
              <w:rPr>
                <w:sz w:val="22"/>
                <w:szCs w:val="22"/>
              </w:rPr>
            </w:pPr>
            <w:r w:rsidRPr="00455E99">
              <w:rPr>
                <w:sz w:val="22"/>
                <w:szCs w:val="22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BA75" w14:textId="77777777" w:rsidR="00BB187C" w:rsidRPr="00455E99" w:rsidRDefault="00BB187C" w:rsidP="003E7786">
            <w:pPr>
              <w:jc w:val="center"/>
              <w:rPr>
                <w:sz w:val="22"/>
                <w:szCs w:val="22"/>
              </w:rPr>
            </w:pPr>
          </w:p>
        </w:tc>
      </w:tr>
      <w:tr w:rsidR="00455E99" w:rsidRPr="00455E99" w14:paraId="3A7D3133" w14:textId="77777777" w:rsidTr="00BB187C">
        <w:trPr>
          <w:trHeight w:val="279"/>
        </w:trPr>
        <w:tc>
          <w:tcPr>
            <w:tcW w:w="4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598E2B" w14:textId="117E42F2" w:rsidR="00455E99" w:rsidRPr="00455E99" w:rsidRDefault="00455E99" w:rsidP="00455E99">
            <w:pPr>
              <w:jc w:val="right"/>
              <w:rPr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 xml:space="preserve">                                                        BENDRA PASIŪLYMO KAINA EUR </w:t>
            </w:r>
            <w:r>
              <w:rPr>
                <w:b/>
                <w:bCs/>
                <w:sz w:val="22"/>
                <w:szCs w:val="22"/>
              </w:rPr>
              <w:t>BE</w:t>
            </w:r>
            <w:r w:rsidRPr="00455E99">
              <w:rPr>
                <w:b/>
                <w:bCs/>
                <w:sz w:val="22"/>
                <w:szCs w:val="22"/>
              </w:rPr>
              <w:t xml:space="preserve"> PVM: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E8A8" w14:textId="77777777" w:rsidR="00455E99" w:rsidRPr="00455E99" w:rsidRDefault="00455E99" w:rsidP="003E778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7786" w:rsidRPr="00455E99" w14:paraId="387CD69A" w14:textId="77777777" w:rsidTr="00BB187C">
        <w:tc>
          <w:tcPr>
            <w:tcW w:w="4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29C91114" w14:textId="77777777" w:rsidR="003E7786" w:rsidRPr="00455E99" w:rsidRDefault="003E7786" w:rsidP="003E7786">
            <w:pPr>
              <w:jc w:val="right"/>
              <w:rPr>
                <w:b/>
                <w:bCs/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>PVM*: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FAA" w14:textId="77777777" w:rsidR="003E7786" w:rsidRPr="00455E99" w:rsidRDefault="003E7786" w:rsidP="00FD6F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7786" w:rsidRPr="00455E99" w14:paraId="7D16CE01" w14:textId="77777777" w:rsidTr="00BB187C">
        <w:tc>
          <w:tcPr>
            <w:tcW w:w="40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41B47A" w14:textId="1E3133E7" w:rsidR="003E7786" w:rsidRPr="00455E99" w:rsidRDefault="003E7786" w:rsidP="003E7786">
            <w:pPr>
              <w:jc w:val="right"/>
              <w:rPr>
                <w:b/>
                <w:bCs/>
                <w:sz w:val="22"/>
                <w:szCs w:val="22"/>
              </w:rPr>
            </w:pPr>
            <w:r w:rsidRPr="00455E99">
              <w:rPr>
                <w:b/>
                <w:bCs/>
                <w:sz w:val="22"/>
                <w:szCs w:val="22"/>
              </w:rPr>
              <w:t xml:space="preserve">                                                        BENDRA PASIŪLYMO KAINA EUR SU PVM: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0B0" w14:textId="77777777" w:rsidR="003E7786" w:rsidRPr="00455E99" w:rsidRDefault="003E7786" w:rsidP="00FD6FD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EE9F61F" w14:textId="77777777" w:rsidR="003E7786" w:rsidRPr="00B5740E" w:rsidRDefault="003E7786" w:rsidP="003E7786">
      <w:pPr>
        <w:widowControl w:val="0"/>
        <w:jc w:val="both"/>
        <w:rPr>
          <w:i/>
          <w:iCs/>
        </w:rPr>
      </w:pPr>
      <w:r w:rsidRPr="00B5740E">
        <w:rPr>
          <w:i/>
          <w:iCs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B5740E">
        <w:rPr>
          <w:rFonts w:eastAsia="Calibri"/>
          <w:i/>
          <w:iCs/>
        </w:rPr>
        <w:t xml:space="preserve">Pagalbinę informaciją, kaip turėtų būti vertinami tiekėjų pasiūlymai, kai  perkančioji organizacija yra PVM mokėtoja ir (ar) tiekėjams taikomi skirtingi </w:t>
      </w:r>
      <w:r w:rsidRPr="00B5740E">
        <w:rPr>
          <w:i/>
          <w:iCs/>
        </w:rPr>
        <w:t xml:space="preserve">Lietuvos Respublikos pridėtinės vertės mokesčio įstatymo reikalavimai, rasite </w:t>
      </w:r>
      <w:hyperlink r:id="rId9" w:history="1">
        <w:r w:rsidRPr="00B5740E">
          <w:rPr>
            <w:rStyle w:val="Hipersaitas"/>
            <w:i/>
            <w:iCs/>
          </w:rPr>
          <w:t>ČIA</w:t>
        </w:r>
      </w:hyperlink>
      <w:r w:rsidRPr="00B5740E">
        <w:rPr>
          <w:i/>
          <w:iCs/>
        </w:rPr>
        <w:t>.</w:t>
      </w:r>
    </w:p>
    <w:p w14:paraId="2093E38C" w14:textId="77777777" w:rsidR="003E7786" w:rsidRPr="00B5740E" w:rsidRDefault="003E7786" w:rsidP="003E7786">
      <w:pPr>
        <w:jc w:val="both"/>
        <w:rPr>
          <w:i/>
          <w:iCs/>
        </w:rPr>
      </w:pPr>
      <w:r w:rsidRPr="00B5740E">
        <w:rPr>
          <w:i/>
          <w:iCs/>
        </w:rPr>
        <w:t xml:space="preserve">Kaina 1 vnt., pasiūlymo kaina pateikiama, nurodant </w:t>
      </w:r>
      <w:r w:rsidRPr="00B5740E">
        <w:rPr>
          <w:rFonts w:eastAsia="Calibri"/>
          <w:i/>
          <w:iCs/>
        </w:rPr>
        <w:t>2 (du)</w:t>
      </w:r>
      <w:r w:rsidRPr="00B5740E">
        <w:rPr>
          <w:i/>
          <w:iCs/>
        </w:rPr>
        <w:t xml:space="preserve"> skaičius po kablelio.</w:t>
      </w:r>
    </w:p>
    <w:p w14:paraId="648D3511" w14:textId="77777777" w:rsidR="003E7786" w:rsidRPr="00B5740E" w:rsidRDefault="003E7786" w:rsidP="003E7786">
      <w:pPr>
        <w:jc w:val="both"/>
      </w:pPr>
    </w:p>
    <w:p w14:paraId="1839CAC2" w14:textId="77777777" w:rsidR="003E7786" w:rsidRPr="00B5740E" w:rsidRDefault="003E7786" w:rsidP="003E7786">
      <w:pPr>
        <w:jc w:val="both"/>
        <w:rPr>
          <w:b/>
          <w:u w:val="single"/>
        </w:rPr>
      </w:pPr>
      <w:r w:rsidRPr="00B5740E">
        <w:t>3.</w:t>
      </w:r>
      <w:r>
        <w:t>2</w:t>
      </w:r>
      <w:r w:rsidRPr="00B5740E">
        <w:t xml:space="preserve">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 </w:t>
      </w:r>
    </w:p>
    <w:p w14:paraId="1A46E2C7" w14:textId="77777777" w:rsidR="00526922" w:rsidRPr="00D769B3" w:rsidRDefault="00526922" w:rsidP="008B5102">
      <w:pPr>
        <w:jc w:val="both"/>
        <w:rPr>
          <w:color w:val="4472C4" w:themeColor="accent5"/>
          <w:sz w:val="22"/>
          <w:szCs w:val="22"/>
          <w:highlight w:val="yellow"/>
        </w:rPr>
      </w:pPr>
    </w:p>
    <w:bookmarkEnd w:id="7"/>
    <w:p w14:paraId="0D0EEFAA" w14:textId="110D10DF" w:rsidR="00C25E59" w:rsidRPr="00D769B3" w:rsidRDefault="00C25E59" w:rsidP="00AE5856">
      <w:pPr>
        <w:jc w:val="both"/>
        <w:rPr>
          <w:color w:val="4472C4" w:themeColor="accent5"/>
          <w:sz w:val="22"/>
          <w:szCs w:val="22"/>
          <w:highlight w:val="yellow"/>
        </w:rPr>
      </w:pPr>
    </w:p>
    <w:p w14:paraId="4C046799" w14:textId="08C1963E" w:rsidR="00C25E59" w:rsidRPr="003E7786" w:rsidRDefault="00C25E59" w:rsidP="00357B91">
      <w:pPr>
        <w:jc w:val="center"/>
        <w:rPr>
          <w:b/>
          <w:sz w:val="22"/>
          <w:szCs w:val="22"/>
        </w:rPr>
      </w:pPr>
      <w:r w:rsidRPr="003E7786">
        <w:rPr>
          <w:b/>
          <w:sz w:val="22"/>
          <w:szCs w:val="22"/>
        </w:rPr>
        <w:t xml:space="preserve">4. </w:t>
      </w:r>
      <w:r w:rsidR="004403FA" w:rsidRPr="003E7786">
        <w:rPr>
          <w:b/>
          <w:sz w:val="22"/>
          <w:szCs w:val="22"/>
        </w:rPr>
        <w:t>TECHNINĖ SPECIFIKACIJA</w:t>
      </w:r>
    </w:p>
    <w:p w14:paraId="05558450" w14:textId="67E116B4" w:rsidR="00AE5856" w:rsidRPr="007E10EA" w:rsidRDefault="00AE5856" w:rsidP="00AE5856">
      <w:pPr>
        <w:jc w:val="center"/>
        <w:rPr>
          <w:b/>
        </w:rPr>
      </w:pPr>
    </w:p>
    <w:p w14:paraId="1B48A132" w14:textId="562E2BE7" w:rsidR="003E7786" w:rsidRPr="003E7786" w:rsidRDefault="003E7786" w:rsidP="003E7786">
      <w:pPr>
        <w:jc w:val="both"/>
        <w:rPr>
          <w:bCs/>
          <w:color w:val="000000" w:themeColor="text1"/>
        </w:rPr>
      </w:pPr>
      <w:r w:rsidRPr="007E10EA">
        <w:rPr>
          <w:bCs/>
          <w:color w:val="000000" w:themeColor="text1"/>
        </w:rPr>
        <w:t>4.</w:t>
      </w:r>
      <w:r w:rsidRPr="003E7786">
        <w:rPr>
          <w:bCs/>
          <w:color w:val="000000" w:themeColor="text1"/>
        </w:rPr>
        <w:t>1. Teikdami šį pasiūlymą mes patvirtiname, kad mūsų siūlomos prekės atitinka reikalavimus nurodytus specialiųjų konkurso sąlygų 1 priede „Techninė specifikacija“.</w:t>
      </w:r>
    </w:p>
    <w:p w14:paraId="48F81D9F" w14:textId="1F385B47" w:rsidR="003E7786" w:rsidRPr="007E10EA" w:rsidRDefault="003E7786" w:rsidP="007E10EA">
      <w:pPr>
        <w:jc w:val="both"/>
        <w:rPr>
          <w:b/>
          <w:bCs/>
          <w:color w:val="000000" w:themeColor="text1"/>
          <w:u w:val="single"/>
        </w:rPr>
      </w:pPr>
      <w:r w:rsidRPr="007E10EA">
        <w:rPr>
          <w:b/>
          <w:bCs/>
          <w:color w:val="000000" w:themeColor="text1"/>
          <w:u w:val="single"/>
        </w:rPr>
        <w:t xml:space="preserve"> </w:t>
      </w:r>
      <w:r w:rsidRPr="003E7786">
        <w:rPr>
          <w:b/>
          <w:bCs/>
          <w:color w:val="000000" w:themeColor="text1"/>
          <w:u w:val="single"/>
        </w:rPr>
        <w:t>Kartu su pasiūlymu pateikiame užpildytą bei pasirašytą Techninės specifikacijos priedą Nr.1, kuriame nurodyti siūlomos prekės charakteristikos/techniniai parametrai ir jų reikšmės</w:t>
      </w:r>
      <w:r w:rsidRPr="003E7786">
        <w:rPr>
          <w:b/>
          <w:bCs/>
          <w:iCs/>
          <w:color w:val="000000" w:themeColor="text1"/>
          <w:u w:val="single"/>
        </w:rPr>
        <w:t xml:space="preserve"> ir atitikimą patvirtinančius dokumentus</w:t>
      </w:r>
      <w:r w:rsidR="007E10EA" w:rsidRPr="007E10EA">
        <w:rPr>
          <w:b/>
          <w:bCs/>
          <w:iCs/>
          <w:color w:val="000000" w:themeColor="text1"/>
          <w:u w:val="single"/>
        </w:rPr>
        <w:t>.</w:t>
      </w:r>
    </w:p>
    <w:p w14:paraId="5CE64932" w14:textId="4BF949C1" w:rsidR="003E7786" w:rsidRPr="003E7786" w:rsidRDefault="003E7786" w:rsidP="003E7786">
      <w:pPr>
        <w:jc w:val="both"/>
        <w:rPr>
          <w:bCs/>
          <w:color w:val="000000" w:themeColor="text1"/>
          <w:sz w:val="22"/>
          <w:szCs w:val="22"/>
        </w:rPr>
      </w:pPr>
    </w:p>
    <w:p w14:paraId="6ECF5612" w14:textId="77777777" w:rsidR="00E95531" w:rsidRPr="000B0349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8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8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0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1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5B0CE0">
      <w:footerReference w:type="default" r:id="rId12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B9FE3" w14:textId="77777777" w:rsidR="00A45B77" w:rsidRDefault="00A45B77" w:rsidP="00D5620E">
      <w:r>
        <w:separator/>
      </w:r>
    </w:p>
  </w:endnote>
  <w:endnote w:type="continuationSeparator" w:id="0">
    <w:p w14:paraId="0547760C" w14:textId="77777777" w:rsidR="00A45B77" w:rsidRDefault="00A45B77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F90CD" w14:textId="77777777" w:rsidR="00A45B77" w:rsidRDefault="00A45B77" w:rsidP="00D5620E">
      <w:r>
        <w:separator/>
      </w:r>
    </w:p>
  </w:footnote>
  <w:footnote w:type="continuationSeparator" w:id="0">
    <w:p w14:paraId="6DAC832C" w14:textId="77777777" w:rsidR="00A45B77" w:rsidRDefault="00A45B77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0A9"/>
    <w:multiLevelType w:val="hybridMultilevel"/>
    <w:tmpl w:val="6CB031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E01"/>
    <w:multiLevelType w:val="multilevel"/>
    <w:tmpl w:val="88627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1553D3"/>
    <w:multiLevelType w:val="multilevel"/>
    <w:tmpl w:val="0D52837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13D3149"/>
    <w:multiLevelType w:val="hybridMultilevel"/>
    <w:tmpl w:val="133EB32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14F6414"/>
    <w:multiLevelType w:val="hybridMultilevel"/>
    <w:tmpl w:val="3AF672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A54A08"/>
    <w:multiLevelType w:val="multilevel"/>
    <w:tmpl w:val="C00623F6"/>
    <w:lvl w:ilvl="0">
      <w:start w:val="4"/>
      <w:numFmt w:val="decimal"/>
      <w:lvlText w:val="%1."/>
      <w:lvlJc w:val="left"/>
      <w:pPr>
        <w:ind w:left="504" w:hanging="504"/>
      </w:pPr>
      <w:rPr>
        <w:rFonts w:eastAsiaTheme="minorHAnsi"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Theme="minorHAnsi" w:hint="default"/>
        <w:color w:val="auto"/>
        <w:sz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  <w:sz w:val="22"/>
      </w:rPr>
    </w:lvl>
  </w:abstractNum>
  <w:abstractNum w:abstractNumId="9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3C534D"/>
    <w:multiLevelType w:val="multilevel"/>
    <w:tmpl w:val="F906E60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0969">
    <w:abstractNumId w:val="6"/>
  </w:num>
  <w:num w:numId="2" w16cid:durableId="127480645">
    <w:abstractNumId w:val="12"/>
  </w:num>
  <w:num w:numId="3" w16cid:durableId="1584027513">
    <w:abstractNumId w:val="7"/>
  </w:num>
  <w:num w:numId="4" w16cid:durableId="985207640">
    <w:abstractNumId w:val="9"/>
  </w:num>
  <w:num w:numId="5" w16cid:durableId="841628638">
    <w:abstractNumId w:val="10"/>
  </w:num>
  <w:num w:numId="6" w16cid:durableId="1635528254">
    <w:abstractNumId w:val="0"/>
  </w:num>
  <w:num w:numId="7" w16cid:durableId="97217577">
    <w:abstractNumId w:val="2"/>
  </w:num>
  <w:num w:numId="8" w16cid:durableId="1668440745">
    <w:abstractNumId w:val="3"/>
  </w:num>
  <w:num w:numId="9" w16cid:durableId="1461681648">
    <w:abstractNumId w:val="11"/>
  </w:num>
  <w:num w:numId="10" w16cid:durableId="507643228">
    <w:abstractNumId w:val="5"/>
  </w:num>
  <w:num w:numId="11" w16cid:durableId="1899054025">
    <w:abstractNumId w:val="4"/>
  </w:num>
  <w:num w:numId="12" w16cid:durableId="492449561">
    <w:abstractNumId w:val="1"/>
  </w:num>
  <w:num w:numId="13" w16cid:durableId="150098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6F8A"/>
    <w:rsid w:val="00012A13"/>
    <w:rsid w:val="00017E92"/>
    <w:rsid w:val="00021A0E"/>
    <w:rsid w:val="000304FE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92958"/>
    <w:rsid w:val="000A710E"/>
    <w:rsid w:val="000B0349"/>
    <w:rsid w:val="000B04F6"/>
    <w:rsid w:val="000B719A"/>
    <w:rsid w:val="000C0B9F"/>
    <w:rsid w:val="000C17DB"/>
    <w:rsid w:val="000C4A84"/>
    <w:rsid w:val="000C5D56"/>
    <w:rsid w:val="000D2D10"/>
    <w:rsid w:val="000D4322"/>
    <w:rsid w:val="000D47AC"/>
    <w:rsid w:val="000F05DD"/>
    <w:rsid w:val="000F3105"/>
    <w:rsid w:val="001076D7"/>
    <w:rsid w:val="0011513D"/>
    <w:rsid w:val="00120BFB"/>
    <w:rsid w:val="001235DA"/>
    <w:rsid w:val="001521AE"/>
    <w:rsid w:val="001718EF"/>
    <w:rsid w:val="00173052"/>
    <w:rsid w:val="00175A3D"/>
    <w:rsid w:val="0018752B"/>
    <w:rsid w:val="001A5383"/>
    <w:rsid w:val="001C0700"/>
    <w:rsid w:val="001D21B0"/>
    <w:rsid w:val="001D4F60"/>
    <w:rsid w:val="001E364C"/>
    <w:rsid w:val="002038F7"/>
    <w:rsid w:val="002059D3"/>
    <w:rsid w:val="00206973"/>
    <w:rsid w:val="00211A92"/>
    <w:rsid w:val="00215D54"/>
    <w:rsid w:val="00226AC7"/>
    <w:rsid w:val="002272FF"/>
    <w:rsid w:val="00245418"/>
    <w:rsid w:val="00257044"/>
    <w:rsid w:val="00265992"/>
    <w:rsid w:val="00265DB2"/>
    <w:rsid w:val="00273BC4"/>
    <w:rsid w:val="002872AF"/>
    <w:rsid w:val="002A1C07"/>
    <w:rsid w:val="002B3286"/>
    <w:rsid w:val="002E2050"/>
    <w:rsid w:val="00304DE1"/>
    <w:rsid w:val="00307F92"/>
    <w:rsid w:val="00324B2F"/>
    <w:rsid w:val="0033201D"/>
    <w:rsid w:val="003340D1"/>
    <w:rsid w:val="00341823"/>
    <w:rsid w:val="00356B9C"/>
    <w:rsid w:val="00357B91"/>
    <w:rsid w:val="0036271A"/>
    <w:rsid w:val="003B5537"/>
    <w:rsid w:val="003E0ACE"/>
    <w:rsid w:val="003E5559"/>
    <w:rsid w:val="003E5B7D"/>
    <w:rsid w:val="003E5E4F"/>
    <w:rsid w:val="003E64DB"/>
    <w:rsid w:val="003E7786"/>
    <w:rsid w:val="00401E29"/>
    <w:rsid w:val="00411234"/>
    <w:rsid w:val="0041330B"/>
    <w:rsid w:val="00431EC0"/>
    <w:rsid w:val="00432395"/>
    <w:rsid w:val="00433B18"/>
    <w:rsid w:val="00436C09"/>
    <w:rsid w:val="004403FA"/>
    <w:rsid w:val="004427AB"/>
    <w:rsid w:val="00446D4D"/>
    <w:rsid w:val="00455E99"/>
    <w:rsid w:val="00460201"/>
    <w:rsid w:val="00460DE6"/>
    <w:rsid w:val="00462ABF"/>
    <w:rsid w:val="004647BE"/>
    <w:rsid w:val="004733A9"/>
    <w:rsid w:val="004803C1"/>
    <w:rsid w:val="0049130A"/>
    <w:rsid w:val="004952C5"/>
    <w:rsid w:val="004A25F4"/>
    <w:rsid w:val="004A79DA"/>
    <w:rsid w:val="004E23BF"/>
    <w:rsid w:val="004E6D36"/>
    <w:rsid w:val="005237AF"/>
    <w:rsid w:val="005257E7"/>
    <w:rsid w:val="00526922"/>
    <w:rsid w:val="005301D7"/>
    <w:rsid w:val="00534144"/>
    <w:rsid w:val="00535A6A"/>
    <w:rsid w:val="005401C9"/>
    <w:rsid w:val="00567FFD"/>
    <w:rsid w:val="005808EF"/>
    <w:rsid w:val="005831FF"/>
    <w:rsid w:val="005B0CE0"/>
    <w:rsid w:val="005B523E"/>
    <w:rsid w:val="005C3B4D"/>
    <w:rsid w:val="005D33CB"/>
    <w:rsid w:val="005F09C4"/>
    <w:rsid w:val="00610BC1"/>
    <w:rsid w:val="00626AC2"/>
    <w:rsid w:val="0064305E"/>
    <w:rsid w:val="0067489B"/>
    <w:rsid w:val="006B0BF3"/>
    <w:rsid w:val="006B0DDD"/>
    <w:rsid w:val="006D021E"/>
    <w:rsid w:val="006D1577"/>
    <w:rsid w:val="006D18F3"/>
    <w:rsid w:val="006D337A"/>
    <w:rsid w:val="006E7D5E"/>
    <w:rsid w:val="006F2099"/>
    <w:rsid w:val="00716E69"/>
    <w:rsid w:val="007173D9"/>
    <w:rsid w:val="007249CA"/>
    <w:rsid w:val="0072632E"/>
    <w:rsid w:val="00735E5B"/>
    <w:rsid w:val="007916C7"/>
    <w:rsid w:val="00794FE7"/>
    <w:rsid w:val="007B0D5F"/>
    <w:rsid w:val="007B789B"/>
    <w:rsid w:val="007C36AF"/>
    <w:rsid w:val="007C4EB2"/>
    <w:rsid w:val="007D4D8B"/>
    <w:rsid w:val="007E10EA"/>
    <w:rsid w:val="007E2138"/>
    <w:rsid w:val="007F749E"/>
    <w:rsid w:val="008116AC"/>
    <w:rsid w:val="008149C2"/>
    <w:rsid w:val="00852360"/>
    <w:rsid w:val="00870FA7"/>
    <w:rsid w:val="00873A89"/>
    <w:rsid w:val="0088119C"/>
    <w:rsid w:val="008A32DF"/>
    <w:rsid w:val="008A6D25"/>
    <w:rsid w:val="008B0071"/>
    <w:rsid w:val="008B5102"/>
    <w:rsid w:val="008C517F"/>
    <w:rsid w:val="008D2FD5"/>
    <w:rsid w:val="008D408E"/>
    <w:rsid w:val="008D6619"/>
    <w:rsid w:val="008E6402"/>
    <w:rsid w:val="008F25F9"/>
    <w:rsid w:val="0091059A"/>
    <w:rsid w:val="0092260B"/>
    <w:rsid w:val="00937EE6"/>
    <w:rsid w:val="00940552"/>
    <w:rsid w:val="00954DB7"/>
    <w:rsid w:val="00966EEB"/>
    <w:rsid w:val="009709C1"/>
    <w:rsid w:val="009757CC"/>
    <w:rsid w:val="00994681"/>
    <w:rsid w:val="009C32E1"/>
    <w:rsid w:val="009C5195"/>
    <w:rsid w:val="009D4099"/>
    <w:rsid w:val="009F0390"/>
    <w:rsid w:val="00A0774D"/>
    <w:rsid w:val="00A30954"/>
    <w:rsid w:val="00A36785"/>
    <w:rsid w:val="00A44469"/>
    <w:rsid w:val="00A45B77"/>
    <w:rsid w:val="00A462F3"/>
    <w:rsid w:val="00A47650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E5856"/>
    <w:rsid w:val="00AF1216"/>
    <w:rsid w:val="00AF245D"/>
    <w:rsid w:val="00AF3676"/>
    <w:rsid w:val="00AF7C72"/>
    <w:rsid w:val="00B00F16"/>
    <w:rsid w:val="00B01358"/>
    <w:rsid w:val="00B3242F"/>
    <w:rsid w:val="00B34380"/>
    <w:rsid w:val="00B43797"/>
    <w:rsid w:val="00B47825"/>
    <w:rsid w:val="00B53CBE"/>
    <w:rsid w:val="00B561D1"/>
    <w:rsid w:val="00B63F74"/>
    <w:rsid w:val="00B739CC"/>
    <w:rsid w:val="00B74F37"/>
    <w:rsid w:val="00B942C6"/>
    <w:rsid w:val="00BA0079"/>
    <w:rsid w:val="00BB187C"/>
    <w:rsid w:val="00BB663A"/>
    <w:rsid w:val="00BD6C0B"/>
    <w:rsid w:val="00BE096C"/>
    <w:rsid w:val="00C03750"/>
    <w:rsid w:val="00C11DD1"/>
    <w:rsid w:val="00C24098"/>
    <w:rsid w:val="00C24BA9"/>
    <w:rsid w:val="00C25E59"/>
    <w:rsid w:val="00C3243D"/>
    <w:rsid w:val="00C505C8"/>
    <w:rsid w:val="00C51533"/>
    <w:rsid w:val="00C55AAB"/>
    <w:rsid w:val="00C8049A"/>
    <w:rsid w:val="00C903A6"/>
    <w:rsid w:val="00C92F6D"/>
    <w:rsid w:val="00CC42F3"/>
    <w:rsid w:val="00CE4142"/>
    <w:rsid w:val="00CF0EED"/>
    <w:rsid w:val="00CF2275"/>
    <w:rsid w:val="00CF7CE3"/>
    <w:rsid w:val="00D13A01"/>
    <w:rsid w:val="00D14688"/>
    <w:rsid w:val="00D2594D"/>
    <w:rsid w:val="00D27B42"/>
    <w:rsid w:val="00D375BA"/>
    <w:rsid w:val="00D376D7"/>
    <w:rsid w:val="00D5620E"/>
    <w:rsid w:val="00D64DEE"/>
    <w:rsid w:val="00D769B3"/>
    <w:rsid w:val="00D80603"/>
    <w:rsid w:val="00D94993"/>
    <w:rsid w:val="00D95FFF"/>
    <w:rsid w:val="00DA138A"/>
    <w:rsid w:val="00DA7477"/>
    <w:rsid w:val="00DD0D3F"/>
    <w:rsid w:val="00DD1DF6"/>
    <w:rsid w:val="00DD4829"/>
    <w:rsid w:val="00DF34FF"/>
    <w:rsid w:val="00DF647C"/>
    <w:rsid w:val="00E11961"/>
    <w:rsid w:val="00E315D0"/>
    <w:rsid w:val="00E41A99"/>
    <w:rsid w:val="00E43B3E"/>
    <w:rsid w:val="00E6380C"/>
    <w:rsid w:val="00E75179"/>
    <w:rsid w:val="00E77A50"/>
    <w:rsid w:val="00E85179"/>
    <w:rsid w:val="00E933ED"/>
    <w:rsid w:val="00E95531"/>
    <w:rsid w:val="00EB4DB8"/>
    <w:rsid w:val="00ED1D0A"/>
    <w:rsid w:val="00ED7FA9"/>
    <w:rsid w:val="00EE1700"/>
    <w:rsid w:val="00EF1E19"/>
    <w:rsid w:val="00EF722D"/>
    <w:rsid w:val="00F03E4A"/>
    <w:rsid w:val="00F049B6"/>
    <w:rsid w:val="00F24EB3"/>
    <w:rsid w:val="00F43C3D"/>
    <w:rsid w:val="00F50F80"/>
    <w:rsid w:val="00F569B7"/>
    <w:rsid w:val="00F579D2"/>
    <w:rsid w:val="00F72AE8"/>
    <w:rsid w:val="00F747D4"/>
    <w:rsid w:val="00F86890"/>
    <w:rsid w:val="00F872A9"/>
    <w:rsid w:val="00FA5B0F"/>
    <w:rsid w:val="00FB18F4"/>
    <w:rsid w:val="00FB784B"/>
    <w:rsid w:val="00FD5DEF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mp/konfidenciali_informacij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mp/konfidenciali_informaci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5071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Tomas Guzelis</cp:lastModifiedBy>
  <cp:revision>8</cp:revision>
  <cp:lastPrinted>2022-03-01T12:00:00Z</cp:lastPrinted>
  <dcterms:created xsi:type="dcterms:W3CDTF">2024-09-27T07:02:00Z</dcterms:created>
  <dcterms:modified xsi:type="dcterms:W3CDTF">2024-12-05T13:54:00Z</dcterms:modified>
</cp:coreProperties>
</file>