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C74E" w14:textId="7F7FAF5B" w:rsidR="00985640" w:rsidRDefault="00403A27" w:rsidP="00985640">
      <w:pPr>
        <w:pStyle w:val="Tekstas"/>
        <w:jc w:val="center"/>
        <w:rPr>
          <w:rFonts w:ascii="Times New Roman" w:hAnsi="Times New Roman" w:cs="Times New Roman"/>
          <w:b/>
          <w:bCs/>
          <w:color w:val="000000" w:themeColor="text1"/>
        </w:rPr>
      </w:pPr>
      <w:r>
        <w:rPr>
          <w:rFonts w:ascii="Times New Roman" w:hAnsi="Times New Roman" w:cs="Times New Roman"/>
          <w:b/>
          <w:bCs/>
          <w:noProof/>
          <w:color w:val="000000" w:themeColor="text1"/>
        </w:rPr>
        <w:drawing>
          <wp:inline distT="0" distB="0" distL="0" distR="0" wp14:anchorId="609A2CB0" wp14:editId="1414DD6F">
            <wp:extent cx="469265" cy="542290"/>
            <wp:effectExtent l="0" t="0" r="6985" b="0"/>
            <wp:docPr id="28032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542290"/>
                    </a:xfrm>
                    <a:prstGeom prst="rect">
                      <a:avLst/>
                    </a:prstGeom>
                    <a:noFill/>
                  </pic:spPr>
                </pic:pic>
              </a:graphicData>
            </a:graphic>
          </wp:inline>
        </w:drawing>
      </w:r>
      <w:r w:rsidR="00985640" w:rsidRPr="00985640">
        <w:rPr>
          <w:rFonts w:ascii="Times New Roman" w:hAnsi="Times New Roman" w:cs="Times New Roman"/>
          <w:b/>
          <w:bCs/>
          <w:color w:val="000000" w:themeColor="text1"/>
        </w:rPr>
        <w:t xml:space="preserve"> </w:t>
      </w:r>
    </w:p>
    <w:p w14:paraId="15CDE9F3" w14:textId="77777777" w:rsidR="00403A27" w:rsidRDefault="00403A27" w:rsidP="00985640">
      <w:pPr>
        <w:pStyle w:val="Tekstas"/>
        <w:spacing w:before="0" w:line="240" w:lineRule="auto"/>
        <w:jc w:val="center"/>
        <w:rPr>
          <w:rFonts w:ascii="Times New Roman" w:hAnsi="Times New Roman" w:cs="Times New Roman"/>
          <w:color w:val="000000" w:themeColor="text1"/>
        </w:rPr>
      </w:pPr>
    </w:p>
    <w:p w14:paraId="4375BB76" w14:textId="434D1074" w:rsidR="00403A27" w:rsidRDefault="00403A27" w:rsidP="00985640">
      <w:pPr>
        <w:pStyle w:val="Tekstas"/>
        <w:spacing w:before="0" w:line="240" w:lineRule="auto"/>
        <w:jc w:val="center"/>
        <w:rPr>
          <w:rFonts w:ascii="Times New Roman" w:hAnsi="Times New Roman" w:cs="Times New Roman"/>
          <w:color w:val="000000" w:themeColor="text1"/>
        </w:rPr>
      </w:pPr>
      <w:r w:rsidRPr="00403A27">
        <w:rPr>
          <w:noProof/>
        </w:rPr>
        <w:drawing>
          <wp:inline distT="0" distB="0" distL="0" distR="0" wp14:anchorId="7C261D3E" wp14:editId="5489BE0E">
            <wp:extent cx="6121400" cy="2235200"/>
            <wp:effectExtent l="0" t="0" r="0" b="0"/>
            <wp:docPr id="202502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2235200"/>
                    </a:xfrm>
                    <a:prstGeom prst="rect">
                      <a:avLst/>
                    </a:prstGeom>
                    <a:noFill/>
                    <a:ln>
                      <a:noFill/>
                    </a:ln>
                  </pic:spPr>
                </pic:pic>
              </a:graphicData>
            </a:graphic>
          </wp:inline>
        </w:drawing>
      </w:r>
    </w:p>
    <w:p w14:paraId="7BEF885D" w14:textId="1794D32A"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F4F63FA" w14:textId="211FA0AA" w:rsidR="00985640" w:rsidRPr="00985640" w:rsidRDefault="000B2D8E" w:rsidP="00D302DA">
      <w:pPr>
        <w:pStyle w:val="Tekstas"/>
        <w:spacing w:before="0" w:line="240" w:lineRule="auto"/>
        <w:jc w:val="center"/>
        <w:rPr>
          <w:rFonts w:ascii="Times New Roman" w:hAnsi="Times New Roman" w:cs="Times New Roman"/>
          <w:b/>
          <w:bCs/>
          <w:color w:val="000000" w:themeColor="text1"/>
        </w:rPr>
      </w:pPr>
      <w:r w:rsidRPr="000B2D8E">
        <w:rPr>
          <w:rFonts w:ascii="Times New Roman" w:hAnsi="Times New Roman" w:cs="Times New Roman"/>
          <w:b/>
          <w:bCs/>
          <w:color w:val="000000" w:themeColor="text1"/>
        </w:rPr>
        <w:t xml:space="preserve">VALDYMO, OPTIMIZAVIMO IR MONITORINGO PROGRAMINĖS ĮRANGOS FOSS ĮRENGINIAMS (PRIETAISAMS „INFRATEC“) IQX ONE METINĖS LICENCIJOS (SKIRTA CENTRALIZUOTO ADMINISTRAVIMO IR DUOMENŲ VALDYMO VIENINGAME TINKLE) </w:t>
      </w:r>
      <w:r w:rsidR="001B2D0C" w:rsidRPr="00E57B2F">
        <w:rPr>
          <w:rFonts w:ascii="Times New Roman" w:hAnsi="Times New Roman" w:cs="Times New Roman"/>
          <w:b/>
          <w:bCs/>
          <w:color w:val="000000" w:themeColor="text1"/>
          <w:highlight w:val="yellow"/>
        </w:rPr>
        <w:t xml:space="preserve"> </w:t>
      </w:r>
      <w:r w:rsidR="00985640" w:rsidRPr="000B2D8E">
        <w:rPr>
          <w:rFonts w:ascii="Times New Roman" w:hAnsi="Times New Roman" w:cs="Times New Roman"/>
          <w:b/>
          <w:bCs/>
          <w:color w:val="000000" w:themeColor="text1"/>
        </w:rPr>
        <w:t>PIRKIMO SKELBIAMOS APKLAUSOS BŪDU</w:t>
      </w:r>
      <w:r w:rsidR="00985640" w:rsidRPr="00985640">
        <w:rPr>
          <w:rFonts w:ascii="Times New Roman" w:hAnsi="Times New Roman" w:cs="Times New Roman"/>
          <w:b/>
          <w:bCs/>
          <w:color w:val="000000" w:themeColor="text1"/>
        </w:rPr>
        <w:t xml:space="preserve"> </w:t>
      </w:r>
    </w:p>
    <w:p w14:paraId="6770FF6B" w14:textId="2002CCC6" w:rsidR="00B911E2" w:rsidRPr="00FC2DB8" w:rsidRDefault="00B911E2" w:rsidP="00B911E2">
      <w:pPr>
        <w:pStyle w:val="Subtitle"/>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75039C30" w14:textId="77777777" w:rsidR="00B911E2" w:rsidRPr="00FC2DB8" w:rsidRDefault="00B911E2" w:rsidP="00B911E2">
      <w:pPr>
        <w:pStyle w:val="Subtitle"/>
        <w:spacing w:before="60" w:after="60"/>
        <w:rPr>
          <w:b/>
          <w:bCs/>
          <w:color w:val="000000" w:themeColor="text1"/>
          <w:u w:val="none"/>
          <w:lang w:val="lt-LT"/>
        </w:rPr>
      </w:pPr>
    </w:p>
    <w:p w14:paraId="5A9DFE1F" w14:textId="77777777" w:rsidR="00B911E2" w:rsidRPr="00FC2DB8" w:rsidRDefault="00B911E2" w:rsidP="00B911E2">
      <w:pPr>
        <w:pStyle w:val="Subtitle"/>
        <w:spacing w:before="60" w:after="60"/>
        <w:jc w:val="center"/>
        <w:rPr>
          <w:b/>
          <w:bCs/>
          <w:color w:val="000000" w:themeColor="text1"/>
          <w:u w:val="none"/>
          <w:lang w:val="lt-LT"/>
        </w:rPr>
      </w:pPr>
    </w:p>
    <w:p w14:paraId="7A2AC4B9" w14:textId="77777777" w:rsidR="00B911E2" w:rsidRPr="00FC2DB8" w:rsidRDefault="00B911E2" w:rsidP="00B911E2">
      <w:pPr>
        <w:pStyle w:val="Heading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TableGrid"/>
        <w:tblW w:w="9640" w:type="dxa"/>
        <w:tblInd w:w="-147" w:type="dxa"/>
        <w:tblLook w:val="04A0" w:firstRow="1" w:lastRow="0" w:firstColumn="1" w:lastColumn="0" w:noHBand="0" w:noVBand="1"/>
      </w:tblPr>
      <w:tblGrid>
        <w:gridCol w:w="3452"/>
        <w:gridCol w:w="6188"/>
      </w:tblGrid>
      <w:tr w:rsidR="00B911E2" w:rsidRPr="00FC2DB8" w14:paraId="7FEEE3F7"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EF2B3F7" w14:textId="368F6E10" w:rsidR="00B911E2" w:rsidRPr="000B2D8E" w:rsidRDefault="000B2D8E" w:rsidP="00D302DA">
            <w:pPr>
              <w:jc w:val="both"/>
              <w:rPr>
                <w:b/>
                <w:bCs/>
                <w:color w:val="000000" w:themeColor="text1"/>
              </w:rPr>
            </w:pPr>
            <w:r w:rsidRPr="000B2D8E">
              <w:rPr>
                <w:rFonts w:eastAsia="Trebuchet MS"/>
                <w:color w:val="000000" w:themeColor="text1"/>
              </w:rPr>
              <w:t xml:space="preserve">Valdymo, optimizavimo ir monitoringo programinės įrangos </w:t>
            </w:r>
            <w:proofErr w:type="spellStart"/>
            <w:r w:rsidRPr="000B2D8E">
              <w:rPr>
                <w:rFonts w:eastAsia="Trebuchet MS"/>
                <w:color w:val="000000" w:themeColor="text1"/>
              </w:rPr>
              <w:t>foss</w:t>
            </w:r>
            <w:proofErr w:type="spellEnd"/>
            <w:r w:rsidRPr="000B2D8E">
              <w:rPr>
                <w:rFonts w:eastAsia="Trebuchet MS"/>
                <w:color w:val="000000" w:themeColor="text1"/>
              </w:rPr>
              <w:t xml:space="preserve"> įrenginiams (prietaisams „</w:t>
            </w:r>
            <w:proofErr w:type="spellStart"/>
            <w:r w:rsidRPr="000B2D8E">
              <w:rPr>
                <w:rFonts w:eastAsia="Trebuchet MS"/>
                <w:color w:val="000000" w:themeColor="text1"/>
              </w:rPr>
              <w:t>Infratec</w:t>
            </w:r>
            <w:proofErr w:type="spellEnd"/>
            <w:r w:rsidRPr="000B2D8E">
              <w:rPr>
                <w:rFonts w:eastAsia="Trebuchet MS"/>
                <w:color w:val="000000" w:themeColor="text1"/>
              </w:rPr>
              <w:t xml:space="preserve">“) </w:t>
            </w:r>
            <w:r w:rsidRPr="000B2D8E">
              <w:rPr>
                <w:rFonts w:eastAsia="Trebuchet MS"/>
                <w:color w:val="000000" w:themeColor="text1"/>
              </w:rPr>
              <w:t xml:space="preserve">IQX ONE </w:t>
            </w:r>
            <w:r w:rsidRPr="000B2D8E">
              <w:rPr>
                <w:rFonts w:eastAsia="Trebuchet MS"/>
                <w:color w:val="000000" w:themeColor="text1"/>
              </w:rPr>
              <w:t xml:space="preserve">metinės licencijos (skirta centralizuoto administravimo ir duomenų valdymo vieningame tinkle) </w:t>
            </w:r>
            <w:r w:rsidR="00985640" w:rsidRPr="000B2D8E">
              <w:rPr>
                <w:rFonts w:eastAsia="Trebuchet MS"/>
                <w:color w:val="000000" w:themeColor="text1"/>
              </w:rPr>
              <w:t>pirkimas</w:t>
            </w: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0B2D8E" w:rsidRDefault="00B911E2" w:rsidP="00F54734">
            <w:pPr>
              <w:jc w:val="both"/>
              <w:rPr>
                <w:rFonts w:eastAsia="Trebuchet MS"/>
                <w:color w:val="000000" w:themeColor="text1"/>
              </w:rPr>
            </w:pPr>
            <w:r w:rsidRPr="000B2D8E">
              <w:rPr>
                <w:rFonts w:eastAsia="Trebuchet MS"/>
                <w:color w:val="000000" w:themeColor="text1"/>
              </w:rPr>
              <w:t>Nurodytas Techninėje specifikacijoje</w:t>
            </w:r>
            <w:r w:rsidR="00F04EA5" w:rsidRPr="000B2D8E">
              <w:rPr>
                <w:rFonts w:eastAsia="Trebuchet MS"/>
                <w:color w:val="000000" w:themeColor="text1"/>
              </w:rPr>
              <w:t xml:space="preserve"> </w:t>
            </w:r>
            <w:r w:rsidR="00F17B5B" w:rsidRPr="000B2D8E">
              <w:rPr>
                <w:rFonts w:eastAsia="Trebuchet MS"/>
                <w:color w:val="000000" w:themeColor="text1"/>
              </w:rPr>
              <w:t>1</w:t>
            </w:r>
            <w:r w:rsidR="00F04EA5" w:rsidRPr="000B2D8E">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34C5031C" w:rsidR="00B911E2" w:rsidRPr="000B2D8E" w:rsidRDefault="00554673" w:rsidP="00F54734">
                <w:pPr>
                  <w:jc w:val="both"/>
                  <w:rPr>
                    <w:color w:val="000000" w:themeColor="text1"/>
                  </w:rPr>
                </w:pPr>
                <w:r w:rsidRPr="000B2D8E">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0B2D8E" w:rsidRDefault="00603AF8" w:rsidP="00F54734">
            <w:pPr>
              <w:jc w:val="both"/>
              <w:rPr>
                <w:color w:val="000000" w:themeColor="text1"/>
              </w:rPr>
            </w:pPr>
            <w:r w:rsidRPr="000B2D8E">
              <w:rPr>
                <w:rFonts w:eastAsia="Times New Roman"/>
                <w:color w:val="000000" w:themeColor="text1"/>
              </w:rPr>
              <w:t>Neskaidomas į pirkimo dalis</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67AE476C" w14:textId="3AB867F5" w:rsidR="00563CF5" w:rsidRPr="000B2D8E" w:rsidRDefault="00860272" w:rsidP="00563CF5">
            <w:pPr>
              <w:tabs>
                <w:tab w:val="left" w:pos="1304"/>
              </w:tabs>
              <w:spacing w:line="276" w:lineRule="auto"/>
              <w:jc w:val="both"/>
              <w:rPr>
                <w:color w:val="000000" w:themeColor="text1"/>
              </w:rPr>
            </w:pPr>
            <w:r w:rsidRPr="000B2D8E">
              <w:rPr>
                <w:rStyle w:val="normaltextrun"/>
                <w:color w:val="000000"/>
                <w:shd w:val="clear" w:color="auto" w:fill="FFFFFF"/>
              </w:rPr>
              <w:t xml:space="preserve">Paslaugos bus teikiamos </w:t>
            </w:r>
            <w:r w:rsidR="001B2D0C" w:rsidRPr="000B2D8E">
              <w:rPr>
                <w:rStyle w:val="normaltextrun"/>
                <w:color w:val="000000"/>
                <w:shd w:val="clear" w:color="auto" w:fill="FFFFFF"/>
              </w:rPr>
              <w:t>12</w:t>
            </w:r>
            <w:r w:rsidRPr="000B2D8E">
              <w:rPr>
                <w:rStyle w:val="normaltextrun"/>
                <w:color w:val="000000"/>
                <w:shd w:val="clear" w:color="auto" w:fill="FFFFFF"/>
              </w:rPr>
              <w:t xml:space="preserve"> (</w:t>
            </w:r>
            <w:r w:rsidR="007229EF" w:rsidRPr="000B2D8E">
              <w:rPr>
                <w:rStyle w:val="normaltextrun"/>
                <w:color w:val="000000"/>
                <w:shd w:val="clear" w:color="auto" w:fill="FFFFFF"/>
              </w:rPr>
              <w:t>d</w:t>
            </w:r>
            <w:r w:rsidR="001B2D0C" w:rsidRPr="000B2D8E">
              <w:rPr>
                <w:rStyle w:val="normaltextrun"/>
                <w:color w:val="000000"/>
                <w:shd w:val="clear" w:color="auto" w:fill="FFFFFF"/>
              </w:rPr>
              <w:t>vylika</w:t>
            </w:r>
            <w:r w:rsidR="007229EF" w:rsidRPr="000B2D8E">
              <w:rPr>
                <w:rStyle w:val="normaltextrun"/>
                <w:color w:val="000000"/>
                <w:shd w:val="clear" w:color="auto" w:fill="FFFFFF"/>
              </w:rPr>
              <w:t>)</w:t>
            </w:r>
            <w:r w:rsidRPr="000B2D8E">
              <w:rPr>
                <w:rStyle w:val="normaltextrun"/>
                <w:color w:val="000000"/>
                <w:shd w:val="clear" w:color="auto" w:fill="FFFFFF"/>
              </w:rPr>
              <w:t xml:space="preserve"> mėn</w:t>
            </w:r>
            <w:r w:rsidR="001B2D0C" w:rsidRPr="000B2D8E">
              <w:rPr>
                <w:rStyle w:val="normaltextrun"/>
                <w:color w:val="000000"/>
                <w:shd w:val="clear" w:color="auto" w:fill="FFFFFF"/>
              </w:rPr>
              <w:t>.</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15D6284F" w:rsidR="00B911E2" w:rsidRPr="000B2D8E" w:rsidRDefault="00554673" w:rsidP="00F54734">
                <w:pPr>
                  <w:jc w:val="both"/>
                  <w:rPr>
                    <w:color w:val="000000" w:themeColor="text1"/>
                  </w:rPr>
                </w:pPr>
                <w:r w:rsidRPr="000B2D8E">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FootnoteReference"/>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0B2D8E" w:rsidRDefault="00B911E2" w:rsidP="00F54734">
                <w:pPr>
                  <w:jc w:val="both"/>
                  <w:rPr>
                    <w:color w:val="000000" w:themeColor="text1"/>
                  </w:rPr>
                </w:pPr>
                <w:r w:rsidRPr="000B2D8E">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0B2D8E" w:rsidRDefault="00B911E2" w:rsidP="00F54734">
            <w:pPr>
              <w:jc w:val="both"/>
              <w:rPr>
                <w:color w:val="000000" w:themeColor="text1"/>
              </w:rPr>
            </w:pPr>
            <w:r w:rsidRPr="000B2D8E">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0B2D8E" w:rsidRDefault="007229EF" w:rsidP="00F54734">
                <w:pPr>
                  <w:jc w:val="both"/>
                  <w:rPr>
                    <w:color w:val="000000" w:themeColor="text1"/>
                  </w:rPr>
                </w:pPr>
                <w:r w:rsidRPr="000B2D8E">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04D31CC0" w:rsidR="000D53A8" w:rsidRPr="000B2D8E" w:rsidRDefault="00BF1721" w:rsidP="000D53A8">
            <w:pPr>
              <w:jc w:val="both"/>
              <w:rPr>
                <w:b/>
                <w:bCs/>
                <w:color w:val="000000" w:themeColor="text1"/>
              </w:rPr>
            </w:pPr>
            <w:r w:rsidRPr="000B2D8E">
              <w:rPr>
                <w:b/>
                <w:bCs/>
                <w:color w:val="000000" w:themeColor="text1"/>
              </w:rPr>
              <w:t>iki 202</w:t>
            </w:r>
            <w:r w:rsidR="00D9318B" w:rsidRPr="000B2D8E">
              <w:rPr>
                <w:b/>
                <w:bCs/>
                <w:color w:val="000000" w:themeColor="text1"/>
              </w:rPr>
              <w:t>5</w:t>
            </w:r>
            <w:r w:rsidRPr="000B2D8E">
              <w:rPr>
                <w:b/>
                <w:bCs/>
                <w:color w:val="000000" w:themeColor="text1"/>
              </w:rPr>
              <w:t xml:space="preserve"> m. </w:t>
            </w:r>
            <w:r w:rsidR="00403A27" w:rsidRPr="000B2D8E">
              <w:rPr>
                <w:b/>
                <w:bCs/>
                <w:color w:val="000000" w:themeColor="text1"/>
              </w:rPr>
              <w:t xml:space="preserve">gegužės </w:t>
            </w:r>
            <w:r w:rsidR="002A15E2" w:rsidRPr="000B2D8E">
              <w:rPr>
                <w:b/>
                <w:bCs/>
                <w:color w:val="000000" w:themeColor="text1"/>
              </w:rPr>
              <w:t>16</w:t>
            </w:r>
            <w:r w:rsidRPr="000B2D8E">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64A82FFD" w:rsidR="00BF1721" w:rsidRPr="000B2D8E" w:rsidRDefault="00BF1721" w:rsidP="00BF1721">
            <w:pPr>
              <w:jc w:val="both"/>
              <w:rPr>
                <w:b/>
                <w:bCs/>
                <w:color w:val="000000" w:themeColor="text1"/>
              </w:rPr>
            </w:pPr>
            <w:r w:rsidRPr="000B2D8E">
              <w:rPr>
                <w:b/>
                <w:bCs/>
                <w:color w:val="000000" w:themeColor="text1"/>
              </w:rPr>
              <w:t>iki 1</w:t>
            </w:r>
            <w:r w:rsidR="00554673" w:rsidRPr="000B2D8E">
              <w:rPr>
                <w:b/>
                <w:bCs/>
                <w:color w:val="000000" w:themeColor="text1"/>
              </w:rPr>
              <w:t>0</w:t>
            </w:r>
            <w:r w:rsidRPr="000B2D8E">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1B521165" w:rsidR="00B911E2" w:rsidRPr="00FC2DB8" w:rsidRDefault="00B911E2" w:rsidP="00F54734">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w:t>
            </w:r>
            <w:r w:rsidR="002A15E2">
              <w:rPr>
                <w:color w:val="000000" w:themeColor="text1"/>
              </w:rPr>
              <w:t>61242488</w:t>
            </w:r>
            <w:r w:rsidRPr="00FC2DB8">
              <w:rPr>
                <w:color w:val="000000" w:themeColor="text1"/>
              </w:rPr>
              <w:t xml:space="preserve">, el. paštas </w:t>
            </w:r>
            <w:r w:rsidR="007229EF">
              <w:rPr>
                <w:color w:val="000000" w:themeColor="text1"/>
              </w:rPr>
              <w:t>marina.sedleckiene</w:t>
            </w:r>
            <w:r w:rsidRPr="00FC2DB8">
              <w:rPr>
                <w:color w:val="000000" w:themeColor="text1"/>
              </w:rPr>
              <w:t>@</w:t>
            </w:r>
            <w:r w:rsidR="002A15E2">
              <w:rPr>
                <w:color w:val="000000" w:themeColor="text1"/>
              </w:rPr>
              <w:t>vatzum</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512924B6" w:rsidR="00B911E2" w:rsidRPr="00FC2DB8" w:rsidRDefault="002A15E2" w:rsidP="00F54734">
                <w:pPr>
                  <w:jc w:val="both"/>
                  <w:rPr>
                    <w:color w:val="000000" w:themeColor="text1"/>
                  </w:rPr>
                </w:pPr>
                <w:r>
                  <w:rPr>
                    <w:rFonts w:eastAsia="Times New Roman"/>
                    <w:color w:val="000000" w:themeColor="text1"/>
                  </w:rPr>
                  <w:t>Nepridedama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lastRenderedPageBreak/>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Content>
              <w:p w14:paraId="5B50F249" w14:textId="56D3C612" w:rsidR="00B911E2" w:rsidRPr="00FC2DB8" w:rsidRDefault="00E0218B" w:rsidP="00F54734">
                <w:pPr>
                  <w:rPr>
                    <w:i/>
                    <w:color w:val="000000" w:themeColor="text1"/>
                  </w:rPr>
                </w:pPr>
                <w:r>
                  <w:rPr>
                    <w:rStyle w:val="Style4"/>
                    <w:rFonts w:eastAsia="Times New Roman"/>
                    <w:color w:val="000000" w:themeColor="text1"/>
                  </w:rPr>
                  <w:t>Fiksuotas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72C42B1A" w:rsidR="00BB3906" w:rsidRPr="00FC2DB8" w:rsidRDefault="00CF2971" w:rsidP="00BB3906">
            <w:pPr>
              <w:jc w:val="both"/>
              <w:rPr>
                <w:rStyle w:val="Style4"/>
                <w:rFonts w:eastAsia="Times New Roman"/>
                <w:lang w:eastAsia="lt-LT"/>
              </w:rPr>
            </w:pPr>
            <w:r w:rsidRPr="00CF2971">
              <w:t xml:space="preserve">Su Laimėjusiu tiekėju sudaroma Sutarties kaina bus lygi  vertei, nurodytai </w:t>
            </w:r>
            <w:r w:rsidR="007229EF">
              <w:t xml:space="preserve">tiekėjo pasiūlyme </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5B5BF187" w:rsidR="00B911E2" w:rsidRPr="00FC2DB8" w:rsidRDefault="00B911E2" w:rsidP="00BE2D57">
            <w:pPr>
              <w:jc w:val="both"/>
              <w:rPr>
                <w:rStyle w:val="Style4"/>
              </w:rPr>
            </w:pPr>
            <w:r w:rsidRPr="00FC2DB8">
              <w:rPr>
                <w:rStyle w:val="Style4"/>
                <w:color w:val="000000" w:themeColor="text1"/>
              </w:rPr>
              <w:t xml:space="preserve">Pasiūlymas galioja jame tiekėjo nurodytą laiką. Pasiūlymas turi galioti ne trumpiau nei </w:t>
            </w:r>
            <w:r w:rsidR="00AB0804">
              <w:rPr>
                <w:rStyle w:val="Style4"/>
                <w:color w:val="000000" w:themeColor="text1"/>
              </w:rPr>
              <w:t xml:space="preserve">90 </w:t>
            </w:r>
            <w:proofErr w:type="spellStart"/>
            <w:r w:rsidR="00AB0804">
              <w:rPr>
                <w:rStyle w:val="Style4"/>
                <w:color w:val="000000" w:themeColor="text1"/>
              </w:rPr>
              <w:t>kal</w:t>
            </w:r>
            <w:proofErr w:type="spellEnd"/>
            <w:r w:rsidR="00AB0804">
              <w:rPr>
                <w:rStyle w:val="Style4"/>
                <w:color w:val="000000" w:themeColor="text1"/>
              </w:rPr>
              <w:t>.</w:t>
            </w:r>
            <w:r w:rsidR="007339E4">
              <w:rPr>
                <w:rStyle w:val="Style4"/>
                <w:color w:val="000000" w:themeColor="text1"/>
              </w:rPr>
              <w:t xml:space="preserve"> </w:t>
            </w:r>
            <w:r w:rsidR="00AB0804">
              <w:rPr>
                <w:rStyle w:val="Style4"/>
                <w:color w:val="000000" w:themeColor="text1"/>
              </w:rPr>
              <w:t>d.</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66E4E561" w:rsidR="00B911E2" w:rsidRPr="00FC2DB8" w:rsidRDefault="00454F87" w:rsidP="00BC1A70">
            <w:pPr>
              <w:pStyle w:val="ListParagraph"/>
              <w:numPr>
                <w:ilvl w:val="0"/>
                <w:numId w:val="6"/>
              </w:numPr>
              <w:jc w:val="both"/>
              <w:rPr>
                <w:rFonts w:eastAsia="Times New Roman"/>
                <w:lang w:eastAsia="lt-LT"/>
              </w:rPr>
            </w:pPr>
            <w:r w:rsidRPr="00BC1A70">
              <w:rPr>
                <w:rFonts w:eastAsia="Times New Roman"/>
                <w:color w:val="242424"/>
                <w:lang w:eastAsia="lt-LT"/>
              </w:rPr>
              <w:t> </w:t>
            </w:r>
            <w:r w:rsidR="00BC1A70" w:rsidRPr="00BC1A70">
              <w:rPr>
                <w:rFonts w:eastAsia="Times New Roman"/>
                <w:color w:val="242424"/>
                <w:lang w:eastAsia="lt-LT"/>
              </w:rPr>
              <w:t>Pirkimas vykdomas vadovaujantis Lietuvos Respublikos aplinkos ministro 2011 m. birželio 28 d. įsakymo Nr. D1-508 „Dėl Aplinkos apsaugos kriterijų taikymo, vykdant žaliuosius pirkimus, tvarkos aprašo patvirtinimo“ 4.4.3 papunkčiu (perkamos tik nematerialaus pobūdžio (intelektinės) ar kitokios paslaugos, nesusijusios su materialaus objekto sukūrimu, kurios teikimo metu nėra numatomas reikšmingas neigiamas poveikis aplinkai, nesukuriamas taršos šaltinis ir negeneruojamos atliekos).</w:t>
            </w:r>
            <w:r w:rsidR="00BC1A70">
              <w:rPr>
                <w:rFonts w:eastAsia="Times New Roman"/>
                <w:color w:val="242424"/>
                <w:lang w:eastAsia="lt-LT"/>
              </w:rPr>
              <w:t xml:space="preserve"> </w:t>
            </w:r>
          </w:p>
        </w:tc>
      </w:tr>
    </w:tbl>
    <w:p w14:paraId="6624E330" w14:textId="77777777" w:rsidR="00B911E2" w:rsidRPr="00FC2DB8" w:rsidRDefault="00B911E2" w:rsidP="00B911E2">
      <w:pPr>
        <w:pStyle w:val="ListParagraph"/>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Heading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1"/>
    <w:p w14:paraId="2CDCA190" w14:textId="52C01151" w:rsidR="00487318" w:rsidRDefault="00487318" w:rsidP="00ED11A9">
      <w:pPr>
        <w:pStyle w:val="paragraph"/>
        <w:tabs>
          <w:tab w:val="left" w:pos="426"/>
        </w:tabs>
        <w:spacing w:before="0" w:beforeAutospacing="0" w:after="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ED11A9">
      <w:pPr>
        <w:pStyle w:val="paragraph"/>
        <w:tabs>
          <w:tab w:val="left" w:pos="426"/>
        </w:tabs>
        <w:spacing w:before="0" w:beforeAutospacing="0" w:after="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0E20133E" w:rsidR="00487318" w:rsidRPr="00DB0EEF" w:rsidRDefault="00DB0EEF" w:rsidP="00ED11A9">
      <w:r>
        <w:t xml:space="preserve">2.3.  </w:t>
      </w:r>
      <w:r w:rsidR="00487318" w:rsidRPr="00DB0EEF">
        <w:t>Visi reikalavimai tiekėjų kvalifikacijai pateikiami žemiau</w:t>
      </w:r>
      <w:r w:rsidR="00D83E08">
        <w:t>.</w:t>
      </w:r>
      <w:r w:rsidR="00D83E08" w:rsidRPr="00D83E08">
        <w:t xml:space="preserve"> Kvalifikaciją patvirtinančius dokumentus bus prašoma pateikti iš galimo laimėtojo. </w:t>
      </w:r>
      <w:r w:rsidR="00D83E08">
        <w:t xml:space="preserve"> </w:t>
      </w:r>
      <w:r w:rsidR="00487318" w:rsidRPr="00DB0EEF">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5245"/>
      </w:tblGrid>
      <w:tr w:rsidR="00C65F9B" w:rsidRPr="00487318" w14:paraId="16A6BF47" w14:textId="77777777" w:rsidTr="00D9318B">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3686"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5245"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514A53">
        <w:trPr>
          <w:trHeight w:val="710"/>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3686"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5245" w:type="dxa"/>
          </w:tcPr>
          <w:p w14:paraId="669B5828" w14:textId="77777777" w:rsidR="0060065A" w:rsidRPr="00666D7A" w:rsidRDefault="0060065A" w:rsidP="0060065A">
            <w:pPr>
              <w:tabs>
                <w:tab w:val="left" w:pos="0"/>
              </w:tabs>
              <w:ind w:left="34" w:right="94" w:hanging="34"/>
              <w:jc w:val="both"/>
            </w:pPr>
            <w:r w:rsidRPr="00666D7A">
              <w:rPr>
                <w:color w:val="000000"/>
              </w:rPr>
              <w:t xml:space="preserve">Tiekėjas pateikia Valstybės įmonės Registrų centro Lietuvos Respublikos juridinių asmenų registro išplėstinio išrašo kopiją arba galiojantį kvalifikacijos atestatą arba atitinkamos užsienio šalies institucijos (profesinių ar veiklos tvarkytojų, valstybės įgaliotų </w:t>
            </w:r>
            <w:r w:rsidRPr="00666D7A">
              <w:t>institucijų pažymos, kaip yra nustatyta toje valstybėje, kurioje tiekėjas registruotas) ar kitus dokumentus (tiekėjo įstatai, patvirtinantys tiekėjo teisę verstis atitinkama veikla ir kt.).</w:t>
            </w:r>
          </w:p>
          <w:p w14:paraId="06918F68" w14:textId="7F8EEDC3" w:rsidR="0060065A" w:rsidRPr="0060065A" w:rsidRDefault="0060065A" w:rsidP="00D83E08">
            <w:pPr>
              <w:jc w:val="both"/>
              <w:rPr>
                <w:rFonts w:eastAsia="Times New Roman"/>
                <w:highlight w:val="red"/>
                <w:lang w:eastAsia="lt-LT"/>
              </w:rPr>
            </w:pPr>
            <w:r w:rsidRPr="00127827">
              <w:rPr>
                <w:i/>
                <w:iCs/>
                <w:u w:val="single"/>
              </w:rPr>
              <w:lastRenderedPageBreak/>
              <w:t>Pateikiamas skenuotas dokumentas elektroninėje formoje.</w:t>
            </w:r>
          </w:p>
        </w:tc>
      </w:tr>
    </w:tbl>
    <w:p w14:paraId="1ECCCF41" w14:textId="7E89D55D" w:rsidR="00346A9A" w:rsidRPr="00A92BD5" w:rsidRDefault="00E77F10" w:rsidP="00B4054C">
      <w:pPr>
        <w:pStyle w:val="paragraph"/>
        <w:numPr>
          <w:ilvl w:val="1"/>
          <w:numId w:val="20"/>
        </w:numPr>
        <w:tabs>
          <w:tab w:val="left" w:pos="426"/>
        </w:tabs>
        <w:spacing w:before="0" w:beforeAutospacing="0" w:after="120" w:afterAutospacing="0"/>
        <w:ind w:right="850"/>
        <w:jc w:val="both"/>
        <w:textAlignment w:val="baseline"/>
      </w:pPr>
      <w:r w:rsidRPr="00A92BD5">
        <w:rPr>
          <w:rStyle w:val="normaltextrun"/>
          <w:color w:val="000000"/>
        </w:rPr>
        <w:lastRenderedPageBreak/>
        <w:t xml:space="preserve"> </w:t>
      </w:r>
      <w:r w:rsidR="00346A9A" w:rsidRPr="00A92BD5">
        <w:rPr>
          <w:rStyle w:val="normaltextrun"/>
          <w:color w:val="000000"/>
        </w:rPr>
        <w:t xml:space="preserve">Jeigu tiekėjo kvalifikacija dėl teisės verstis atitinkama veikla nebuvo tikrinama arba tikrinama </w:t>
      </w:r>
      <w:r w:rsidR="00346A9A" w:rsidRPr="00A92BD5">
        <w:rPr>
          <w:rStyle w:val="normaltextrun"/>
        </w:rPr>
        <w:t>ne visa apimtimi, tiekėjas perkančiajai organizacijai įsipareigoja, kad pirkimo sutartį vykdys tik tokią teisę turintys asmenys.</w:t>
      </w:r>
      <w:r w:rsidR="00346A9A" w:rsidRPr="00A92BD5">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Heading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63C4B66C" w14:textId="0B098F89" w:rsidR="0037660A" w:rsidRPr="0037660A" w:rsidRDefault="00671345"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004D4C0B">
        <w:rPr>
          <w:color w:val="000000" w:themeColor="text1"/>
        </w:rPr>
        <w:t xml:space="preserve"> </w:t>
      </w:r>
      <w:r w:rsidR="009F6FCD" w:rsidRPr="009F6FCD">
        <w:rPr>
          <w:color w:val="000000" w:themeColor="text1"/>
        </w:rPr>
        <w:t xml:space="preserve">CVP IS priemonėmis į elektroninių pasiūlymų dėžutę. Pasiūlymo pateikimo terminas nurodytas CVP IS ir skelbime apie pirkimą.  </w:t>
      </w:r>
      <w:r w:rsidR="004D4C0B">
        <w:rPr>
          <w:color w:val="000000" w:themeColor="text1"/>
        </w:rPr>
        <w:t xml:space="preserve"> </w:t>
      </w:r>
      <w:r w:rsidRPr="0037660A">
        <w:rPr>
          <w:color w:val="000000" w:themeColor="text1"/>
        </w:rPr>
        <w:t xml:space="preserve"> </w:t>
      </w:r>
    </w:p>
    <w:p w14:paraId="72199DE3" w14:textId="77777777" w:rsidR="00D4642B"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ListParagraph"/>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5DDF708F" w:rsidR="00BF1721" w:rsidRPr="00A741AA" w:rsidRDefault="00BF1721" w:rsidP="00B4054C">
      <w:pPr>
        <w:pStyle w:val="ListParagraph"/>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FC2DB8">
        <w:rPr>
          <w:rStyle w:val="FootnoteReference"/>
          <w:color w:val="000000" w:themeColor="text1"/>
        </w:rPr>
        <w:footnoteReference w:id="3"/>
      </w:r>
      <w:r w:rsidRPr="00A741AA">
        <w:rPr>
          <w:color w:val="000000" w:themeColor="text1"/>
        </w:rPr>
        <w:t>.</w:t>
      </w:r>
    </w:p>
    <w:p w14:paraId="5342A6A1" w14:textId="503DB731" w:rsidR="00BF1721" w:rsidRPr="009F6FCD" w:rsidRDefault="009F6FCD" w:rsidP="009F6FCD">
      <w:pPr>
        <w:pStyle w:val="ListParagraph"/>
        <w:numPr>
          <w:ilvl w:val="1"/>
          <w:numId w:val="23"/>
        </w:numPr>
        <w:tabs>
          <w:tab w:val="left" w:pos="709"/>
        </w:tabs>
        <w:spacing w:after="120" w:line="276" w:lineRule="auto"/>
        <w:ind w:right="850"/>
        <w:jc w:val="both"/>
        <w:rPr>
          <w:color w:val="000000" w:themeColor="text1"/>
        </w:rPr>
      </w:pPr>
      <w:r>
        <w:rPr>
          <w:color w:val="000000" w:themeColor="text1"/>
        </w:rPr>
        <w:t xml:space="preserve"> </w:t>
      </w:r>
      <w:r w:rsidR="00BF1721" w:rsidRPr="009F6FCD">
        <w:rPr>
          <w:color w:val="000000" w:themeColor="text1"/>
        </w:rPr>
        <w:t>Pasiūlymo forma (su priedais) turi būti pateikiami lietuvių kalba.</w:t>
      </w:r>
    </w:p>
    <w:p w14:paraId="435EF940" w14:textId="6AA9B062" w:rsidR="009F6FCD" w:rsidRPr="009F6FCD" w:rsidRDefault="009F6FCD" w:rsidP="009F6FCD">
      <w:pPr>
        <w:pStyle w:val="ListParagraph"/>
        <w:numPr>
          <w:ilvl w:val="1"/>
          <w:numId w:val="23"/>
        </w:numPr>
        <w:jc w:val="both"/>
        <w:rPr>
          <w:color w:val="000000" w:themeColor="text1"/>
        </w:rPr>
      </w:pPr>
      <w:r w:rsidRPr="009F6FCD">
        <w:rPr>
          <w:color w:val="000000" w:themeColor="text1"/>
        </w:rPr>
        <w:t xml:space="preserve"> </w:t>
      </w:r>
      <w:r w:rsidR="00BF1721" w:rsidRPr="009F6FCD">
        <w:rPr>
          <w:color w:val="000000" w:themeColor="text1"/>
        </w:rPr>
        <w:t>Pasiūlymas ir jo priedai (kurių formose nurodoma, kad turi būti įgalioto asmens parašas) turi būti pasirašyti fiziniais įgalioto asmens parašais</w:t>
      </w:r>
      <w:r w:rsidRPr="009F6FCD">
        <w:t xml:space="preserve"> </w:t>
      </w:r>
      <w:r w:rsidRPr="009F6FCD">
        <w:rPr>
          <w:color w:val="000000" w:themeColor="text1"/>
        </w:rPr>
        <w:t>arba galiojančiu kvalifikuotu elektroniniu parašu. Jeigu dokumentų rinkinys pasirašytas galiojančiu kvalifikuotu elektroniniu parašu, nereikalaujama kiekvieno dokumento pasirašinėti atskirai.</w:t>
      </w:r>
    </w:p>
    <w:p w14:paraId="3EFF5B36" w14:textId="28012D90" w:rsidR="00BF1721" w:rsidRPr="009F6FCD" w:rsidRDefault="00BF1721" w:rsidP="009F6FCD">
      <w:pPr>
        <w:tabs>
          <w:tab w:val="left" w:pos="426"/>
        </w:tabs>
        <w:spacing w:after="120" w:line="276" w:lineRule="auto"/>
        <w:ind w:right="850"/>
        <w:jc w:val="both"/>
        <w:rPr>
          <w:color w:val="000000" w:themeColor="text1"/>
        </w:rPr>
      </w:pPr>
    </w:p>
    <w:p w14:paraId="659C38FD" w14:textId="77777777" w:rsidR="00B911E2" w:rsidRPr="00FC2DB8" w:rsidRDefault="00B911E2" w:rsidP="00A741AA">
      <w:pPr>
        <w:pStyle w:val="Heading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ListParagraph"/>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ListParagraph"/>
        <w:spacing w:line="276" w:lineRule="auto"/>
        <w:ind w:left="142" w:right="284" w:hanging="567"/>
        <w:jc w:val="both"/>
        <w:rPr>
          <w:color w:val="000000" w:themeColor="text1"/>
        </w:rPr>
      </w:pPr>
    </w:p>
    <w:p w14:paraId="14B1A975" w14:textId="09798083" w:rsidR="00B911E2" w:rsidRPr="00FC2DB8" w:rsidRDefault="00B911E2" w:rsidP="00A741AA">
      <w:pPr>
        <w:pStyle w:val="Heading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744C16AB" w14:textId="41D69113" w:rsidR="00B911E2" w:rsidRPr="001C702B" w:rsidRDefault="002E5CA9" w:rsidP="00B4054C">
      <w:pPr>
        <w:pStyle w:val="ListParagraph"/>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ListParagraph"/>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w:t>
      </w:r>
      <w:r w:rsidR="00065126" w:rsidRPr="00FA39DD">
        <w:rPr>
          <w:rStyle w:val="normaltextrun"/>
        </w:rPr>
        <w:lastRenderedPageBreak/>
        <w:t>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Heading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6" w:name="_Ref274738013"/>
      <w:bookmarkStart w:id="7"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3626CD97" w:rsidR="00B911E2" w:rsidRPr="00FC2DB8"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FC2DB8">
        <w:rPr>
          <w:color w:val="000000" w:themeColor="text1"/>
        </w:rPr>
        <w:t>Pasiūlymo forma</w:t>
      </w:r>
      <w:r w:rsidR="0037779F">
        <w:rPr>
          <w:color w:val="000000" w:themeColor="text1"/>
        </w:rPr>
        <w:t>.</w:t>
      </w:r>
      <w:bookmarkEnd w:id="6"/>
      <w:bookmarkEnd w:id="7"/>
    </w:p>
    <w:sectPr w:rsidR="00B911E2" w:rsidRPr="00FC2DB8"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26C8" w14:textId="77777777" w:rsidR="00DD1514" w:rsidRDefault="00DD1514" w:rsidP="00B911E2">
      <w:r>
        <w:separator/>
      </w:r>
    </w:p>
  </w:endnote>
  <w:endnote w:type="continuationSeparator" w:id="0">
    <w:p w14:paraId="14000D87" w14:textId="77777777" w:rsidR="00DD1514" w:rsidRDefault="00DD1514" w:rsidP="00B911E2">
      <w:r>
        <w:continuationSeparator/>
      </w:r>
    </w:p>
  </w:endnote>
  <w:endnote w:type="continuationNotice" w:id="1">
    <w:p w14:paraId="48CF5958" w14:textId="77777777" w:rsidR="00DD1514" w:rsidRDefault="00DD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6962" w14:textId="77777777" w:rsidR="00DD1514" w:rsidRDefault="00DD1514" w:rsidP="00B911E2">
      <w:r>
        <w:separator/>
      </w:r>
    </w:p>
  </w:footnote>
  <w:footnote w:type="continuationSeparator" w:id="0">
    <w:p w14:paraId="6960D16B" w14:textId="77777777" w:rsidR="00DD1514" w:rsidRDefault="00DD1514" w:rsidP="00B911E2">
      <w:r>
        <w:continuationSeparator/>
      </w:r>
    </w:p>
  </w:footnote>
  <w:footnote w:type="continuationNotice" w:id="1">
    <w:p w14:paraId="67DEC41E" w14:textId="77777777" w:rsidR="00DD1514" w:rsidRDefault="00DD1514"/>
  </w:footnote>
  <w:footnote w:id="2">
    <w:p w14:paraId="539829A8" w14:textId="77777777" w:rsidR="00B911E2" w:rsidRDefault="00B911E2" w:rsidP="00B4054C">
      <w:pPr>
        <w:ind w:right="850"/>
        <w:jc w:val="both"/>
        <w:rPr>
          <w:sz w:val="20"/>
          <w:szCs w:val="20"/>
        </w:rPr>
      </w:pPr>
      <w:r>
        <w:rPr>
          <w:rStyle w:val="FootnoteReference"/>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FootnoteText"/>
        <w:ind w:right="850"/>
      </w:pPr>
    </w:p>
  </w:footnote>
  <w:footnote w:id="3">
    <w:p w14:paraId="6CA69746" w14:textId="77777777" w:rsidR="00BF1721" w:rsidRPr="00490CCB" w:rsidRDefault="00BF1721" w:rsidP="00B4054C">
      <w:pPr>
        <w:pStyle w:val="FootnoteText"/>
        <w:ind w:right="850"/>
        <w:jc w:val="both"/>
        <w:rPr>
          <w:rFonts w:ascii="Trebuchet MS" w:hAnsi="Trebuchet MS" w:cs="Arial"/>
          <w:sz w:val="16"/>
          <w:szCs w:val="16"/>
          <w:lang w:val="lt-LT"/>
        </w:rPr>
      </w:pPr>
      <w:r>
        <w:rPr>
          <w:rStyle w:val="FootnoteReference"/>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Pr="00403A27" w:rsidRDefault="00BF1721" w:rsidP="00B4054C">
      <w:pPr>
        <w:pStyle w:val="FootnoteText"/>
        <w:ind w:right="850"/>
        <w:jc w:val="both"/>
        <w:rPr>
          <w:rFonts w:ascii="Trebuchet MS" w:hAnsi="Trebuchet MS" w:cs="Arial"/>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8368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139843">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21403">
    <w:abstractNumId w:val="22"/>
  </w:num>
  <w:num w:numId="4" w16cid:durableId="118385924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228398">
    <w:abstractNumId w:val="19"/>
  </w:num>
  <w:num w:numId="6" w16cid:durableId="2036151549">
    <w:abstractNumId w:val="13"/>
  </w:num>
  <w:num w:numId="7" w16cid:durableId="29378934">
    <w:abstractNumId w:val="18"/>
  </w:num>
  <w:num w:numId="8" w16cid:durableId="1856384153">
    <w:abstractNumId w:val="20"/>
  </w:num>
  <w:num w:numId="9" w16cid:durableId="1927642006">
    <w:abstractNumId w:val="14"/>
  </w:num>
  <w:num w:numId="10" w16cid:durableId="1360474276">
    <w:abstractNumId w:val="15"/>
  </w:num>
  <w:num w:numId="11" w16cid:durableId="665937589">
    <w:abstractNumId w:val="1"/>
  </w:num>
  <w:num w:numId="12" w16cid:durableId="1045838729">
    <w:abstractNumId w:val="8"/>
  </w:num>
  <w:num w:numId="13" w16cid:durableId="222833643">
    <w:abstractNumId w:val="4"/>
  </w:num>
  <w:num w:numId="14" w16cid:durableId="1987510504">
    <w:abstractNumId w:val="9"/>
  </w:num>
  <w:num w:numId="15" w16cid:durableId="1082141486">
    <w:abstractNumId w:val="10"/>
  </w:num>
  <w:num w:numId="16" w16cid:durableId="1450272772">
    <w:abstractNumId w:val="5"/>
  </w:num>
  <w:num w:numId="17" w16cid:durableId="1449004133">
    <w:abstractNumId w:val="16"/>
  </w:num>
  <w:num w:numId="18" w16cid:durableId="963729083">
    <w:abstractNumId w:val="7"/>
  </w:num>
  <w:num w:numId="19" w16cid:durableId="1430008256">
    <w:abstractNumId w:val="0"/>
  </w:num>
  <w:num w:numId="20" w16cid:durableId="98792670">
    <w:abstractNumId w:val="11"/>
  </w:num>
  <w:num w:numId="21" w16cid:durableId="1835562932">
    <w:abstractNumId w:val="6"/>
  </w:num>
  <w:num w:numId="22" w16cid:durableId="603658741">
    <w:abstractNumId w:val="3"/>
  </w:num>
  <w:num w:numId="23" w16cid:durableId="234097309">
    <w:abstractNumId w:val="2"/>
  </w:num>
  <w:num w:numId="24" w16cid:durableId="1603606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2"/>
    <w:rsid w:val="000002A2"/>
    <w:rsid w:val="00006BE9"/>
    <w:rsid w:val="000076EE"/>
    <w:rsid w:val="00030F46"/>
    <w:rsid w:val="000340FC"/>
    <w:rsid w:val="0004370C"/>
    <w:rsid w:val="0004461E"/>
    <w:rsid w:val="00051433"/>
    <w:rsid w:val="00055876"/>
    <w:rsid w:val="00065126"/>
    <w:rsid w:val="00070D3D"/>
    <w:rsid w:val="00073917"/>
    <w:rsid w:val="00083FF9"/>
    <w:rsid w:val="000878E2"/>
    <w:rsid w:val="000A35F9"/>
    <w:rsid w:val="000B2D8E"/>
    <w:rsid w:val="000D53A8"/>
    <w:rsid w:val="000D7FC1"/>
    <w:rsid w:val="000E42E4"/>
    <w:rsid w:val="000F0AEF"/>
    <w:rsid w:val="000F2019"/>
    <w:rsid w:val="00105014"/>
    <w:rsid w:val="00106909"/>
    <w:rsid w:val="001103E8"/>
    <w:rsid w:val="00123650"/>
    <w:rsid w:val="00127827"/>
    <w:rsid w:val="00146094"/>
    <w:rsid w:val="001574D0"/>
    <w:rsid w:val="0016180D"/>
    <w:rsid w:val="00164676"/>
    <w:rsid w:val="00167925"/>
    <w:rsid w:val="001908C8"/>
    <w:rsid w:val="00194BE5"/>
    <w:rsid w:val="00197AFD"/>
    <w:rsid w:val="001B2975"/>
    <w:rsid w:val="001B2D0C"/>
    <w:rsid w:val="001B68FE"/>
    <w:rsid w:val="001C2F39"/>
    <w:rsid w:val="001C702B"/>
    <w:rsid w:val="001E794D"/>
    <w:rsid w:val="001F1F99"/>
    <w:rsid w:val="001F6A20"/>
    <w:rsid w:val="00201121"/>
    <w:rsid w:val="0020669D"/>
    <w:rsid w:val="0021557F"/>
    <w:rsid w:val="002318F5"/>
    <w:rsid w:val="002601EA"/>
    <w:rsid w:val="00271BA9"/>
    <w:rsid w:val="002819F9"/>
    <w:rsid w:val="00295E2C"/>
    <w:rsid w:val="002A15E2"/>
    <w:rsid w:val="002C29EA"/>
    <w:rsid w:val="002C5F25"/>
    <w:rsid w:val="002D08D4"/>
    <w:rsid w:val="002D13C8"/>
    <w:rsid w:val="002E5CA9"/>
    <w:rsid w:val="002E7E0B"/>
    <w:rsid w:val="002F24C9"/>
    <w:rsid w:val="002F71AC"/>
    <w:rsid w:val="00306D34"/>
    <w:rsid w:val="00315253"/>
    <w:rsid w:val="00326E3E"/>
    <w:rsid w:val="003309AF"/>
    <w:rsid w:val="00346A9A"/>
    <w:rsid w:val="00355B35"/>
    <w:rsid w:val="003737BB"/>
    <w:rsid w:val="0037660A"/>
    <w:rsid w:val="0037779F"/>
    <w:rsid w:val="00396F39"/>
    <w:rsid w:val="003A02FB"/>
    <w:rsid w:val="003A79A0"/>
    <w:rsid w:val="003B7F2B"/>
    <w:rsid w:val="003E646C"/>
    <w:rsid w:val="003F0855"/>
    <w:rsid w:val="003F5708"/>
    <w:rsid w:val="00403A07"/>
    <w:rsid w:val="00403A27"/>
    <w:rsid w:val="00407CC4"/>
    <w:rsid w:val="004105AC"/>
    <w:rsid w:val="00413CF6"/>
    <w:rsid w:val="00454F87"/>
    <w:rsid w:val="0045589C"/>
    <w:rsid w:val="00472B22"/>
    <w:rsid w:val="00484056"/>
    <w:rsid w:val="00487318"/>
    <w:rsid w:val="00490294"/>
    <w:rsid w:val="00490CCB"/>
    <w:rsid w:val="004B2558"/>
    <w:rsid w:val="004D3118"/>
    <w:rsid w:val="004D4073"/>
    <w:rsid w:val="004D4C0B"/>
    <w:rsid w:val="004E16F9"/>
    <w:rsid w:val="004E38FC"/>
    <w:rsid w:val="004E3A85"/>
    <w:rsid w:val="004E7B5C"/>
    <w:rsid w:val="00511782"/>
    <w:rsid w:val="00514A53"/>
    <w:rsid w:val="00515030"/>
    <w:rsid w:val="00516178"/>
    <w:rsid w:val="005237D7"/>
    <w:rsid w:val="005329C6"/>
    <w:rsid w:val="00534D67"/>
    <w:rsid w:val="005365AC"/>
    <w:rsid w:val="005454B9"/>
    <w:rsid w:val="00546B2C"/>
    <w:rsid w:val="00547178"/>
    <w:rsid w:val="00554673"/>
    <w:rsid w:val="00554BCC"/>
    <w:rsid w:val="00556D01"/>
    <w:rsid w:val="005570DF"/>
    <w:rsid w:val="00563CF5"/>
    <w:rsid w:val="005A20C2"/>
    <w:rsid w:val="005A74B0"/>
    <w:rsid w:val="005B6D0A"/>
    <w:rsid w:val="005E5681"/>
    <w:rsid w:val="005E5F93"/>
    <w:rsid w:val="005F20BB"/>
    <w:rsid w:val="0060065A"/>
    <w:rsid w:val="00603AF8"/>
    <w:rsid w:val="006273D0"/>
    <w:rsid w:val="00633D39"/>
    <w:rsid w:val="006360F4"/>
    <w:rsid w:val="0064495F"/>
    <w:rsid w:val="00647C7C"/>
    <w:rsid w:val="00664D38"/>
    <w:rsid w:val="00671345"/>
    <w:rsid w:val="0067318B"/>
    <w:rsid w:val="0067434B"/>
    <w:rsid w:val="00677091"/>
    <w:rsid w:val="006A1001"/>
    <w:rsid w:val="006A469A"/>
    <w:rsid w:val="006B45F5"/>
    <w:rsid w:val="006B63EE"/>
    <w:rsid w:val="006F44EE"/>
    <w:rsid w:val="007129D1"/>
    <w:rsid w:val="007229EF"/>
    <w:rsid w:val="00731EDD"/>
    <w:rsid w:val="007339E4"/>
    <w:rsid w:val="00733F36"/>
    <w:rsid w:val="00740161"/>
    <w:rsid w:val="007414FB"/>
    <w:rsid w:val="0075573F"/>
    <w:rsid w:val="00756448"/>
    <w:rsid w:val="00767D89"/>
    <w:rsid w:val="00782A01"/>
    <w:rsid w:val="007940B8"/>
    <w:rsid w:val="007A24E3"/>
    <w:rsid w:val="007C2F37"/>
    <w:rsid w:val="007D11E1"/>
    <w:rsid w:val="007D475A"/>
    <w:rsid w:val="007E219C"/>
    <w:rsid w:val="007E30DF"/>
    <w:rsid w:val="007F1EFD"/>
    <w:rsid w:val="00802162"/>
    <w:rsid w:val="00813401"/>
    <w:rsid w:val="00822E36"/>
    <w:rsid w:val="00827616"/>
    <w:rsid w:val="008311B8"/>
    <w:rsid w:val="00840553"/>
    <w:rsid w:val="0085277B"/>
    <w:rsid w:val="00860272"/>
    <w:rsid w:val="008762DE"/>
    <w:rsid w:val="00891A95"/>
    <w:rsid w:val="00894783"/>
    <w:rsid w:val="0089723A"/>
    <w:rsid w:val="008A1267"/>
    <w:rsid w:val="008A4C2C"/>
    <w:rsid w:val="008A59BF"/>
    <w:rsid w:val="008A7D9A"/>
    <w:rsid w:val="008B3CA5"/>
    <w:rsid w:val="008B4D00"/>
    <w:rsid w:val="008C530E"/>
    <w:rsid w:val="008F31B9"/>
    <w:rsid w:val="00903F1B"/>
    <w:rsid w:val="00940832"/>
    <w:rsid w:val="00943887"/>
    <w:rsid w:val="00955B3F"/>
    <w:rsid w:val="00956A4E"/>
    <w:rsid w:val="009678E2"/>
    <w:rsid w:val="00970883"/>
    <w:rsid w:val="00977B54"/>
    <w:rsid w:val="00977DD3"/>
    <w:rsid w:val="00981116"/>
    <w:rsid w:val="00985640"/>
    <w:rsid w:val="009A054F"/>
    <w:rsid w:val="009A69DC"/>
    <w:rsid w:val="009C0A11"/>
    <w:rsid w:val="009C466E"/>
    <w:rsid w:val="009C6D9B"/>
    <w:rsid w:val="009D17E2"/>
    <w:rsid w:val="009D70E5"/>
    <w:rsid w:val="009E4AE6"/>
    <w:rsid w:val="009E75F0"/>
    <w:rsid w:val="009F2833"/>
    <w:rsid w:val="009F6FCD"/>
    <w:rsid w:val="00A00D49"/>
    <w:rsid w:val="00A02D8C"/>
    <w:rsid w:val="00A14D14"/>
    <w:rsid w:val="00A34FE5"/>
    <w:rsid w:val="00A45B01"/>
    <w:rsid w:val="00A5143A"/>
    <w:rsid w:val="00A741AA"/>
    <w:rsid w:val="00A92BD5"/>
    <w:rsid w:val="00AB0804"/>
    <w:rsid w:val="00AB6D06"/>
    <w:rsid w:val="00AC302C"/>
    <w:rsid w:val="00AC5246"/>
    <w:rsid w:val="00AF61F1"/>
    <w:rsid w:val="00B06293"/>
    <w:rsid w:val="00B122DB"/>
    <w:rsid w:val="00B33B9A"/>
    <w:rsid w:val="00B4054C"/>
    <w:rsid w:val="00B41D5E"/>
    <w:rsid w:val="00B43005"/>
    <w:rsid w:val="00B433B7"/>
    <w:rsid w:val="00B50196"/>
    <w:rsid w:val="00B54FE1"/>
    <w:rsid w:val="00B707DA"/>
    <w:rsid w:val="00B7108A"/>
    <w:rsid w:val="00B82B01"/>
    <w:rsid w:val="00B843AE"/>
    <w:rsid w:val="00B911E2"/>
    <w:rsid w:val="00BB1DBE"/>
    <w:rsid w:val="00BB3906"/>
    <w:rsid w:val="00BB3C01"/>
    <w:rsid w:val="00BC1A70"/>
    <w:rsid w:val="00BC71DB"/>
    <w:rsid w:val="00BD47C8"/>
    <w:rsid w:val="00BE2D57"/>
    <w:rsid w:val="00BE373B"/>
    <w:rsid w:val="00BE5F54"/>
    <w:rsid w:val="00BF0FCA"/>
    <w:rsid w:val="00BF1721"/>
    <w:rsid w:val="00BF7C7F"/>
    <w:rsid w:val="00C028F2"/>
    <w:rsid w:val="00C14E1B"/>
    <w:rsid w:val="00C3593E"/>
    <w:rsid w:val="00C55815"/>
    <w:rsid w:val="00C65F9B"/>
    <w:rsid w:val="00C66E44"/>
    <w:rsid w:val="00C95481"/>
    <w:rsid w:val="00C964B7"/>
    <w:rsid w:val="00CA160F"/>
    <w:rsid w:val="00CD3D13"/>
    <w:rsid w:val="00CF2971"/>
    <w:rsid w:val="00CF511F"/>
    <w:rsid w:val="00D01D0B"/>
    <w:rsid w:val="00D14138"/>
    <w:rsid w:val="00D256A8"/>
    <w:rsid w:val="00D30008"/>
    <w:rsid w:val="00D302DA"/>
    <w:rsid w:val="00D41235"/>
    <w:rsid w:val="00D4642B"/>
    <w:rsid w:val="00D54DAB"/>
    <w:rsid w:val="00D72A65"/>
    <w:rsid w:val="00D772A6"/>
    <w:rsid w:val="00D83E08"/>
    <w:rsid w:val="00D92FBC"/>
    <w:rsid w:val="00D9318B"/>
    <w:rsid w:val="00DA570C"/>
    <w:rsid w:val="00DB0EEF"/>
    <w:rsid w:val="00DC07F1"/>
    <w:rsid w:val="00DC3996"/>
    <w:rsid w:val="00DD1514"/>
    <w:rsid w:val="00DD2402"/>
    <w:rsid w:val="00DD4C2A"/>
    <w:rsid w:val="00DE78E8"/>
    <w:rsid w:val="00DF293F"/>
    <w:rsid w:val="00DF3458"/>
    <w:rsid w:val="00DF34D1"/>
    <w:rsid w:val="00DF6E87"/>
    <w:rsid w:val="00E0218B"/>
    <w:rsid w:val="00E110CB"/>
    <w:rsid w:val="00E157E3"/>
    <w:rsid w:val="00E20A1F"/>
    <w:rsid w:val="00E57B2F"/>
    <w:rsid w:val="00E6036F"/>
    <w:rsid w:val="00E620B8"/>
    <w:rsid w:val="00E77F10"/>
    <w:rsid w:val="00E926F1"/>
    <w:rsid w:val="00EB044F"/>
    <w:rsid w:val="00EB11E7"/>
    <w:rsid w:val="00EC55F8"/>
    <w:rsid w:val="00EC7CCA"/>
    <w:rsid w:val="00ED11A9"/>
    <w:rsid w:val="00EF0A40"/>
    <w:rsid w:val="00F04EA5"/>
    <w:rsid w:val="00F05BFC"/>
    <w:rsid w:val="00F100F6"/>
    <w:rsid w:val="00F11EDC"/>
    <w:rsid w:val="00F15D75"/>
    <w:rsid w:val="00F17B5B"/>
    <w:rsid w:val="00F318AC"/>
    <w:rsid w:val="00F50FDD"/>
    <w:rsid w:val="00F513D8"/>
    <w:rsid w:val="00F54734"/>
    <w:rsid w:val="00F75C33"/>
    <w:rsid w:val="00FA39DD"/>
    <w:rsid w:val="00FC2DB8"/>
    <w:rsid w:val="00FE7F60"/>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2"/>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1E2"/>
    <w:rPr>
      <w:rFonts w:ascii="Arial" w:eastAsia="Arial" w:hAnsi="Arial" w:cs="Arial"/>
      <w:b/>
      <w:bCs/>
      <w:sz w:val="20"/>
      <w:szCs w:val="20"/>
      <w:lang w:val="en-US"/>
    </w:rPr>
  </w:style>
  <w:style w:type="paragraph" w:styleId="FootnoteText">
    <w:name w:val="footnote text"/>
    <w:basedOn w:val="Normal"/>
    <w:link w:val="FootnoteTextChar"/>
    <w:rsid w:val="00B911E2"/>
    <w:rPr>
      <w:rFonts w:eastAsia="Times New Roman"/>
      <w:sz w:val="20"/>
      <w:szCs w:val="20"/>
      <w:lang w:val="en-US" w:eastAsia="en-US"/>
    </w:rPr>
  </w:style>
  <w:style w:type="character" w:customStyle="1" w:styleId="FootnoteTextChar">
    <w:name w:val="Footnote Text Char"/>
    <w:basedOn w:val="DefaultParagraphFont"/>
    <w:link w:val="FootnoteText"/>
    <w:rsid w:val="00B911E2"/>
    <w:rPr>
      <w:rFonts w:ascii="Times New Roman" w:eastAsia="Times New Roman" w:hAnsi="Times New Roman"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B911E2"/>
    <w:pPr>
      <w:ind w:left="720"/>
      <w:contextualSpacing/>
    </w:pPr>
  </w:style>
  <w:style w:type="table" w:styleId="TableGrid">
    <w:name w:val="Table Grid"/>
    <w:basedOn w:val="TableNorma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911E2"/>
    <w:rPr>
      <w:rFonts w:eastAsia="Times New Roman"/>
      <w:u w:val="single"/>
      <w:lang w:val="en-US" w:eastAsia="en-US"/>
    </w:rPr>
  </w:style>
  <w:style w:type="character" w:customStyle="1" w:styleId="SubtitleChar">
    <w:name w:val="Subtitle Char"/>
    <w:basedOn w:val="DefaultParagraphFont"/>
    <w:link w:val="Subtitle"/>
    <w:uiPriority w:val="99"/>
    <w:rsid w:val="00B911E2"/>
    <w:rPr>
      <w:rFonts w:ascii="Times New Roman" w:eastAsia="Times New Roman" w:hAnsi="Times New Roman" w:cs="Times New Roman"/>
      <w:sz w:val="24"/>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Normal"/>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FootnoteReference">
    <w:name w:val="footnote reference"/>
    <w:basedOn w:val="DefaultParagraphFont"/>
    <w:uiPriority w:val="99"/>
    <w:semiHidden/>
    <w:unhideWhenUsed/>
    <w:rsid w:val="00B911E2"/>
    <w:rPr>
      <w:vertAlign w:val="superscript"/>
    </w:rPr>
  </w:style>
  <w:style w:type="character" w:customStyle="1" w:styleId="Style3">
    <w:name w:val="Style3"/>
    <w:basedOn w:val="DefaultParagraphFont"/>
    <w:uiPriority w:val="1"/>
    <w:rsid w:val="00B911E2"/>
    <w:rPr>
      <w:rFonts w:ascii="Trebuchet MS" w:hAnsi="Trebuchet MS" w:hint="default"/>
    </w:rPr>
  </w:style>
  <w:style w:type="character" w:customStyle="1" w:styleId="Style4">
    <w:name w:val="Style4"/>
    <w:basedOn w:val="DefaultParagraphFont"/>
    <w:uiPriority w:val="1"/>
    <w:rsid w:val="00B911E2"/>
    <w:rPr>
      <w:i w:val="0"/>
      <w:iCs w:val="0"/>
    </w:rPr>
  </w:style>
  <w:style w:type="character" w:styleId="Hyperlink">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semiHidden/>
    <w:locked/>
    <w:rsid w:val="00B911E2"/>
  </w:style>
  <w:style w:type="paragraph" w:styleId="BodyText">
    <w:name w:val="Body Text"/>
    <w:aliases w:val="Char Char,Char,Char Char Char Diagrama Diagrama Diagrama Diagrama Diagrama,Char Char Char Diagrama Diagrama Diagrama Diagrama Diagrama Diagrama Diagrama Diagrama Diagrama Diagrama,body text,contents,bt,b,Char Ch,Cha"/>
    <w:basedOn w:val="Normal"/>
    <w:link w:val="BodyTextChar"/>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DefaultParagraphFont"/>
    <w:uiPriority w:val="99"/>
    <w:semiHidden/>
    <w:rsid w:val="00B911E2"/>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B911E2"/>
    <w:rPr>
      <w:rFonts w:ascii="Times New Roman" w:hAnsi="Times New Roman" w:cs="Times New Roman" w:hint="default"/>
    </w:rPr>
  </w:style>
  <w:style w:type="paragraph" w:styleId="BalloonText">
    <w:name w:val="Balloon Text"/>
    <w:basedOn w:val="Normal"/>
    <w:link w:val="BalloonTextChar"/>
    <w:uiPriority w:val="99"/>
    <w:semiHidden/>
    <w:unhideWhenUsed/>
    <w:rsid w:val="00782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01"/>
    <w:rPr>
      <w:rFonts w:ascii="Segoe UI" w:eastAsia="SimSun" w:hAnsi="Segoe UI" w:cs="Segoe UI"/>
      <w:sz w:val="18"/>
      <w:szCs w:val="18"/>
      <w:lang w:eastAsia="zh-CN"/>
    </w:rPr>
  </w:style>
  <w:style w:type="paragraph" w:customStyle="1" w:styleId="paragraph">
    <w:name w:val="paragraph"/>
    <w:basedOn w:val="Normal"/>
    <w:rsid w:val="009C0A11"/>
    <w:pPr>
      <w:spacing w:before="100" w:beforeAutospacing="1" w:after="100" w:afterAutospacing="1"/>
    </w:pPr>
    <w:rPr>
      <w:rFonts w:eastAsia="Times New Roman"/>
      <w:lang w:eastAsia="lt-LT"/>
    </w:rPr>
  </w:style>
  <w:style w:type="character" w:customStyle="1" w:styleId="normaltextrun">
    <w:name w:val="normaltextrun"/>
    <w:basedOn w:val="DefaultParagraphFont"/>
    <w:rsid w:val="009C0A11"/>
  </w:style>
  <w:style w:type="character" w:customStyle="1" w:styleId="eop">
    <w:name w:val="eop"/>
    <w:basedOn w:val="DefaultParagraphFont"/>
    <w:rsid w:val="009C0A11"/>
  </w:style>
  <w:style w:type="character" w:customStyle="1" w:styleId="spellingerror">
    <w:name w:val="spellingerror"/>
    <w:basedOn w:val="DefaultParagraphFont"/>
    <w:rsid w:val="009C0A11"/>
  </w:style>
  <w:style w:type="paragraph" w:styleId="Header">
    <w:name w:val="header"/>
    <w:basedOn w:val="Normal"/>
    <w:link w:val="HeaderChar"/>
    <w:uiPriority w:val="99"/>
    <w:semiHidden/>
    <w:unhideWhenUsed/>
    <w:rsid w:val="002D13C8"/>
    <w:pPr>
      <w:tabs>
        <w:tab w:val="center" w:pos="4819"/>
        <w:tab w:val="right" w:pos="9638"/>
      </w:tabs>
    </w:pPr>
  </w:style>
  <w:style w:type="character" w:customStyle="1" w:styleId="HeaderChar">
    <w:name w:val="Header Char"/>
    <w:basedOn w:val="DefaultParagraphFont"/>
    <w:link w:val="Header"/>
    <w:uiPriority w:val="99"/>
    <w:semiHidden/>
    <w:rsid w:val="002D13C8"/>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2D13C8"/>
    <w:pPr>
      <w:tabs>
        <w:tab w:val="center" w:pos="4819"/>
        <w:tab w:val="right" w:pos="9638"/>
      </w:tabs>
    </w:pPr>
  </w:style>
  <w:style w:type="character" w:customStyle="1" w:styleId="FooterChar">
    <w:name w:val="Footer Char"/>
    <w:basedOn w:val="DefaultParagraphFont"/>
    <w:link w:val="Footer"/>
    <w:uiPriority w:val="99"/>
    <w:semiHidden/>
    <w:rsid w:val="002D13C8"/>
    <w:rPr>
      <w:rFonts w:ascii="Times New Roman" w:eastAsia="SimSun" w:hAnsi="Times New Roman" w:cs="Times New Roman"/>
      <w:sz w:val="24"/>
      <w:szCs w:val="24"/>
      <w:lang w:eastAsia="zh-CN"/>
    </w:rPr>
  </w:style>
  <w:style w:type="paragraph" w:styleId="BodyTextIndent2">
    <w:name w:val="Body Text Indent 2"/>
    <w:basedOn w:val="Normal"/>
    <w:link w:val="BodyTextIndent2Char"/>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BodyTextIndent2Char">
    <w:name w:val="Body Text Indent 2 Char"/>
    <w:basedOn w:val="DefaultParagraphFont"/>
    <w:link w:val="BodyTextIndent2"/>
    <w:uiPriority w:val="99"/>
    <w:rsid w:val="00FC2DB8"/>
    <w:rPr>
      <w:rFonts w:eastAsia="Times New Roman" w:cs="Times New Roman"/>
      <w:color w:val="FF0000"/>
      <w:szCs w:val="20"/>
      <w:lang w:val="en-GB"/>
    </w:rPr>
  </w:style>
  <w:style w:type="character" w:customStyle="1" w:styleId="tabchar">
    <w:name w:val="tabchar"/>
    <w:basedOn w:val="DefaultParagraphFont"/>
    <w:rsid w:val="0048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PlaceholderText"/>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PlaceholderText"/>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PlaceholderText"/>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PlaceholderText"/>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PlaceholderText"/>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PlaceholderText"/>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1"/>
    <w:rsid w:val="00000B99"/>
    <w:rsid w:val="00100ADE"/>
    <w:rsid w:val="00107147"/>
    <w:rsid w:val="001362E0"/>
    <w:rsid w:val="001C2D2B"/>
    <w:rsid w:val="001C5868"/>
    <w:rsid w:val="001C7CD7"/>
    <w:rsid w:val="00257F5B"/>
    <w:rsid w:val="002968A1"/>
    <w:rsid w:val="002D5519"/>
    <w:rsid w:val="003E419D"/>
    <w:rsid w:val="0041615B"/>
    <w:rsid w:val="0042315B"/>
    <w:rsid w:val="0053267F"/>
    <w:rsid w:val="00580D02"/>
    <w:rsid w:val="005B777D"/>
    <w:rsid w:val="005F4C04"/>
    <w:rsid w:val="006827E4"/>
    <w:rsid w:val="006E5BA1"/>
    <w:rsid w:val="00731FBE"/>
    <w:rsid w:val="00741288"/>
    <w:rsid w:val="00773616"/>
    <w:rsid w:val="007C4FC2"/>
    <w:rsid w:val="00962E80"/>
    <w:rsid w:val="009E4AE6"/>
    <w:rsid w:val="00A54634"/>
    <w:rsid w:val="00A77CBE"/>
    <w:rsid w:val="00B050A1"/>
    <w:rsid w:val="00B54742"/>
    <w:rsid w:val="00BF68C6"/>
    <w:rsid w:val="00C028F2"/>
    <w:rsid w:val="00C62E84"/>
    <w:rsid w:val="00D1353F"/>
    <w:rsid w:val="00D952D3"/>
    <w:rsid w:val="00E238D6"/>
    <w:rsid w:val="00E73824"/>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99BD-58BA-4AD6-97AE-DE7E709A2418}">
  <ds:schemaRefs>
    <ds:schemaRef ds:uri="http://schemas.microsoft.com/sharepoint/v3/contenttype/forms"/>
  </ds:schemaRefs>
</ds:datastoreItem>
</file>

<file path=customXml/itemProps3.xml><?xml version="1.0" encoding="utf-8"?>
<ds:datastoreItem xmlns:ds="http://schemas.openxmlformats.org/officeDocument/2006/customXml" ds:itemID="{A9EA2A74-680C-41B5-A3D0-33933C0959BA}">
  <ds:schemaRefs>
    <ds:schemaRef ds:uri="http://schemas.openxmlformats.org/officeDocument/2006/bibliography"/>
  </ds:schemaRefs>
</ds:datastoreItem>
</file>

<file path=customXml/itemProps4.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1039</Words>
  <Characters>5924</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Marina Sedleckienė</cp:lastModifiedBy>
  <cp:revision>48</cp:revision>
  <dcterms:created xsi:type="dcterms:W3CDTF">2025-01-23T11:35:00Z</dcterms:created>
  <dcterms:modified xsi:type="dcterms:W3CDTF">2025-05-08T10:37:00Z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