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1BA6" w14:textId="42B13031" w:rsidR="00796890" w:rsidRDefault="004A7B2B" w:rsidP="00796890">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drawing>
          <wp:inline distT="0" distB="0" distL="0" distR="0" wp14:anchorId="02AF8E40" wp14:editId="63CA06E0">
            <wp:extent cx="466725" cy="542925"/>
            <wp:effectExtent l="0" t="0" r="9525" b="9525"/>
            <wp:docPr id="10128937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pic:spPr>
                </pic:pic>
              </a:graphicData>
            </a:graphic>
          </wp:inline>
        </w:drawing>
      </w:r>
    </w:p>
    <w:p w14:paraId="0BBD650F" w14:textId="59B7C289" w:rsidR="00796890" w:rsidRPr="00796890" w:rsidRDefault="00796890" w:rsidP="00796890">
      <w:pPr>
        <w:pStyle w:val="Default"/>
        <w:jc w:val="both"/>
        <w:rPr>
          <w:rFonts w:ascii="Times New Roman" w:hAnsi="Times New Roman" w:cs="Times New Roman"/>
          <w:b/>
          <w:bCs/>
          <w:noProof/>
          <w:color w:val="000000" w:themeColor="text1"/>
          <w:lang w:eastAsia="lt-LT"/>
        </w:rPr>
      </w:pPr>
      <w:r w:rsidRPr="00796890">
        <w:rPr>
          <w:rFonts w:ascii="Times New Roman" w:hAnsi="Times New Roman" w:cs="Times New Roman"/>
          <w:b/>
          <w:bCs/>
          <w:noProof/>
          <w:color w:val="000000" w:themeColor="text1"/>
          <w:lang w:eastAsia="lt-LT"/>
        </w:rPr>
        <w:t>VALSTYBINĖ AUGALININKYSTĖS TARNYBA PRIE ŽEMĖS ŪKIO MINISTERIJOS</w:t>
      </w:r>
    </w:p>
    <w:p w14:paraId="48113478" w14:textId="77777777" w:rsidR="00796890" w:rsidRDefault="00796890" w:rsidP="00796890">
      <w:pPr>
        <w:pStyle w:val="Default"/>
        <w:jc w:val="center"/>
        <w:rPr>
          <w:rFonts w:ascii="Times New Roman" w:hAnsi="Times New Roman" w:cs="Times New Roman"/>
          <w:noProof/>
          <w:color w:val="000000" w:themeColor="text1"/>
          <w:sz w:val="18"/>
          <w:szCs w:val="18"/>
          <w:lang w:eastAsia="lt-LT"/>
        </w:rPr>
      </w:pPr>
    </w:p>
    <w:p w14:paraId="7BDA9682" w14:textId="79AEF59B"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Biudžetinė įstaiga, Ozo g. 4A, 08200 Vilnius,</w:t>
      </w:r>
    </w:p>
    <w:p w14:paraId="0BCD03EC"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tel. +370 5 237 5631, faksas +370 5 273 0233, el. p. info@vatzum.lt, https://vatzum.lrv.lt.</w:t>
      </w:r>
    </w:p>
    <w:p w14:paraId="531C309A"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Duomenys kaupiami ir saugomi Juridinių asmenų registre, kodas 302526112.</w:t>
      </w:r>
    </w:p>
    <w:p w14:paraId="57C35216" w14:textId="7B8162CD" w:rsidR="00E9196A"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PVM mokėtojo kodas LT100005502311</w:t>
      </w:r>
    </w:p>
    <w:p w14:paraId="1498B869" w14:textId="77777777" w:rsidR="004A7B2B" w:rsidRPr="00796890"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40B43731"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TVIRTINU</w:t>
      </w:r>
    </w:p>
    <w:p w14:paraId="5CB6370E"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Valstybinės augalininkystės tarnybos</w:t>
      </w:r>
    </w:p>
    <w:p w14:paraId="556AEF46"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prie Žemės ūkio ministerijos direktorius</w:t>
      </w:r>
    </w:p>
    <w:p w14:paraId="026A2C72"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3E37C6FD"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Jurij Kornijenko</w:t>
      </w:r>
    </w:p>
    <w:p w14:paraId="3DA3E2E4" w14:textId="77777777" w:rsidR="00DC30B9" w:rsidRPr="000C5FA7" w:rsidRDefault="00DC30B9"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47E6D49F" w14:textId="7D8EC75D" w:rsidR="004A7B2B" w:rsidRPr="00533D3D" w:rsidRDefault="00E34160" w:rsidP="00DC30B9">
      <w:pPr>
        <w:pStyle w:val="Tekstas"/>
        <w:spacing w:before="0"/>
        <w:jc w:val="center"/>
        <w:rPr>
          <w:rFonts w:ascii="Times New Roman" w:hAnsi="Times New Roman" w:cs="Times New Roman"/>
          <w:b/>
          <w:bCs/>
          <w:noProof/>
          <w:color w:val="000000" w:themeColor="text1"/>
          <w:lang w:eastAsia="lt-LT"/>
        </w:rPr>
      </w:pPr>
      <w:r w:rsidRPr="00E34160">
        <w:rPr>
          <w:rFonts w:ascii="Times New Roman" w:hAnsi="Times New Roman" w:cs="Times New Roman"/>
          <w:b/>
          <w:bCs/>
          <w:noProof/>
          <w:color w:val="000000" w:themeColor="text1"/>
          <w:lang w:eastAsia="lt-LT"/>
        </w:rPr>
        <w:t xml:space="preserve">DĖL VALDYMO, OPTIMIZAVIMO IR MONITORINGO PROGRAMINĖS ĮRANGOS FOSS ĮRENGINIAMS (PRIETAISAMS „INFRATEC“) IQX ONE METINĖS LICENCIJOS (SKIRTA CENTRALIZUOTO ADMINISTRAVIMO IR DUOMENŲ VALDYMO VIENINGAME TINKLE) </w:t>
      </w:r>
      <w:r w:rsidR="004A7B2B" w:rsidRPr="00533D3D">
        <w:rPr>
          <w:rFonts w:ascii="Times New Roman" w:hAnsi="Times New Roman" w:cs="Times New Roman"/>
          <w:b/>
          <w:bCs/>
          <w:noProof/>
          <w:color w:val="000000" w:themeColor="text1"/>
          <w:lang w:eastAsia="lt-LT"/>
        </w:rPr>
        <w:t xml:space="preserve">PIRKIMO SKELBIAMOS APKLAUSOS BŪDU </w:t>
      </w:r>
    </w:p>
    <w:p w14:paraId="318CA0B1" w14:textId="60BB0B94" w:rsidR="00942DE2" w:rsidRPr="00B108C4" w:rsidRDefault="004A7B2B" w:rsidP="00DC30B9">
      <w:pPr>
        <w:pStyle w:val="Tekstas"/>
        <w:spacing w:before="0"/>
        <w:jc w:val="center"/>
        <w:rPr>
          <w:rFonts w:ascii="Times New Roman" w:hAnsi="Times New Roman" w:cs="Times New Roman"/>
          <w:b/>
          <w:bCs/>
          <w:noProof/>
          <w:color w:val="000000" w:themeColor="text1"/>
          <w:lang w:eastAsia="lt-LT"/>
        </w:rPr>
      </w:pPr>
      <w:r w:rsidRPr="00533D3D">
        <w:rPr>
          <w:rFonts w:ascii="Times New Roman" w:hAnsi="Times New Roman" w:cs="Times New Roman"/>
          <w:b/>
          <w:bCs/>
          <w:noProof/>
          <w:color w:val="000000" w:themeColor="text1"/>
          <w:lang w:eastAsia="lt-LT"/>
        </w:rPr>
        <w:t>BENDROSIOS 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0"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OC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51AE632" w14:textId="5A1EF320" w:rsidR="0033151A" w:rsidRDefault="0033151A"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Heading1"/>
        <w:numPr>
          <w:ilvl w:val="0"/>
          <w:numId w:val="12"/>
        </w:numPr>
        <w:jc w:val="center"/>
        <w:rPr>
          <w:rFonts w:ascii="Times New Roman" w:hAnsi="Times New Roman" w:cs="Times New Roman"/>
          <w:color w:val="000000" w:themeColor="text1"/>
          <w:sz w:val="24"/>
          <w:szCs w:val="24"/>
          <w:u w:val="single"/>
          <w:lang w:val="lt-LT"/>
        </w:rPr>
      </w:pPr>
      <w:bookmarkStart w:id="1" w:name="_Toc488674476"/>
      <w:bookmarkStart w:id="2" w:name="_Toc62719058"/>
      <w:r w:rsidRPr="0005775D">
        <w:rPr>
          <w:rFonts w:ascii="Times New Roman" w:hAnsi="Times New Roman" w:cs="Times New Roman"/>
          <w:color w:val="000000" w:themeColor="text1"/>
          <w:sz w:val="24"/>
          <w:szCs w:val="24"/>
          <w:u w:val="single"/>
          <w:lang w:val="lt-LT"/>
        </w:rPr>
        <w:t>SĄVOKOS</w:t>
      </w:r>
      <w:bookmarkEnd w:id="1"/>
      <w:bookmarkEnd w:id="2"/>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TableGrid"/>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ListParagraph"/>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7B9A0C0F" w:rsidR="00F22E01" w:rsidRPr="000008FB" w:rsidRDefault="00A91924" w:rsidP="005A7D43">
            <w:pPr>
              <w:spacing w:after="0"/>
              <w:jc w:val="both"/>
              <w:rPr>
                <w:rFonts w:ascii="Times New Roman" w:eastAsia="Times New Roman" w:hAnsi="Times New Roman" w:cs="Times New Roman"/>
                <w:b/>
                <w:bCs/>
                <w:color w:val="000000" w:themeColor="text1"/>
                <w:sz w:val="24"/>
                <w:szCs w:val="24"/>
                <w:lang w:val="lt-LT"/>
              </w:rPr>
            </w:pPr>
            <w:r w:rsidRPr="00A91924">
              <w:rPr>
                <w:rFonts w:ascii="Times New Roman" w:hAnsi="Times New Roman" w:cs="Times New Roman"/>
                <w:b/>
                <w:bCs/>
                <w:color w:val="000000" w:themeColor="text1"/>
                <w:sz w:val="24"/>
                <w:szCs w:val="24"/>
                <w:lang w:val="lt-LT"/>
              </w:rPr>
              <w:t>Valstybinė augalininkystės tarnyba prie Žemės ūkio ministerijos</w:t>
            </w:r>
            <w:r w:rsidR="00DC30B9" w:rsidRPr="000008FB">
              <w:rPr>
                <w:rFonts w:ascii="Times New Roman" w:hAnsi="Times New Roman" w:cs="Times New Roman"/>
                <w:b/>
                <w:bCs/>
                <w:color w:val="000000" w:themeColor="text1"/>
                <w:sz w:val="24"/>
                <w:szCs w:val="24"/>
                <w:lang w:val="lt-LT"/>
              </w:rPr>
              <w:t xml:space="preserve">, </w:t>
            </w:r>
            <w:r>
              <w:rPr>
                <w:rFonts w:ascii="Times New Roman" w:hAnsi="Times New Roman" w:cs="Times New Roman"/>
                <w:b/>
                <w:bCs/>
                <w:color w:val="000000" w:themeColor="text1"/>
                <w:sz w:val="24"/>
                <w:szCs w:val="24"/>
                <w:lang w:val="lt-LT"/>
              </w:rPr>
              <w:t>Ozo</w:t>
            </w:r>
            <w:r w:rsidR="00DC30B9" w:rsidRPr="000008FB">
              <w:rPr>
                <w:rFonts w:ascii="Times New Roman" w:hAnsi="Times New Roman" w:cs="Times New Roman"/>
                <w:b/>
                <w:bCs/>
                <w:color w:val="000000" w:themeColor="text1"/>
                <w:sz w:val="24"/>
                <w:szCs w:val="24"/>
                <w:lang w:val="lt-LT"/>
              </w:rPr>
              <w:t xml:space="preserve"> g. </w:t>
            </w:r>
            <w:r>
              <w:rPr>
                <w:rFonts w:ascii="Times New Roman" w:hAnsi="Times New Roman" w:cs="Times New Roman"/>
                <w:b/>
                <w:bCs/>
                <w:color w:val="000000" w:themeColor="text1"/>
                <w:sz w:val="24"/>
                <w:szCs w:val="24"/>
                <w:lang w:val="lt-LT"/>
              </w:rPr>
              <w:t>4A</w:t>
            </w:r>
            <w:r w:rsidR="00DC30B9" w:rsidRPr="000008FB">
              <w:rPr>
                <w:rFonts w:ascii="Times New Roman" w:hAnsi="Times New Roman" w:cs="Times New Roman"/>
                <w:b/>
                <w:bCs/>
                <w:color w:val="000000" w:themeColor="text1"/>
                <w:sz w:val="24"/>
                <w:szCs w:val="24"/>
                <w:lang w:val="lt-LT"/>
              </w:rPr>
              <w:t xml:space="preserve">, </w:t>
            </w:r>
            <w:r w:rsidR="0094323E">
              <w:rPr>
                <w:rFonts w:ascii="Times New Roman" w:hAnsi="Times New Roman" w:cs="Times New Roman"/>
                <w:b/>
                <w:bCs/>
                <w:color w:val="000000" w:themeColor="text1"/>
                <w:sz w:val="24"/>
                <w:szCs w:val="24"/>
                <w:lang w:val="lt-LT"/>
              </w:rPr>
              <w:t xml:space="preserve">08200 </w:t>
            </w:r>
            <w:r w:rsidR="00DC30B9" w:rsidRPr="000008FB">
              <w:rPr>
                <w:rFonts w:ascii="Times New Roman" w:hAnsi="Times New Roman" w:cs="Times New Roman"/>
                <w:b/>
                <w:bCs/>
                <w:color w:val="000000" w:themeColor="text1"/>
                <w:sz w:val="24"/>
                <w:szCs w:val="24"/>
                <w:lang w:val="lt-LT"/>
              </w:rPr>
              <w:t xml:space="preserve">Vilnius, įmonės kodas </w:t>
            </w:r>
            <w:r w:rsidRPr="00A91924">
              <w:rPr>
                <w:rFonts w:ascii="Times New Roman" w:hAnsi="Times New Roman" w:cs="Times New Roman"/>
                <w:b/>
                <w:bCs/>
                <w:color w:val="000000" w:themeColor="text1"/>
                <w:sz w:val="24"/>
                <w:szCs w:val="24"/>
                <w:lang w:val="lt-LT"/>
              </w:rPr>
              <w:t>302526112</w:t>
            </w:r>
            <w:r w:rsidR="00DC30B9" w:rsidRPr="000008FB">
              <w:rPr>
                <w:rFonts w:ascii="Times New Roman" w:hAnsi="Times New Roman" w:cs="Times New Roman"/>
                <w:b/>
                <w:bCs/>
                <w:color w:val="000000" w:themeColor="text1"/>
                <w:sz w:val="24"/>
                <w:szCs w:val="24"/>
                <w:lang w:val="lt-LT"/>
              </w:rPr>
              <w:t xml:space="preserve">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0B496832" w:rsidR="00F22E01" w:rsidRPr="0005775D" w:rsidRDefault="00F22E01" w:rsidP="00533D3D">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533D3D">
              <w:rPr>
                <w:rFonts w:ascii="Times New Roman" w:eastAsia="Times New Roman" w:hAnsi="Times New Roman" w:cs="Times New Roman"/>
                <w:color w:val="000000" w:themeColor="text1"/>
                <w:sz w:val="24"/>
                <w:szCs w:val="24"/>
                <w:lang w:val="lt-LT"/>
              </w:rPr>
              <w:t>V</w:t>
            </w:r>
            <w:r w:rsidR="00533D3D" w:rsidRPr="00533D3D">
              <w:rPr>
                <w:rFonts w:ascii="Times New Roman" w:eastAsia="Times New Roman" w:hAnsi="Times New Roman" w:cs="Times New Roman"/>
                <w:color w:val="000000" w:themeColor="text1"/>
                <w:sz w:val="24"/>
                <w:szCs w:val="24"/>
                <w:lang w:val="lt-LT"/>
              </w:rPr>
              <w:t xml:space="preserve">alstybinės augalininkystės tarnybos prie </w:t>
            </w:r>
            <w:r w:rsidR="00533D3D">
              <w:rPr>
                <w:rFonts w:ascii="Times New Roman" w:eastAsia="Times New Roman" w:hAnsi="Times New Roman" w:cs="Times New Roman"/>
                <w:color w:val="000000" w:themeColor="text1"/>
                <w:sz w:val="24"/>
                <w:szCs w:val="24"/>
                <w:lang w:val="lt-LT"/>
              </w:rPr>
              <w:t>Ž</w:t>
            </w:r>
            <w:r w:rsidR="00533D3D" w:rsidRPr="00533D3D">
              <w:rPr>
                <w:rFonts w:ascii="Times New Roman" w:eastAsia="Times New Roman" w:hAnsi="Times New Roman" w:cs="Times New Roman"/>
                <w:color w:val="000000" w:themeColor="text1"/>
                <w:sz w:val="24"/>
                <w:szCs w:val="24"/>
                <w:lang w:val="lt-LT"/>
              </w:rPr>
              <w:t>emės ūkio ministerijos Viešųjų pirkimų procedūrų vadov</w:t>
            </w:r>
            <w:r w:rsidRPr="0005775D">
              <w:rPr>
                <w:rFonts w:ascii="Times New Roman" w:eastAsia="Times New Roman" w:hAnsi="Times New Roman" w:cs="Times New Roman"/>
                <w:color w:val="000000" w:themeColor="text1"/>
                <w:sz w:val="24"/>
                <w:szCs w:val="24"/>
                <w:lang w:val="lt-LT"/>
              </w:rPr>
              <w:t>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01DBD54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Sutartis,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3" w:name="_Toc488674477"/>
      <w:bookmarkStart w:id="4" w:name="_Toc62719059"/>
      <w:r w:rsidRPr="0005775D">
        <w:rPr>
          <w:rFonts w:ascii="Times New Roman" w:hAnsi="Times New Roman" w:cs="Times New Roman"/>
          <w:color w:val="000000" w:themeColor="text1"/>
          <w:sz w:val="24"/>
          <w:szCs w:val="24"/>
          <w:u w:val="single"/>
          <w:lang w:val="lt-LT"/>
        </w:rPr>
        <w:t>BENDROSIOS NUOSTATOS</w:t>
      </w:r>
      <w:bookmarkEnd w:id="3"/>
      <w:bookmarkEnd w:id="4"/>
    </w:p>
    <w:p w14:paraId="6417B170" w14:textId="50532BCD" w:rsidR="0051341E" w:rsidRPr="0005775D" w:rsidRDefault="00987A69"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ListParagraph"/>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ListParagraph"/>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ListParagraph"/>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98FA84E" w:rsidR="0051341E" w:rsidRPr="0005775D" w:rsidRDefault="008E744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SPS, Techninėje specifikacijoje ir kitose pateikimuose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ListParagraph"/>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ListParagraph"/>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5" w:name="_Toc488674478"/>
      <w:bookmarkStart w:id="6" w:name="_Toc51571832"/>
      <w:bookmarkStart w:id="7" w:name="_Toc62719060"/>
      <w:r w:rsidRPr="0005775D">
        <w:rPr>
          <w:rFonts w:ascii="Times New Roman" w:hAnsi="Times New Roman" w:cs="Times New Roman"/>
          <w:color w:val="000000" w:themeColor="text1"/>
          <w:sz w:val="24"/>
          <w:szCs w:val="24"/>
          <w:u w:val="single"/>
          <w:lang w:val="lt-LT"/>
        </w:rPr>
        <w:t>PIRKIMO OBJEKTAS</w:t>
      </w:r>
      <w:bookmarkEnd w:id="5"/>
      <w:bookmarkEnd w:id="6"/>
      <w:bookmarkEnd w:id="7"/>
    </w:p>
    <w:p w14:paraId="14063F56" w14:textId="13E0D3ED"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w:t>
      </w:r>
      <w:r w:rsidRPr="0005775D">
        <w:rPr>
          <w:rFonts w:ascii="Times New Roman" w:hAnsi="Times New Roman" w:cs="Times New Roman"/>
          <w:color w:val="000000" w:themeColor="text1"/>
          <w:sz w:val="24"/>
          <w:szCs w:val="24"/>
        </w:rPr>
        <w:lastRenderedPageBreak/>
        <w:t>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ListParagraph"/>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Heading1"/>
        <w:spacing w:before="120" w:after="120"/>
        <w:ind w:firstLine="0"/>
        <w:rPr>
          <w:rFonts w:ascii="Times New Roman" w:hAnsi="Times New Roman" w:cs="Times New Roman"/>
          <w:color w:val="000000" w:themeColor="text1"/>
          <w:sz w:val="24"/>
          <w:szCs w:val="24"/>
          <w:lang w:val="lt-LT"/>
        </w:rPr>
      </w:pPr>
      <w:bookmarkStart w:id="8" w:name="_Toc488674479"/>
    </w:p>
    <w:p w14:paraId="5EC8F3B3" w14:textId="330EDECB" w:rsidR="0051341E" w:rsidRPr="0005775D" w:rsidRDefault="008E7440" w:rsidP="00B15F67">
      <w:pPr>
        <w:pStyle w:val="Heading1"/>
        <w:numPr>
          <w:ilvl w:val="0"/>
          <w:numId w:val="12"/>
        </w:numPr>
        <w:spacing w:before="0" w:after="120"/>
        <w:jc w:val="center"/>
        <w:rPr>
          <w:rFonts w:ascii="Times New Roman" w:hAnsi="Times New Roman" w:cs="Times New Roman"/>
          <w:color w:val="000000" w:themeColor="text1"/>
          <w:sz w:val="24"/>
          <w:szCs w:val="24"/>
          <w:u w:val="single"/>
          <w:lang w:val="lt-LT"/>
        </w:rPr>
      </w:pPr>
      <w:bookmarkStart w:id="9" w:name="_Toc62719061"/>
      <w:r w:rsidRPr="0005775D">
        <w:rPr>
          <w:rFonts w:ascii="Times New Roman" w:hAnsi="Times New Roman" w:cs="Times New Roman"/>
          <w:color w:val="000000" w:themeColor="text1"/>
          <w:sz w:val="24"/>
          <w:szCs w:val="24"/>
          <w:u w:val="single"/>
          <w:lang w:val="lt-LT"/>
        </w:rPr>
        <w:t>KAINA IR MOKĖJIMO TERMINAI</w:t>
      </w:r>
      <w:bookmarkEnd w:id="8"/>
      <w:bookmarkEnd w:id="9"/>
    </w:p>
    <w:p w14:paraId="712AB35C" w14:textId="107B2362" w:rsidR="0051341E" w:rsidRPr="004429C1" w:rsidRDefault="008E7440"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ListParagraph"/>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Heading1"/>
        <w:numPr>
          <w:ilvl w:val="0"/>
          <w:numId w:val="12"/>
        </w:numPr>
        <w:spacing w:after="240"/>
        <w:jc w:val="center"/>
        <w:rPr>
          <w:rFonts w:ascii="Times New Roman" w:hAnsi="Times New Roman" w:cs="Times New Roman"/>
          <w:sz w:val="24"/>
          <w:szCs w:val="24"/>
          <w:u w:val="single"/>
          <w:lang w:val="lt-LT"/>
        </w:rPr>
      </w:pPr>
      <w:bookmarkStart w:id="10" w:name="_Toc62719062"/>
      <w:bookmarkStart w:id="11"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0"/>
    </w:p>
    <w:bookmarkEnd w:id="11"/>
    <w:p w14:paraId="1BCCA53A" w14:textId="580D9052" w:rsidR="00DC29B3"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ListParagraph"/>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w:t>
      </w:r>
      <w:r w:rsidR="008E7440" w:rsidRPr="004429C1">
        <w:rPr>
          <w:rFonts w:ascii="Times New Roman" w:hAnsi="Times New Roman" w:cs="Times New Roman"/>
          <w:color w:val="000000" w:themeColor="text1"/>
          <w:sz w:val="24"/>
          <w:szCs w:val="24"/>
        </w:rPr>
        <w:lastRenderedPageBreak/>
        <w:t>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2" w:name="_Ref380390522"/>
      <w:bookmarkStart w:id="13" w:name="_Ref369864069"/>
      <w:bookmarkEnd w:id="12"/>
      <w:bookmarkEnd w:id="13"/>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Heading1"/>
        <w:numPr>
          <w:ilvl w:val="0"/>
          <w:numId w:val="12"/>
        </w:numPr>
        <w:spacing w:after="240"/>
        <w:jc w:val="center"/>
        <w:rPr>
          <w:rFonts w:ascii="Times New Roman" w:hAnsi="Times New Roman" w:cs="Times New Roman"/>
          <w:color w:val="000000" w:themeColor="text1"/>
          <w:sz w:val="24"/>
          <w:szCs w:val="24"/>
          <w:u w:val="single"/>
          <w:lang w:val="lt-LT"/>
        </w:rPr>
      </w:pPr>
      <w:bookmarkStart w:id="14" w:name="_Toc488674481"/>
      <w:bookmarkStart w:id="15" w:name="_Toc51571835"/>
      <w:bookmarkStart w:id="16" w:name="_Toc62719063"/>
      <w:r w:rsidRPr="004429C1">
        <w:rPr>
          <w:rFonts w:ascii="Times New Roman" w:hAnsi="Times New Roman" w:cs="Times New Roman"/>
          <w:color w:val="000000" w:themeColor="text1"/>
          <w:sz w:val="24"/>
          <w:szCs w:val="24"/>
          <w:u w:val="single"/>
          <w:lang w:val="lt-LT"/>
        </w:rPr>
        <w:t>REIKALAVIMAI PASIŪLYMŲ PATEIKIMUI</w:t>
      </w:r>
      <w:bookmarkEnd w:id="14"/>
      <w:bookmarkEnd w:id="15"/>
      <w:bookmarkEnd w:id="16"/>
    </w:p>
    <w:p w14:paraId="33523330" w14:textId="5691E351" w:rsidR="00B15F67" w:rsidRPr="004429C1" w:rsidRDefault="00466838"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lastRenderedPageBreak/>
        <w:t>kitaip.</w:t>
      </w:r>
    </w:p>
    <w:p w14:paraId="6F42B996" w14:textId="2E577AAB" w:rsidR="006941E3" w:rsidRPr="004429C1" w:rsidRDefault="006941E3"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ListParagraph"/>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ListParagraph"/>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Heading1"/>
        <w:numPr>
          <w:ilvl w:val="0"/>
          <w:numId w:val="12"/>
        </w:numPr>
        <w:jc w:val="center"/>
        <w:rPr>
          <w:rFonts w:ascii="Times New Roman" w:hAnsi="Times New Roman" w:cs="Times New Roman"/>
          <w:sz w:val="24"/>
          <w:szCs w:val="24"/>
          <w:u w:val="single"/>
        </w:rPr>
      </w:pPr>
      <w:bookmarkStart w:id="17" w:name="_Toc51571836"/>
      <w:bookmarkStart w:id="18" w:name="_Toc62719064"/>
      <w:r w:rsidRPr="004429C1">
        <w:rPr>
          <w:rFonts w:ascii="Times New Roman" w:hAnsi="Times New Roman" w:cs="Times New Roman"/>
          <w:sz w:val="24"/>
          <w:szCs w:val="24"/>
          <w:u w:val="single"/>
        </w:rPr>
        <w:t>PASIŪLYMŲ ŠIFRAVIMAS</w:t>
      </w:r>
      <w:bookmarkEnd w:id="17"/>
      <w:bookmarkEnd w:id="18"/>
    </w:p>
    <w:p w14:paraId="06146FC9" w14:textId="41A3218C" w:rsidR="000F3262" w:rsidRPr="004429C1" w:rsidRDefault="00466838" w:rsidP="00E27E19">
      <w:pPr>
        <w:pStyle w:val="ListParagraph"/>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ListParagraph"/>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Heading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19" w:name="_Toc488674482"/>
      <w:bookmarkStart w:id="20" w:name="_Toc51571837"/>
      <w:bookmarkStart w:id="21" w:name="_Toc62719065"/>
      <w:r w:rsidRPr="004429C1">
        <w:rPr>
          <w:rFonts w:ascii="Times New Roman" w:hAnsi="Times New Roman" w:cs="Times New Roman"/>
          <w:color w:val="000000" w:themeColor="text1"/>
          <w:sz w:val="24"/>
          <w:szCs w:val="24"/>
          <w:u w:val="single"/>
          <w:lang w:val="lt-LT"/>
        </w:rPr>
        <w:t>PASIŪLYMŲ PATEIKIMO TERMINAI</w:t>
      </w:r>
      <w:bookmarkEnd w:id="19"/>
      <w:bookmarkEnd w:id="20"/>
      <w:bookmarkEnd w:id="21"/>
    </w:p>
    <w:p w14:paraId="256CE7D1" w14:textId="77777777" w:rsidR="0051341E" w:rsidRPr="004429C1" w:rsidRDefault="008E7440" w:rsidP="00E27E19">
      <w:pPr>
        <w:pStyle w:val="ListParagraph"/>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lastRenderedPageBreak/>
        <w:t>pateikimo terminą pateikiama SPS 1 dalyje.</w:t>
      </w:r>
    </w:p>
    <w:p w14:paraId="5E06059B" w14:textId="29F6CEB1" w:rsidR="00E24D18" w:rsidRPr="004429C1" w:rsidRDefault="00E24D18" w:rsidP="00E27E19">
      <w:pPr>
        <w:pStyle w:val="ListParagraph"/>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ListParagraph"/>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2" w:name="_Toc488674483"/>
      <w:bookmarkStart w:id="23" w:name="_Toc51571838"/>
      <w:bookmarkStart w:id="24" w:name="_Toc62719066"/>
      <w:r w:rsidRPr="004429C1">
        <w:rPr>
          <w:rFonts w:ascii="Times New Roman" w:eastAsiaTheme="minorHAnsi" w:hAnsi="Times New Roman" w:cs="Times New Roman"/>
          <w:bCs w:val="0"/>
          <w:color w:val="000000" w:themeColor="text1"/>
          <w:sz w:val="24"/>
          <w:szCs w:val="24"/>
          <w:lang w:val="lt-LT"/>
        </w:rPr>
        <w:t>PASIŪLYMŲ GALIOJIMAS</w:t>
      </w:r>
      <w:bookmarkEnd w:id="22"/>
      <w:bookmarkEnd w:id="23"/>
      <w:bookmarkEnd w:id="24"/>
    </w:p>
    <w:p w14:paraId="5B751F08" w14:textId="45756E36"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ListParagraph"/>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5" w:name="_Toc488674484"/>
      <w:bookmarkStart w:id="26" w:name="_Toc51571839"/>
      <w:bookmarkStart w:id="27" w:name="_Toc62719067"/>
      <w:r w:rsidRPr="004429C1">
        <w:rPr>
          <w:rFonts w:ascii="Times New Roman" w:eastAsiaTheme="minorHAnsi" w:hAnsi="Times New Roman" w:cs="Times New Roman"/>
          <w:bCs w:val="0"/>
          <w:color w:val="000000" w:themeColor="text1"/>
          <w:sz w:val="24"/>
          <w:szCs w:val="24"/>
          <w:lang w:val="lt-LT"/>
        </w:rPr>
        <w:t>DERYBOS</w:t>
      </w:r>
      <w:bookmarkEnd w:id="25"/>
      <w:bookmarkEnd w:id="26"/>
      <w:bookmarkEnd w:id="27"/>
    </w:p>
    <w:p w14:paraId="5A079C81" w14:textId="12E228D4" w:rsidR="0051341E" w:rsidRPr="004429C1" w:rsidRDefault="008E7440"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w:t>
      </w:r>
      <w:r w:rsidRPr="004429C1">
        <w:rPr>
          <w:rFonts w:ascii="Times New Roman" w:hAnsi="Times New Roman" w:cs="Times New Roman"/>
          <w:color w:val="000000" w:themeColor="text1"/>
          <w:sz w:val="24"/>
          <w:szCs w:val="24"/>
        </w:rPr>
        <w:lastRenderedPageBreak/>
        <w:t xml:space="preserve">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ListParagraph"/>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Heading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4429C1">
        <w:rPr>
          <w:rFonts w:ascii="Times New Roman" w:hAnsi="Times New Roman" w:cs="Times New Roman"/>
          <w:color w:val="000000" w:themeColor="text1"/>
          <w:sz w:val="24"/>
          <w:szCs w:val="24"/>
          <w:lang w:val="lt-LT"/>
        </w:rPr>
        <w:t>PASIŪLYMŲ NAGRINĖJIMAS IR VERTINIMAS</w:t>
      </w:r>
      <w:bookmarkEnd w:id="32"/>
      <w:bookmarkEnd w:id="33"/>
      <w:bookmarkEnd w:id="34"/>
    </w:p>
    <w:p w14:paraId="200C4D13" w14:textId="667EC9B3" w:rsidR="0051341E" w:rsidRPr="004429C1" w:rsidRDefault="008E7440" w:rsidP="002C78A4">
      <w:pPr>
        <w:pStyle w:val="ListParagraph"/>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w:t>
      </w:r>
      <w:r w:rsidR="00636D82" w:rsidRPr="004429C1">
        <w:rPr>
          <w:rFonts w:ascii="Times New Roman" w:hAnsi="Times New Roman" w:cs="Times New Roman"/>
          <w:color w:val="000000" w:themeColor="text1"/>
          <w:sz w:val="24"/>
          <w:szCs w:val="24"/>
        </w:rPr>
        <w:lastRenderedPageBreak/>
        <w:t>pripažintas geriausiu, gavimo.</w:t>
      </w:r>
    </w:p>
    <w:p w14:paraId="71581CE8" w14:textId="7660DD95" w:rsidR="0051341E" w:rsidRPr="004429C1" w:rsidRDefault="00466838"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ListParagraph"/>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ListParagraph"/>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ListParagraph"/>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ListParagraph"/>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58590254" w:rsidR="0051341E" w:rsidRPr="004429C1" w:rsidRDefault="00E75011"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0190A65C" w:rsidR="00154DD9" w:rsidRPr="004429C1" w:rsidRDefault="00106034" w:rsidP="007F7B00">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r>
    </w:tbl>
    <w:p w14:paraId="2F73F677" w14:textId="4D9A587D" w:rsidR="0051341E" w:rsidRPr="004429C1" w:rsidRDefault="00987A69"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Laimėjusio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ListParagraph"/>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ListParagraph"/>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5" w:name="_Toc488674487"/>
      <w:bookmarkStart w:id="36"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5"/>
      <w:bookmarkEnd w:id="36"/>
    </w:p>
    <w:p w14:paraId="7CA47E07" w14:textId="33CC10F6" w:rsidR="0051341E" w:rsidRPr="004429C1" w:rsidRDefault="008E7440" w:rsidP="002C78A4">
      <w:pPr>
        <w:pStyle w:val="ListParagraph"/>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5D5330CC"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turi atitikti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5364F7">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0D7306D2"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 xml:space="preserve">Jeigu tiekėjas, kuriam buvo pasiūlyta sudaryti pirkimo sutartį, raštu atsisako ją sudaryti arba iki perkančiosios organizacijos nurodyto laiko nepasirašo pirkimo sutarties, </w:t>
      </w:r>
      <w:r w:rsidRPr="00146208">
        <w:rPr>
          <w:rFonts w:ascii="Times New Roman" w:hAnsi="Times New Roman" w:cs="Times New Roman"/>
          <w:color w:val="000000" w:themeColor="text1"/>
          <w:sz w:val="24"/>
          <w:szCs w:val="24"/>
        </w:rPr>
        <w:lastRenderedPageBreak/>
        <w:t>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4E675AB" w14:textId="61DD587E"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ListParagraph"/>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7" w:name="_Toc488674488"/>
      <w:bookmarkStart w:id="38" w:name="_Toc62719070"/>
      <w:r w:rsidRPr="004429C1">
        <w:rPr>
          <w:rFonts w:ascii="Times New Roman" w:hAnsi="Times New Roman" w:cs="Times New Roman"/>
          <w:color w:val="000000" w:themeColor="text1"/>
          <w:sz w:val="24"/>
          <w:szCs w:val="24"/>
          <w:lang w:val="lt-LT"/>
        </w:rPr>
        <w:t>PAPILDOMOS INFORMACIJOS PATEIKIMAS</w:t>
      </w:r>
      <w:bookmarkEnd w:id="37"/>
      <w:bookmarkEnd w:id="38"/>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TableGrid"/>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BodyText"/>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w:t>
            </w:r>
            <w:r w:rsidR="00E24D18" w:rsidRPr="004429C1">
              <w:rPr>
                <w:rFonts w:ascii="Times New Roman" w:hAnsi="Times New Roman" w:cs="Times New Roman"/>
                <w:color w:val="000000" w:themeColor="text1"/>
                <w:sz w:val="24"/>
                <w:szCs w:val="24"/>
                <w:lang w:val="lt-LT"/>
              </w:rPr>
              <w:lastRenderedPageBreak/>
              <w:t>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kuriems yra pateiktos Pirkimo 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BodyText"/>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lastRenderedPageBreak/>
              <w:t>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BodyText"/>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Heading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39" w:name="_Toc62719071"/>
      <w:r w:rsidRPr="004429C1">
        <w:rPr>
          <w:rFonts w:ascii="Times New Roman" w:hAnsi="Times New Roman" w:cs="Times New Roman"/>
          <w:color w:val="000000" w:themeColor="text1"/>
          <w:sz w:val="24"/>
          <w:szCs w:val="24"/>
          <w:lang w:val="lt-LT"/>
        </w:rPr>
        <w:t>KITOS SĄLYGOS</w:t>
      </w:r>
      <w:bookmarkEnd w:id="39"/>
    </w:p>
    <w:p w14:paraId="2A10565F" w14:textId="77777777"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Heading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0" w:name="_Toc84948639"/>
      <w:r w:rsidRPr="004429C1">
        <w:rPr>
          <w:rFonts w:ascii="Times New Roman" w:hAnsi="Times New Roman" w:cs="Times New Roman"/>
          <w:bCs w:val="0"/>
          <w:iCs/>
          <w:color w:val="000000"/>
          <w:sz w:val="24"/>
          <w:szCs w:val="24"/>
          <w:lang w:val="lt-LT" w:eastAsia="lt-LT"/>
        </w:rPr>
        <w:t>ASMENS DUOMENŲ TVARKYMAS</w:t>
      </w:r>
      <w:bookmarkEnd w:id="40"/>
    </w:p>
    <w:p w14:paraId="578FB6AC" w14:textId="09D2C05B" w:rsidR="00BD7C71" w:rsidRPr="004429C1" w:rsidRDefault="00BD7C71" w:rsidP="002C78A4">
      <w:pPr>
        <w:numPr>
          <w:ilvl w:val="1"/>
          <w:numId w:val="0"/>
        </w:numPr>
        <w:spacing w:before="120" w:after="120"/>
        <w:ind w:right="850"/>
        <w:jc w:val="both"/>
        <w:outlineLvl w:val="1"/>
        <w:rPr>
          <w:rFonts w:ascii="Times New Roman" w:eastAsia="Times New Roman" w:hAnsi="Times New Roman"/>
          <w:color w:val="000000"/>
          <w:sz w:val="24"/>
          <w:szCs w:val="24"/>
          <w:lang w:eastAsia="lt-LT"/>
        </w:rPr>
      </w:pPr>
      <w:r w:rsidRPr="004429C1">
        <w:rPr>
          <w:rFonts w:ascii="Times New Roman" w:eastAsia="Times New Roman" w:hAnsi="Times New Roman"/>
          <w:color w:val="000000"/>
          <w:sz w:val="24"/>
          <w:szCs w:val="24"/>
          <w:lang w:eastAsia="lt-LT"/>
        </w:rPr>
        <w:t xml:space="preserve">15.1. Perkančiosios organizacijos Viešųjų pirkimų skyriaus atsakingi darbuotojai bei kiti pirkimus vykdyti įgalioti </w:t>
      </w:r>
      <w:r w:rsidR="004429C1">
        <w:rPr>
          <w:rFonts w:ascii="Times New Roman" w:eastAsia="Times New Roman" w:hAnsi="Times New Roman"/>
          <w:color w:val="000000"/>
          <w:sz w:val="24"/>
          <w:szCs w:val="24"/>
          <w:lang w:eastAsia="lt-LT"/>
        </w:rPr>
        <w:t>Perkančiosios organizacijos</w:t>
      </w:r>
      <w:r w:rsidRPr="004429C1">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7B40D44B" w14:textId="309B4337"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14="http://schemas.microsoft.com/office/drawing/2010/main" xmlns:pic="http://schemas.openxmlformats.org/drawingml/2006/picture" xmlns:a="http://schemas.openxmlformats.org/drawingml/2006/main">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0"/>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0BBD" w14:textId="77777777" w:rsidR="003938B2" w:rsidRDefault="003938B2">
      <w:pPr>
        <w:spacing w:after="0" w:line="240" w:lineRule="auto"/>
      </w:pPr>
      <w:r>
        <w:separator/>
      </w:r>
    </w:p>
  </w:endnote>
  <w:endnote w:type="continuationSeparator" w:id="0">
    <w:p w14:paraId="24CFC7A3" w14:textId="77777777" w:rsidR="003938B2" w:rsidRDefault="0039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399C" w14:textId="77777777" w:rsidR="003938B2" w:rsidRDefault="003938B2">
      <w:pPr>
        <w:spacing w:after="0" w:line="240" w:lineRule="auto"/>
      </w:pPr>
      <w:r>
        <w:separator/>
      </w:r>
    </w:p>
  </w:footnote>
  <w:footnote w:type="continuationSeparator" w:id="0">
    <w:p w14:paraId="2001EB1B" w14:textId="77777777" w:rsidR="003938B2" w:rsidRDefault="0039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Header"/>
      <w:jc w:val="center"/>
      <w:rPr>
        <w:rFonts w:ascii="Times New Roman" w:hAnsi="Times New Roman"/>
        <w:noProof/>
        <w:sz w:val="24"/>
        <w:szCs w:val="24"/>
        <w:lang w:eastAsia="lt-LT"/>
      </w:rPr>
    </w:pPr>
  </w:p>
  <w:p w14:paraId="0460EB76" w14:textId="77777777" w:rsidR="00987A69" w:rsidRDefault="00987A69" w:rsidP="00E9196A">
    <w:pPr>
      <w:pStyle w:val="Header"/>
      <w:jc w:val="center"/>
      <w:rPr>
        <w:rFonts w:ascii="Times New Roman" w:hAnsi="Times New Roman"/>
        <w:noProof/>
        <w:sz w:val="24"/>
        <w:szCs w:val="24"/>
        <w:lang w:eastAsia="lt-LT"/>
      </w:rPr>
    </w:pPr>
  </w:p>
  <w:p w14:paraId="646AC3D1" w14:textId="21D6CDEB" w:rsidR="00987A69" w:rsidRDefault="00987A69" w:rsidP="00F22E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963341349">
    <w:abstractNumId w:val="8"/>
  </w:num>
  <w:num w:numId="2" w16cid:durableId="1539927429">
    <w:abstractNumId w:val="10"/>
  </w:num>
  <w:num w:numId="3" w16cid:durableId="1722826927">
    <w:abstractNumId w:val="18"/>
  </w:num>
  <w:num w:numId="4" w16cid:durableId="1439326848">
    <w:abstractNumId w:val="16"/>
  </w:num>
  <w:num w:numId="5" w16cid:durableId="861626965">
    <w:abstractNumId w:val="13"/>
  </w:num>
  <w:num w:numId="6" w16cid:durableId="172767667">
    <w:abstractNumId w:val="0"/>
  </w:num>
  <w:num w:numId="7" w16cid:durableId="995452092">
    <w:abstractNumId w:val="11"/>
  </w:num>
  <w:num w:numId="8" w16cid:durableId="1326670568">
    <w:abstractNumId w:val="19"/>
  </w:num>
  <w:num w:numId="9" w16cid:durableId="1516925075">
    <w:abstractNumId w:val="2"/>
  </w:num>
  <w:num w:numId="10" w16cid:durableId="1590503163">
    <w:abstractNumId w:val="9"/>
  </w:num>
  <w:num w:numId="11" w16cid:durableId="1101948330">
    <w:abstractNumId w:val="1"/>
  </w:num>
  <w:num w:numId="12" w16cid:durableId="1263614380">
    <w:abstractNumId w:val="17"/>
  </w:num>
  <w:num w:numId="13" w16cid:durableId="374812357">
    <w:abstractNumId w:val="12"/>
  </w:num>
  <w:num w:numId="14" w16cid:durableId="2143503007">
    <w:abstractNumId w:val="5"/>
  </w:num>
  <w:num w:numId="15" w16cid:durableId="28266675">
    <w:abstractNumId w:val="6"/>
  </w:num>
  <w:num w:numId="16" w16cid:durableId="1346664852">
    <w:abstractNumId w:val="15"/>
  </w:num>
  <w:num w:numId="17" w16cid:durableId="830759502">
    <w:abstractNumId w:val="14"/>
  </w:num>
  <w:num w:numId="18" w16cid:durableId="369497610">
    <w:abstractNumId w:val="4"/>
  </w:num>
  <w:num w:numId="19" w16cid:durableId="1629118095">
    <w:abstractNumId w:val="7"/>
  </w:num>
  <w:num w:numId="20" w16cid:durableId="73782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08FB"/>
    <w:rsid w:val="00007320"/>
    <w:rsid w:val="000144D3"/>
    <w:rsid w:val="00020630"/>
    <w:rsid w:val="00046ADE"/>
    <w:rsid w:val="0005775D"/>
    <w:rsid w:val="00095896"/>
    <w:rsid w:val="000A6BA9"/>
    <w:rsid w:val="000B0740"/>
    <w:rsid w:val="000C5FA7"/>
    <w:rsid w:val="000D06AF"/>
    <w:rsid w:val="000E60E2"/>
    <w:rsid w:val="000F3262"/>
    <w:rsid w:val="00106034"/>
    <w:rsid w:val="00111260"/>
    <w:rsid w:val="001171A3"/>
    <w:rsid w:val="001201B1"/>
    <w:rsid w:val="00135070"/>
    <w:rsid w:val="00136D66"/>
    <w:rsid w:val="00146208"/>
    <w:rsid w:val="00154DD9"/>
    <w:rsid w:val="001626DA"/>
    <w:rsid w:val="00184063"/>
    <w:rsid w:val="001A3109"/>
    <w:rsid w:val="001C07FA"/>
    <w:rsid w:val="001C5695"/>
    <w:rsid w:val="001F3EF5"/>
    <w:rsid w:val="00207A47"/>
    <w:rsid w:val="0023573F"/>
    <w:rsid w:val="00236358"/>
    <w:rsid w:val="00237E6B"/>
    <w:rsid w:val="0027098C"/>
    <w:rsid w:val="00275D26"/>
    <w:rsid w:val="002764DA"/>
    <w:rsid w:val="00276B07"/>
    <w:rsid w:val="00277577"/>
    <w:rsid w:val="0029236B"/>
    <w:rsid w:val="0029320C"/>
    <w:rsid w:val="00295053"/>
    <w:rsid w:val="00295B8A"/>
    <w:rsid w:val="002B1E40"/>
    <w:rsid w:val="002C337D"/>
    <w:rsid w:val="002C78A4"/>
    <w:rsid w:val="00316486"/>
    <w:rsid w:val="0033151A"/>
    <w:rsid w:val="00353BA0"/>
    <w:rsid w:val="00364CB4"/>
    <w:rsid w:val="003935BD"/>
    <w:rsid w:val="003938B2"/>
    <w:rsid w:val="003A0492"/>
    <w:rsid w:val="003A2B98"/>
    <w:rsid w:val="003C00BE"/>
    <w:rsid w:val="003D1D92"/>
    <w:rsid w:val="003D41C2"/>
    <w:rsid w:val="004033A7"/>
    <w:rsid w:val="00405773"/>
    <w:rsid w:val="00412A38"/>
    <w:rsid w:val="004429C1"/>
    <w:rsid w:val="00442BAF"/>
    <w:rsid w:val="00460B81"/>
    <w:rsid w:val="00466838"/>
    <w:rsid w:val="00470A77"/>
    <w:rsid w:val="00471134"/>
    <w:rsid w:val="004A7B2B"/>
    <w:rsid w:val="004C4F5A"/>
    <w:rsid w:val="004D32B8"/>
    <w:rsid w:val="0051043D"/>
    <w:rsid w:val="0051341E"/>
    <w:rsid w:val="005166E0"/>
    <w:rsid w:val="00533D3D"/>
    <w:rsid w:val="005364F7"/>
    <w:rsid w:val="00552FB2"/>
    <w:rsid w:val="00554BA8"/>
    <w:rsid w:val="00561FD8"/>
    <w:rsid w:val="00564EED"/>
    <w:rsid w:val="00571DCA"/>
    <w:rsid w:val="005741DC"/>
    <w:rsid w:val="00584F57"/>
    <w:rsid w:val="005A7D43"/>
    <w:rsid w:val="005C402B"/>
    <w:rsid w:val="005D74DE"/>
    <w:rsid w:val="006053F4"/>
    <w:rsid w:val="00607639"/>
    <w:rsid w:val="00611057"/>
    <w:rsid w:val="00624561"/>
    <w:rsid w:val="006259E1"/>
    <w:rsid w:val="00635878"/>
    <w:rsid w:val="00636D82"/>
    <w:rsid w:val="006470E6"/>
    <w:rsid w:val="00655E01"/>
    <w:rsid w:val="00683A35"/>
    <w:rsid w:val="006941E3"/>
    <w:rsid w:val="006D29D3"/>
    <w:rsid w:val="006D41E3"/>
    <w:rsid w:val="006E6552"/>
    <w:rsid w:val="006F473D"/>
    <w:rsid w:val="007019E6"/>
    <w:rsid w:val="00713DD9"/>
    <w:rsid w:val="0071620C"/>
    <w:rsid w:val="0071772A"/>
    <w:rsid w:val="007222BD"/>
    <w:rsid w:val="007508B3"/>
    <w:rsid w:val="00793343"/>
    <w:rsid w:val="00796890"/>
    <w:rsid w:val="007A09FE"/>
    <w:rsid w:val="007F6D7F"/>
    <w:rsid w:val="007F7B00"/>
    <w:rsid w:val="00857F81"/>
    <w:rsid w:val="00860A2F"/>
    <w:rsid w:val="008A6502"/>
    <w:rsid w:val="008A7C54"/>
    <w:rsid w:val="008B196B"/>
    <w:rsid w:val="008C0E10"/>
    <w:rsid w:val="008C492B"/>
    <w:rsid w:val="008D2B9A"/>
    <w:rsid w:val="008D6DF0"/>
    <w:rsid w:val="008E0148"/>
    <w:rsid w:val="008E0172"/>
    <w:rsid w:val="008E7440"/>
    <w:rsid w:val="008F2BE5"/>
    <w:rsid w:val="0090647E"/>
    <w:rsid w:val="00907066"/>
    <w:rsid w:val="00920C63"/>
    <w:rsid w:val="00942DE2"/>
    <w:rsid w:val="0094323E"/>
    <w:rsid w:val="00972512"/>
    <w:rsid w:val="00987A69"/>
    <w:rsid w:val="009C44FF"/>
    <w:rsid w:val="009D5E99"/>
    <w:rsid w:val="009E4AE6"/>
    <w:rsid w:val="009F290D"/>
    <w:rsid w:val="00A41BF1"/>
    <w:rsid w:val="00A43337"/>
    <w:rsid w:val="00A56588"/>
    <w:rsid w:val="00A625EC"/>
    <w:rsid w:val="00A70934"/>
    <w:rsid w:val="00A73321"/>
    <w:rsid w:val="00A758EE"/>
    <w:rsid w:val="00A87322"/>
    <w:rsid w:val="00A91046"/>
    <w:rsid w:val="00A91924"/>
    <w:rsid w:val="00A94E0B"/>
    <w:rsid w:val="00AA74A1"/>
    <w:rsid w:val="00AD011A"/>
    <w:rsid w:val="00AD16A8"/>
    <w:rsid w:val="00AD65EB"/>
    <w:rsid w:val="00AD759E"/>
    <w:rsid w:val="00AE1415"/>
    <w:rsid w:val="00AF3850"/>
    <w:rsid w:val="00B108C4"/>
    <w:rsid w:val="00B15F67"/>
    <w:rsid w:val="00B267A5"/>
    <w:rsid w:val="00B46E1C"/>
    <w:rsid w:val="00B502EF"/>
    <w:rsid w:val="00B50EF6"/>
    <w:rsid w:val="00B66211"/>
    <w:rsid w:val="00B841E1"/>
    <w:rsid w:val="00B95D97"/>
    <w:rsid w:val="00B97E7A"/>
    <w:rsid w:val="00BA0A11"/>
    <w:rsid w:val="00BB7381"/>
    <w:rsid w:val="00BC2192"/>
    <w:rsid w:val="00BC7EDC"/>
    <w:rsid w:val="00BD7C71"/>
    <w:rsid w:val="00BD7F6B"/>
    <w:rsid w:val="00BE7DC5"/>
    <w:rsid w:val="00BF562C"/>
    <w:rsid w:val="00C028F2"/>
    <w:rsid w:val="00C04E97"/>
    <w:rsid w:val="00C605B7"/>
    <w:rsid w:val="00C66714"/>
    <w:rsid w:val="00CA0297"/>
    <w:rsid w:val="00CB50B1"/>
    <w:rsid w:val="00D33A6C"/>
    <w:rsid w:val="00D36E7C"/>
    <w:rsid w:val="00D43FC1"/>
    <w:rsid w:val="00D77520"/>
    <w:rsid w:val="00DB7BDC"/>
    <w:rsid w:val="00DC29B3"/>
    <w:rsid w:val="00DC30B9"/>
    <w:rsid w:val="00DE5C62"/>
    <w:rsid w:val="00E01994"/>
    <w:rsid w:val="00E173D3"/>
    <w:rsid w:val="00E24D18"/>
    <w:rsid w:val="00E27E19"/>
    <w:rsid w:val="00E34160"/>
    <w:rsid w:val="00E35043"/>
    <w:rsid w:val="00E678AB"/>
    <w:rsid w:val="00E67DD1"/>
    <w:rsid w:val="00E70891"/>
    <w:rsid w:val="00E75011"/>
    <w:rsid w:val="00E9196A"/>
    <w:rsid w:val="00E93D90"/>
    <w:rsid w:val="00EA42FA"/>
    <w:rsid w:val="00ED30A6"/>
    <w:rsid w:val="00F03817"/>
    <w:rsid w:val="00F05516"/>
    <w:rsid w:val="00F10755"/>
    <w:rsid w:val="00F22E01"/>
    <w:rsid w:val="00F243D8"/>
    <w:rsid w:val="00F31E89"/>
    <w:rsid w:val="00F4743A"/>
    <w:rsid w:val="00F53761"/>
    <w:rsid w:val="00F71534"/>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1">
    <w:name w:val="heading 1"/>
    <w:basedOn w:val="Normal"/>
    <w:link w:val="Heading1Char"/>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character" w:customStyle="1" w:styleId="HeaderChar">
    <w:name w:val="Header Char"/>
    <w:basedOn w:val="DefaultParagraphFont"/>
    <w:link w:val="Header"/>
    <w:uiPriority w:val="99"/>
    <w:rsid w:val="00D74512"/>
  </w:style>
  <w:style w:type="character" w:customStyle="1" w:styleId="FooterChar">
    <w:name w:val="Footer Char"/>
    <w:basedOn w:val="DefaultParagraphFont"/>
    <w:link w:val="Footer"/>
    <w:uiPriority w:val="99"/>
    <w:rsid w:val="00D74512"/>
  </w:style>
  <w:style w:type="character" w:styleId="CommentReference">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DefaultParagraphFont"/>
    <w:uiPriority w:val="99"/>
    <w:unhideWhenUsed/>
    <w:rsid w:val="009910BF"/>
    <w:rPr>
      <w:color w:val="0000FF" w:themeColor="hyperlink"/>
      <w:u w:val="single"/>
    </w:rPr>
  </w:style>
  <w:style w:type="character" w:customStyle="1" w:styleId="BodyTextChar">
    <w:name w:val="Body Text Char"/>
    <w:basedOn w:val="DefaultParagraphFont"/>
    <w:link w:val="TextBody"/>
    <w:uiPriority w:val="1"/>
    <w:rsid w:val="009910BF"/>
    <w:rPr>
      <w:rFonts w:ascii="Arial" w:eastAsia="Arial" w:hAnsi="Arial" w:cs="Arial"/>
      <w:sz w:val="20"/>
      <w:szCs w:val="20"/>
      <w:lang w:val="en-US"/>
    </w:rPr>
  </w:style>
  <w:style w:type="character" w:customStyle="1" w:styleId="Heading1Char">
    <w:name w:val="Heading 1 Char"/>
    <w:basedOn w:val="DefaultParagraphFont"/>
    <w:link w:val="Heading1"/>
    <w:uiPriority w:val="1"/>
    <w:rsid w:val="005703E1"/>
    <w:rPr>
      <w:rFonts w:ascii="Arial" w:eastAsia="Arial" w:hAnsi="Arial" w:cs="Arial"/>
      <w:b/>
      <w:bCs/>
      <w:sz w:val="20"/>
      <w:szCs w:val="20"/>
      <w:lang w:val="en-US"/>
    </w:rPr>
  </w:style>
  <w:style w:type="character" w:customStyle="1" w:styleId="CommentTextChar">
    <w:name w:val="Comment Text Char"/>
    <w:basedOn w:val="DefaultParagraphFont"/>
    <w:link w:val="CommentText"/>
    <w:uiPriority w:val="99"/>
    <w:semiHidden/>
    <w:rsid w:val="008E471A"/>
    <w:rPr>
      <w:sz w:val="20"/>
      <w:szCs w:val="20"/>
    </w:rPr>
  </w:style>
  <w:style w:type="character" w:customStyle="1" w:styleId="CommentSubjectChar">
    <w:name w:val="Comment Subject Char"/>
    <w:basedOn w:val="CommentTextChar"/>
    <w:link w:val="CommentSubject"/>
    <w:uiPriority w:val="99"/>
    <w:semiHidden/>
    <w:rsid w:val="008E471A"/>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21ACD"/>
    <w:pPr>
      <w:ind w:left="720"/>
      <w:contextualSpacing/>
    </w:p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NormalWeb">
    <w:name w:val="Normal (Web)"/>
    <w:basedOn w:val="Normal"/>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CommentText">
    <w:name w:val="annotation text"/>
    <w:basedOn w:val="Normal"/>
    <w:link w:val="CommentTextChar"/>
    <w:uiPriority w:val="99"/>
    <w:semiHidden/>
    <w:unhideWhenUsed/>
    <w:rsid w:val="008E471A"/>
    <w:pPr>
      <w:spacing w:line="240" w:lineRule="auto"/>
    </w:pPr>
    <w:rPr>
      <w:sz w:val="20"/>
      <w:szCs w:val="20"/>
    </w:rPr>
  </w:style>
  <w:style w:type="paragraph" w:styleId="CommentSubject">
    <w:name w:val="annotation subject"/>
    <w:basedOn w:val="CommentText"/>
    <w:link w:val="CommentSubjectChar"/>
    <w:uiPriority w:val="99"/>
    <w:semiHidden/>
    <w:unhideWhenUsed/>
    <w:rsid w:val="008E471A"/>
    <w:rPr>
      <w:b/>
      <w:bCs/>
    </w:rPr>
  </w:style>
  <w:style w:type="paragraph" w:customStyle="1" w:styleId="FrameContents">
    <w:name w:val="Frame Contents"/>
    <w:basedOn w:val="Normal"/>
  </w:style>
  <w:style w:type="table" w:styleId="TableGrid">
    <w:name w:val="Table Grid"/>
    <w:basedOn w:val="TableNorma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DefaultParagraphFont"/>
    <w:uiPriority w:val="1"/>
    <w:semiHidden/>
    <w:rsid w:val="00E24D18"/>
  </w:style>
  <w:style w:type="paragraph" w:styleId="TOC1">
    <w:name w:val="toc 1"/>
    <w:basedOn w:val="Normal"/>
    <w:next w:val="Normal"/>
    <w:autoRedefine/>
    <w:uiPriority w:val="39"/>
    <w:unhideWhenUsed/>
    <w:qFormat/>
    <w:rsid w:val="006E6552"/>
    <w:pPr>
      <w:tabs>
        <w:tab w:val="left" w:pos="440"/>
        <w:tab w:val="right" w:leader="dot" w:pos="9628"/>
      </w:tabs>
      <w:spacing w:after="0"/>
    </w:pPr>
  </w:style>
  <w:style w:type="character" w:customStyle="1" w:styleId="Heading3Char">
    <w:name w:val="Heading 3 Char"/>
    <w:basedOn w:val="DefaultParagraphFont"/>
    <w:link w:val="Heading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222BD"/>
    <w:rPr>
      <w:rFonts w:asciiTheme="majorHAnsi" w:eastAsiaTheme="majorEastAsia" w:hAnsiTheme="majorHAnsi" w:cstheme="majorBidi"/>
      <w:color w:val="365F91" w:themeColor="accent1" w:themeShade="BF"/>
      <w:sz w:val="26"/>
      <w:szCs w:val="26"/>
    </w:rPr>
  </w:style>
  <w:style w:type="paragraph" w:styleId="FootnoteText">
    <w:name w:val="footnote text"/>
    <w:aliases w:val="Footnote,Footnote Text Char Char,Fußnotentextf"/>
    <w:basedOn w:val="Normal"/>
    <w:link w:val="FootnoteTextChar"/>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aliases w:val="Footnote Char,Footnote Text Char Char Char,Fußnotentextf Char"/>
    <w:basedOn w:val="DefaultParagraphFont"/>
    <w:link w:val="FootnoteText"/>
    <w:uiPriority w:val="99"/>
    <w:rsid w:val="007222BD"/>
    <w:rPr>
      <w:rFonts w:ascii="Times New Roman" w:eastAsia="Times New Roman" w:hAnsi="Times New Roman" w:cs="Times New Roman"/>
      <w:sz w:val="20"/>
      <w:szCs w:val="20"/>
      <w:lang w:eastAsia="lt-LT"/>
    </w:rPr>
  </w:style>
  <w:style w:type="character" w:styleId="FootnoteReference">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3.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6751</Words>
  <Characters>38484</Characters>
  <Application>Microsoft Office Word</Application>
  <DocSecurity>0</DocSecurity>
  <Lines>320</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Marina Sedleckienė</cp:lastModifiedBy>
  <cp:revision>12</cp:revision>
  <cp:lastPrinted>2017-03-07T08:30:00Z</cp:lastPrinted>
  <dcterms:created xsi:type="dcterms:W3CDTF">2025-01-23T11:34:00Z</dcterms:created>
  <dcterms:modified xsi:type="dcterms:W3CDTF">2025-05-08T10:43:00Z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