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6F40C1F3" w14:textId="77777777" w:rsidR="001C24FC" w:rsidRDefault="001C24FC" w:rsidP="001C24FC">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225D7F04" w14:textId="75E0749E" w:rsidR="001C24FC" w:rsidRDefault="001C24FC" w:rsidP="001C24FC">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sidR="006D5638">
        <w:rPr>
          <w:color w:val="000000" w:themeColor="text1"/>
          <w:sz w:val="24"/>
          <w:szCs w:val="24"/>
        </w:rPr>
        <w:t>3</w:t>
      </w:r>
      <w:r w:rsidRPr="00A07732">
        <w:rPr>
          <w:color w:val="000000" w:themeColor="text1"/>
          <w:sz w:val="24"/>
          <w:szCs w:val="24"/>
        </w:rPr>
        <w:t xml:space="preserve"> </w:t>
      </w:r>
      <w:r w:rsidRPr="00A07732">
        <w:rPr>
          <w:sz w:val="24"/>
          <w:szCs w:val="24"/>
        </w:rPr>
        <w:t xml:space="preserve">„Tiekėjo pašalinimo pagrindai, reikalavimai kvalifikacijai ir </w:t>
      </w:r>
    </w:p>
    <w:p w14:paraId="77DE7A1E" w14:textId="77777777" w:rsidR="001C24FC" w:rsidRPr="00675B9B" w:rsidRDefault="001C24FC" w:rsidP="001C24FC">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Pr>
          <w:sz w:val="24"/>
          <w:szCs w:val="24"/>
        </w:rPr>
        <w:t xml:space="preserve">bei </w:t>
      </w:r>
      <w:r w:rsidRPr="00A27065">
        <w:rPr>
          <w:rStyle w:val="Grietas"/>
          <w:b w:val="0"/>
          <w:bCs w:val="0"/>
          <w:sz w:val="24"/>
          <w:szCs w:val="24"/>
        </w:rPr>
        <w:t>darbuotojų saugos ir sveikatos vadybos sistem</w:t>
      </w:r>
      <w:r>
        <w:rPr>
          <w:sz w:val="24"/>
          <w:szCs w:val="24"/>
        </w:rPr>
        <w:t xml:space="preserve">ų </w:t>
      </w:r>
      <w:r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64A938B2" w14:textId="77777777" w:rsidR="001C24FC" w:rsidRPr="001C24FC" w:rsidRDefault="001C24FC" w:rsidP="001C24FC">
      <w:pPr>
        <w:pStyle w:val="Antrat1"/>
        <w:numPr>
          <w:ilvl w:val="0"/>
          <w:numId w:val="0"/>
        </w:numPr>
        <w:tabs>
          <w:tab w:val="left" w:pos="720"/>
        </w:tabs>
        <w:spacing w:before="0" w:after="0"/>
        <w:rPr>
          <w:b/>
          <w:sz w:val="24"/>
          <w:szCs w:val="24"/>
        </w:rPr>
      </w:pPr>
      <w:r w:rsidRPr="001C24FC">
        <w:rPr>
          <w:b/>
          <w:bCs/>
          <w:sz w:val="24"/>
          <w:szCs w:val="24"/>
        </w:rPr>
        <w:t xml:space="preserve">TIEKĖJO PAŠALINIMO PAGRINDAI, REIKALAVIMAI KVALIFIKACIJAI IR REIKALAUJAMI KOKYBĖS BEI APLINKOS APSAUGOS VADYBOS BEI </w:t>
      </w:r>
      <w:r w:rsidRPr="001C24FC">
        <w:rPr>
          <w:rStyle w:val="Grietas"/>
          <w:sz w:val="24"/>
          <w:szCs w:val="24"/>
        </w:rPr>
        <w:t xml:space="preserve">DARBUOTOJŲ SAUGOS IR SVEIKATOS VADYBOS </w:t>
      </w:r>
      <w:r w:rsidRPr="001C24FC">
        <w:rPr>
          <w:b/>
          <w:bCs/>
          <w:sz w:val="24"/>
          <w:szCs w:val="24"/>
        </w:rPr>
        <w:t>SISTEMŲ STANDARTAI</w:t>
      </w:r>
    </w:p>
    <w:p w14:paraId="4AF0E4CC" w14:textId="77777777" w:rsidR="001C24FC" w:rsidRPr="00856D77" w:rsidRDefault="001C24FC" w:rsidP="001C24FC">
      <w:pPr>
        <w:spacing w:after="0" w:line="240" w:lineRule="auto"/>
      </w:pPr>
    </w:p>
    <w:p w14:paraId="63656D8B" w14:textId="77777777" w:rsidR="00391E55" w:rsidRPr="00856D77" w:rsidRDefault="00391E55" w:rsidP="00EB7526">
      <w:pPr>
        <w:spacing w:after="0" w:line="240" w:lineRule="auto"/>
      </w:pPr>
    </w:p>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4F4CB6">
        <w:trPr>
          <w:cantSplit/>
          <w:tblHeader/>
        </w:trPr>
        <w:tc>
          <w:tcPr>
            <w:tcW w:w="812"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proofErr w:type="spellStart"/>
            <w:r>
              <w:rPr>
                <w:b/>
                <w:szCs w:val="24"/>
                <w:lang w:eastAsia="en-US"/>
              </w:rPr>
              <w:t>n</w:t>
            </w:r>
            <w:r w:rsidRPr="00191CC4">
              <w:rPr>
                <w:b/>
                <w:szCs w:val="24"/>
                <w:lang w:eastAsia="en-US"/>
              </w:rPr>
              <w:t>r.</w:t>
            </w:r>
            <w:proofErr w:type="spellEnd"/>
          </w:p>
        </w:tc>
        <w:tc>
          <w:tcPr>
            <w:tcW w:w="4570"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536"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4F4CB6">
        <w:tc>
          <w:tcPr>
            <w:tcW w:w="812"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570"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536"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28CDB5E0" w14:textId="77777777" w:rsidR="004F4CB6" w:rsidRPr="00191CC4" w:rsidRDefault="004F4CB6" w:rsidP="004F4CB6">
      <w:pPr>
        <w:spacing w:after="0" w:line="240" w:lineRule="auto"/>
        <w:ind w:left="360"/>
        <w:rPr>
          <w:rFonts w:eastAsia="Times New Roman" w:cs="Times New Roman"/>
          <w:szCs w:val="24"/>
          <w:lang w:eastAsia="en-US"/>
        </w:rPr>
      </w:pPr>
    </w:p>
    <w:bookmarkEnd w:id="0"/>
    <w:p w14:paraId="27E079DF" w14:textId="77777777" w:rsidR="001C24FC" w:rsidRPr="00CB56D6" w:rsidRDefault="001C24FC" w:rsidP="001C24FC">
      <w:pPr>
        <w:pStyle w:val="Sraopastraipa"/>
        <w:numPr>
          <w:ilvl w:val="0"/>
          <w:numId w:val="27"/>
        </w:numPr>
        <w:tabs>
          <w:tab w:val="left" w:pos="360"/>
        </w:tabs>
        <w:suppressAutoHyphens w:val="0"/>
        <w:spacing w:after="0" w:line="240" w:lineRule="auto"/>
        <w:ind w:left="0" w:firstLine="360"/>
        <w:jc w:val="both"/>
        <w:rPr>
          <w:rFonts w:eastAsia="Times New Roman" w:cs="Times New Roman"/>
          <w:szCs w:val="24"/>
          <w:lang w:eastAsia="en-US"/>
        </w:rPr>
      </w:pPr>
      <w:r w:rsidRPr="00CB56D6">
        <w:rPr>
          <w:rFonts w:eastAsia="Times New Roman" w:cs="Times New Roman"/>
          <w:szCs w:val="24"/>
          <w:lang w:eastAsia="en-US"/>
        </w:rPr>
        <w:t>Perkančioji organizacija šiame pirkime nereikalauja, kad tiekėjai laikytųsi kokybės vadybos sistemos. Reikalaujama</w:t>
      </w:r>
      <w:r>
        <w:rPr>
          <w:rFonts w:eastAsia="Times New Roman" w:cs="Times New Roman"/>
          <w:szCs w:val="24"/>
          <w:lang w:eastAsia="en-US"/>
        </w:rPr>
        <w:t xml:space="preserve">, kad tiekėjai turi atitikti reikalavimus dėl </w:t>
      </w:r>
      <w:r w:rsidRPr="00CB56D6">
        <w:rPr>
          <w:rFonts w:eastAsia="Times New Roman" w:cs="Times New Roman"/>
          <w:szCs w:val="24"/>
          <w:lang w:eastAsia="en-US"/>
        </w:rPr>
        <w:t xml:space="preserve">aplinkos apsaugos vadybos sistemos </w:t>
      </w:r>
      <w:r>
        <w:rPr>
          <w:rFonts w:eastAsia="Times New Roman" w:cs="Times New Roman"/>
          <w:szCs w:val="24"/>
          <w:lang w:eastAsia="en-US"/>
        </w:rPr>
        <w:t>ir darbuotojų saugos ir sveikatos vadybos sistemos</w:t>
      </w:r>
      <w:r w:rsidRPr="00CB56D6">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812"/>
        <w:gridCol w:w="3861"/>
        <w:gridCol w:w="4955"/>
      </w:tblGrid>
      <w:tr w:rsidR="001C24FC" w:rsidRPr="00191CC4" w14:paraId="0AB2774B" w14:textId="77777777" w:rsidTr="00916CE6">
        <w:tc>
          <w:tcPr>
            <w:tcW w:w="812" w:type="dxa"/>
          </w:tcPr>
          <w:p w14:paraId="69B01A3B" w14:textId="77777777" w:rsidR="001C24FC" w:rsidRPr="00191CC4" w:rsidRDefault="001C24FC" w:rsidP="00916CE6">
            <w:pPr>
              <w:jc w:val="center"/>
              <w:rPr>
                <w:b/>
                <w:szCs w:val="24"/>
                <w:lang w:eastAsia="en-US"/>
              </w:rPr>
            </w:pPr>
            <w:r w:rsidRPr="00191CC4">
              <w:rPr>
                <w:b/>
                <w:szCs w:val="24"/>
                <w:lang w:eastAsia="en-US"/>
              </w:rPr>
              <w:t xml:space="preserve">Eil. </w:t>
            </w:r>
            <w:proofErr w:type="spellStart"/>
            <w:r>
              <w:rPr>
                <w:b/>
                <w:szCs w:val="24"/>
                <w:lang w:eastAsia="en-US"/>
              </w:rPr>
              <w:t>n</w:t>
            </w:r>
            <w:r w:rsidRPr="00191CC4">
              <w:rPr>
                <w:b/>
                <w:szCs w:val="24"/>
                <w:lang w:eastAsia="en-US"/>
              </w:rPr>
              <w:t>r.</w:t>
            </w:r>
            <w:proofErr w:type="spellEnd"/>
          </w:p>
        </w:tc>
        <w:tc>
          <w:tcPr>
            <w:tcW w:w="3861" w:type="dxa"/>
          </w:tcPr>
          <w:p w14:paraId="23EB2872" w14:textId="77777777" w:rsidR="001C24FC" w:rsidRPr="00191CC4" w:rsidRDefault="001C24FC" w:rsidP="00916CE6">
            <w:pPr>
              <w:jc w:val="center"/>
              <w:rPr>
                <w:b/>
                <w:szCs w:val="24"/>
                <w:lang w:eastAsia="en-US"/>
              </w:rPr>
            </w:pPr>
            <w:r w:rsidRPr="00191CC4">
              <w:rPr>
                <w:b/>
                <w:szCs w:val="24"/>
                <w:lang w:eastAsia="en-US"/>
              </w:rPr>
              <w:t>Reikalavimai</w:t>
            </w:r>
          </w:p>
        </w:tc>
        <w:tc>
          <w:tcPr>
            <w:tcW w:w="4955" w:type="dxa"/>
          </w:tcPr>
          <w:p w14:paraId="0F7B5D2E" w14:textId="77777777" w:rsidR="001C24FC" w:rsidRPr="00191CC4" w:rsidRDefault="001C24FC" w:rsidP="00916CE6">
            <w:pPr>
              <w:jc w:val="center"/>
              <w:rPr>
                <w:b/>
                <w:szCs w:val="24"/>
                <w:lang w:eastAsia="en-US"/>
              </w:rPr>
            </w:pPr>
            <w:r w:rsidRPr="00191CC4">
              <w:rPr>
                <w:b/>
                <w:szCs w:val="24"/>
                <w:lang w:eastAsia="en-US"/>
              </w:rPr>
              <w:t>Patvirtinančių dokumentų sąrašas</w:t>
            </w:r>
          </w:p>
        </w:tc>
      </w:tr>
      <w:tr w:rsidR="001C24FC" w:rsidRPr="00191CC4" w14:paraId="026824D1" w14:textId="77777777" w:rsidTr="00916CE6">
        <w:tc>
          <w:tcPr>
            <w:tcW w:w="812" w:type="dxa"/>
          </w:tcPr>
          <w:p w14:paraId="7B9739F4" w14:textId="77777777" w:rsidR="001C24FC" w:rsidRPr="00191CC4" w:rsidRDefault="001C24FC" w:rsidP="00916CE6">
            <w:pPr>
              <w:jc w:val="center"/>
              <w:rPr>
                <w:szCs w:val="24"/>
                <w:highlight w:val="yellow"/>
                <w:lang w:eastAsia="en-US"/>
              </w:rPr>
            </w:pPr>
            <w:r>
              <w:rPr>
                <w:szCs w:val="24"/>
                <w:lang w:eastAsia="en-US"/>
              </w:rPr>
              <w:t>2</w:t>
            </w:r>
            <w:r w:rsidRPr="00BB6C2E">
              <w:rPr>
                <w:szCs w:val="24"/>
                <w:lang w:eastAsia="en-US"/>
              </w:rPr>
              <w:t>.1.</w:t>
            </w:r>
          </w:p>
        </w:tc>
        <w:tc>
          <w:tcPr>
            <w:tcW w:w="3861" w:type="dxa"/>
          </w:tcPr>
          <w:p w14:paraId="7397514E" w14:textId="77777777" w:rsidR="001C24FC" w:rsidRPr="007D635E" w:rsidRDefault="001C24FC" w:rsidP="00916CE6">
            <w:pPr>
              <w:jc w:val="both"/>
              <w:rPr>
                <w:color w:val="000000" w:themeColor="text1"/>
                <w:szCs w:val="24"/>
                <w:lang w:eastAsia="en-US"/>
              </w:rPr>
            </w:pPr>
            <w:r w:rsidRPr="00932BA5">
              <w:rPr>
                <w:rFonts w:eastAsia="SimSun"/>
                <w:iCs/>
                <w:color w:val="000000" w:themeColor="text1"/>
                <w:szCs w:val="24"/>
              </w:rPr>
              <w:t>Tiekėjas</w:t>
            </w:r>
            <w:r>
              <w:rPr>
                <w:rStyle w:val="Puslapioinaosnuoroda"/>
                <w:rFonts w:eastAsia="SimSun"/>
              </w:rPr>
              <w:footnoteReference w:id="1"/>
            </w:r>
            <w:r w:rsidRPr="00932BA5">
              <w:rPr>
                <w:rFonts w:eastAsia="SimSun"/>
                <w:iCs/>
                <w:color w:val="000000" w:themeColor="text1"/>
                <w:szCs w:val="24"/>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55" w:type="dxa"/>
          </w:tcPr>
          <w:p w14:paraId="0F170D5B" w14:textId="77777777" w:rsidR="001C24FC" w:rsidRPr="00BB6C2E" w:rsidRDefault="001C24FC" w:rsidP="00916CE6">
            <w:pPr>
              <w:jc w:val="both"/>
              <w:rPr>
                <w:color w:val="000000" w:themeColor="text1"/>
                <w:szCs w:val="24"/>
                <w:lang w:eastAsia="en-US"/>
              </w:rPr>
            </w:pPr>
            <w:r w:rsidRPr="00BB6C2E">
              <w:rPr>
                <w:color w:val="000000" w:themeColor="text1"/>
                <w:szCs w:val="24"/>
                <w:lang w:eastAsia="en-US"/>
              </w:rPr>
              <w:t xml:space="preserve">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w:t>
            </w:r>
            <w:r w:rsidRPr="00BB6C2E">
              <w:rPr>
                <w:color w:val="000000" w:themeColor="text1"/>
                <w:szCs w:val="24"/>
                <w:lang w:eastAsia="en-US"/>
              </w:rPr>
              <w:lastRenderedPageBreak/>
              <w:t>priemonės atitinka reikalaujamus aplinkos apsaugos vadybos sistemos standartus.</w:t>
            </w:r>
          </w:p>
        </w:tc>
      </w:tr>
      <w:tr w:rsidR="001C24FC" w:rsidRPr="00191CC4" w14:paraId="610A81A3" w14:textId="77777777" w:rsidTr="00916CE6">
        <w:tc>
          <w:tcPr>
            <w:tcW w:w="812" w:type="dxa"/>
          </w:tcPr>
          <w:p w14:paraId="705927B6" w14:textId="77777777" w:rsidR="001C24FC" w:rsidRPr="00111CDB" w:rsidRDefault="001C24FC" w:rsidP="00916CE6">
            <w:pPr>
              <w:jc w:val="center"/>
              <w:rPr>
                <w:szCs w:val="24"/>
                <w:lang w:val="en-US" w:eastAsia="en-US"/>
              </w:rPr>
            </w:pPr>
            <w:r>
              <w:rPr>
                <w:szCs w:val="24"/>
                <w:lang w:val="en-US" w:eastAsia="en-US"/>
              </w:rPr>
              <w:lastRenderedPageBreak/>
              <w:t>2.2.</w:t>
            </w:r>
          </w:p>
        </w:tc>
        <w:tc>
          <w:tcPr>
            <w:tcW w:w="3861" w:type="dxa"/>
          </w:tcPr>
          <w:p w14:paraId="27555D65" w14:textId="77777777" w:rsidR="001C24FC" w:rsidRPr="00932BA5" w:rsidRDefault="001C24FC" w:rsidP="00916CE6">
            <w:pPr>
              <w:jc w:val="both"/>
              <w:rPr>
                <w:rFonts w:eastAsia="SimSun"/>
                <w:iCs/>
                <w:color w:val="000000" w:themeColor="text1"/>
                <w:szCs w:val="24"/>
              </w:rPr>
            </w:pPr>
            <w:r>
              <w:t>Tiekėjas</w:t>
            </w:r>
            <w:r>
              <w:rPr>
                <w:rStyle w:val="Puslapioinaosnuoroda"/>
              </w:rPr>
              <w:footnoteReference w:id="2"/>
            </w:r>
            <w:r>
              <w:t xml:space="preserve"> atliekamiems darbams taiko darbuotojų saugos ir sveikatos vadybos sistemos reikalavimus pagal standartą </w:t>
            </w:r>
            <w:r w:rsidRPr="009B74B1">
              <w:rPr>
                <w:rStyle w:val="Grietas"/>
                <w:b w:val="0"/>
                <w:bCs w:val="0"/>
              </w:rPr>
              <w:t>LST EN ISO 45001:2018</w:t>
            </w:r>
            <w:r>
              <w:t xml:space="preserve"> arba kitus darbuotojų saugos ir sveikatos vadybos standartus, pagrįstus atitinkamais Europos arba tarptautinių standartizacijos organizacijų priimtais standartais ar kitais tiekėjo pateiktais lygiaverčiais įrodymais.</w:t>
            </w:r>
          </w:p>
        </w:tc>
        <w:tc>
          <w:tcPr>
            <w:tcW w:w="4955" w:type="dxa"/>
          </w:tcPr>
          <w:p w14:paraId="10ECA1DE" w14:textId="77777777" w:rsidR="001C24FC" w:rsidRPr="00BB6C2E" w:rsidRDefault="001C24FC" w:rsidP="00916CE6">
            <w:pPr>
              <w:jc w:val="both"/>
              <w:rPr>
                <w:color w:val="000000" w:themeColor="text1"/>
                <w:szCs w:val="24"/>
                <w:lang w:eastAsia="en-US"/>
              </w:rPr>
            </w:pPr>
            <w:r>
              <w:t xml:space="preserve">Nepriklausomos įstaigos išduotas sertifikatas. Perkančioji organizacija pripažįsta lygiaverčius sertifikatus, išduotus kitose valstybėse narėse įsteigtų nepriklausomų įstaigų. Perkančioji organizacija priima ir kitus tiekėjo lygiaverčius darbuotojų saugos ir sveikatos vadybos užtikrinimo priemonių įrodymus, kurie patvirtintų, kad jo siūlomos darbuotojų saugos ir sveikatos vadybos užtikrinimo priemonės atitinka reikalaujamus </w:t>
            </w:r>
            <w:r w:rsidRPr="009B74B1">
              <w:rPr>
                <w:rStyle w:val="Grietas"/>
                <w:b w:val="0"/>
                <w:bCs w:val="0"/>
              </w:rPr>
              <w:t>darbuotojų saugos ir sveikatos vadybos sistemos</w:t>
            </w:r>
            <w:r w:rsidRPr="009B74B1">
              <w:t xml:space="preserve"> standartus, ir pateikia įrodymus, kurie patvirtintų, kad tiekėjo siūlomos </w:t>
            </w:r>
            <w:r w:rsidRPr="009B74B1">
              <w:rPr>
                <w:rStyle w:val="Grietas"/>
                <w:b w:val="0"/>
                <w:bCs w:val="0"/>
              </w:rPr>
              <w:t>darbuotojų saugos ir sveikatos vadybos užtikrinimo priemonės</w:t>
            </w:r>
            <w:r w:rsidRPr="009B74B1">
              <w:t xml:space="preserve"> atitinka reikalaujamus </w:t>
            </w:r>
            <w:r w:rsidRPr="009B74B1">
              <w:rPr>
                <w:rStyle w:val="Grietas"/>
                <w:b w:val="0"/>
                <w:bCs w:val="0"/>
              </w:rPr>
              <w:t>ISO 45001:2018 arba lygiaverčio standarto</w:t>
            </w:r>
            <w:r w:rsidRPr="009B74B1">
              <w:t xml:space="preserve"> reikalavimus.</w:t>
            </w:r>
          </w:p>
        </w:tc>
      </w:tr>
    </w:tbl>
    <w:p w14:paraId="6B1C28B2" w14:textId="77777777" w:rsidR="001C24FC" w:rsidRPr="00191CC4" w:rsidRDefault="001C24FC" w:rsidP="001C24FC">
      <w:pPr>
        <w:spacing w:after="0" w:line="240" w:lineRule="auto"/>
        <w:rPr>
          <w:rFonts w:cs="Times New Roman"/>
          <w:szCs w:val="24"/>
          <w:lang w:eastAsia="en-US"/>
        </w:rPr>
      </w:pPr>
    </w:p>
    <w:p w14:paraId="325236BE" w14:textId="38DB6911" w:rsidR="001C24FC" w:rsidRPr="00CB56D6" w:rsidRDefault="001C24FC" w:rsidP="001C24FC">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6D5638">
        <w:rPr>
          <w:rFonts w:cs="Times New Roman"/>
          <w:b/>
          <w:bCs/>
          <w:szCs w:val="24"/>
        </w:rPr>
        <w:t>3</w:t>
      </w:r>
      <w:r w:rsidRPr="00863B2E">
        <w:rPr>
          <w:rFonts w:cs="Times New Roman"/>
          <w:b/>
          <w:bCs/>
          <w:szCs w:val="24"/>
        </w:rPr>
        <w:t xml:space="preserve"> </w:t>
      </w:r>
      <w:r>
        <w:rPr>
          <w:rFonts w:cs="Times New Roman"/>
          <w:b/>
          <w:bCs/>
          <w:szCs w:val="24"/>
        </w:rPr>
        <w:t>priede</w:t>
      </w:r>
      <w:r w:rsidRPr="00CB56D6">
        <w:rPr>
          <w:rFonts w:cs="Times New Roman"/>
          <w:b/>
          <w:bCs/>
          <w:szCs w:val="24"/>
        </w:rPr>
        <w:t xml:space="preserve"> nurodytus kvalifikacijos ir kitus reikalavimus.</w:t>
      </w:r>
    </w:p>
    <w:p w14:paraId="53452B3F" w14:textId="386F7B78" w:rsidR="00EF369A" w:rsidRPr="001C24FC" w:rsidRDefault="00EF369A" w:rsidP="001C24FC">
      <w:pPr>
        <w:tabs>
          <w:tab w:val="left" w:pos="360"/>
        </w:tabs>
        <w:suppressAutoHyphens w:val="0"/>
        <w:spacing w:after="0" w:line="240" w:lineRule="auto"/>
        <w:jc w:val="both"/>
        <w:rPr>
          <w:rFonts w:cs="Times New Roman"/>
          <w:szCs w:val="24"/>
          <w:lang w:eastAsia="en-US"/>
        </w:rPr>
      </w:pPr>
    </w:p>
    <w:sectPr w:rsidR="00EF369A" w:rsidRPr="001C24F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25C9" w14:textId="77777777" w:rsidR="00546C0C" w:rsidRDefault="00546C0C" w:rsidP="009704AF">
      <w:pPr>
        <w:spacing w:after="0" w:line="240" w:lineRule="auto"/>
      </w:pPr>
      <w:r>
        <w:separator/>
      </w:r>
    </w:p>
  </w:endnote>
  <w:endnote w:type="continuationSeparator" w:id="0">
    <w:p w14:paraId="0C4F9CEF" w14:textId="77777777" w:rsidR="00546C0C" w:rsidRDefault="00546C0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875D" w14:textId="77777777" w:rsidR="00546C0C" w:rsidRDefault="00546C0C" w:rsidP="009704AF">
      <w:pPr>
        <w:spacing w:after="0" w:line="240" w:lineRule="auto"/>
      </w:pPr>
      <w:r>
        <w:separator/>
      </w:r>
    </w:p>
  </w:footnote>
  <w:footnote w:type="continuationSeparator" w:id="0">
    <w:p w14:paraId="743DCDBA" w14:textId="77777777" w:rsidR="00546C0C" w:rsidRDefault="00546C0C" w:rsidP="009704AF">
      <w:pPr>
        <w:spacing w:after="0" w:line="240" w:lineRule="auto"/>
      </w:pPr>
      <w:r>
        <w:continuationSeparator/>
      </w:r>
    </w:p>
  </w:footnote>
  <w:footnote w:id="1">
    <w:p w14:paraId="170AD717" w14:textId="77777777" w:rsidR="001C24FC" w:rsidRPr="00914B08" w:rsidRDefault="001C24FC" w:rsidP="001C24FC">
      <w:pPr>
        <w:pStyle w:val="Puslapioinaostekstas"/>
        <w:jc w:val="both"/>
        <w:rPr>
          <w:color w:val="0000FF"/>
        </w:rPr>
      </w:pPr>
      <w:r w:rsidRPr="00914B08">
        <w:rPr>
          <w:rStyle w:val="Puslapioinaosnuoroda"/>
        </w:rPr>
        <w:footnoteRef/>
      </w:r>
      <w:r w:rsidRPr="00914B08">
        <w:t xml:space="preserve"> </w:t>
      </w:r>
      <w:r w:rsidRPr="000D5249">
        <w:rPr>
          <w:color w:val="000000" w:themeColor="text1"/>
        </w:rPr>
        <w:t>Jeigu pasiūlymą teikia ūkio subjektų grupė – reikalavimą turi atitikti ūkio subjektų grupės narys (-</w:t>
      </w:r>
      <w:proofErr w:type="spellStart"/>
      <w:r w:rsidRPr="000D5249">
        <w:rPr>
          <w:color w:val="000000" w:themeColor="text1"/>
        </w:rPr>
        <w:t>iai</w:t>
      </w:r>
      <w:proofErr w:type="spellEnd"/>
      <w:r w:rsidRPr="000D5249">
        <w:rPr>
          <w:color w:val="000000" w:themeColor="text1"/>
        </w:rPr>
        <w:t xml:space="preserve">), </w:t>
      </w:r>
      <w:r w:rsidRPr="000D5249">
        <w:rPr>
          <w:b/>
          <w:color w:val="000000" w:themeColor="text1"/>
        </w:rPr>
        <w:t>atsižvelgiant į jų prisiimamus įsipareigojimus pirkimo sutarčiai vykdyti</w:t>
      </w:r>
      <w:r w:rsidRPr="000D5249">
        <w:rPr>
          <w:color w:val="000000" w:themeColor="text1"/>
        </w:rPr>
        <w:t xml:space="preserve">; tiekėjas </w:t>
      </w:r>
      <w:r w:rsidRPr="000D5249">
        <w:rPr>
          <w:b/>
          <w:color w:val="000000" w:themeColor="text1"/>
        </w:rPr>
        <w:t>gali remtis</w:t>
      </w:r>
      <w:r w:rsidRPr="000D5249">
        <w:rPr>
          <w:color w:val="000000" w:themeColor="text1"/>
        </w:rPr>
        <w:t xml:space="preserve"> kitų ūkio subjektų pajėgumais atsižvelgiant į jų prisiimamus įsipareigojimus pirkimo sutarčiai vykdyti; subtiekėjai </w:t>
      </w:r>
      <w:r w:rsidRPr="000D5249">
        <w:rPr>
          <w:b/>
          <w:color w:val="000000" w:themeColor="text1"/>
        </w:rPr>
        <w:t>turi laikytis</w:t>
      </w:r>
      <w:r w:rsidRPr="000D5249">
        <w:rPr>
          <w:color w:val="000000" w:themeColor="text1"/>
        </w:rPr>
        <w:t xml:space="preserve"> reikalaujamų aplinkos apsaugos vadybos priemonių, atsižvelgiant į jų prisiimamus įsipareigojimus pirkimo sutarčiai vykdyti.</w:t>
      </w:r>
    </w:p>
  </w:footnote>
  <w:footnote w:id="2">
    <w:p w14:paraId="15EA4C73" w14:textId="77777777" w:rsidR="001C24FC" w:rsidRDefault="001C24FC" w:rsidP="001C24FC">
      <w:pPr>
        <w:pStyle w:val="Puslapioinaostekstas"/>
      </w:pPr>
      <w:r>
        <w:rPr>
          <w:rStyle w:val="Puslapioinaosnuoroda"/>
        </w:rPr>
        <w:footnoteRef/>
      </w:r>
      <w:r>
        <w:t xml:space="preserve"> Jeigu pasiūlymą teikia ūkio subjektų grupė, reikalavimą turi atitikti ūkio subjektų grupės narys (-</w:t>
      </w:r>
      <w:proofErr w:type="spellStart"/>
      <w:r>
        <w:t>iai</w:t>
      </w:r>
      <w:proofErr w:type="spellEnd"/>
      <w:r>
        <w:t xml:space="preserve">), atsižvelgiant į jų prisiimamus įsipareigojimus pirkimo sutarčiai vykdyti. Tiekėjas gali remtis kitų ūkio subjektų pajėgumais, atsižvelgiant į jų prisiimamus įsipareigojimus pirkimo sutarčiai vykdyti. Subtiekėjai turi laikytis reikalaujamų </w:t>
      </w:r>
      <w:r>
        <w:rPr>
          <w:rStyle w:val="Grietas"/>
        </w:rPr>
        <w:t>darbuotojų saugos ir sveikatos vadybos</w:t>
      </w:r>
      <w:r>
        <w:t xml:space="preserve"> priemonių, atsižvelgiant į jų prisiimamus įsipareigojimus pirkimo sutarčiai vykdyti pagal </w:t>
      </w:r>
      <w:r>
        <w:rPr>
          <w:rStyle w:val="Grietas"/>
        </w:rPr>
        <w:t>ISO 45001:2018 arba lygiaverčio standarto</w:t>
      </w:r>
      <w:r>
        <w:t xml:space="preserve">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861499"/>
    <w:multiLevelType w:val="hybridMultilevel"/>
    <w:tmpl w:val="B99C466E"/>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5EB8188C"/>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2"/>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4FC"/>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6B8E"/>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6C0C"/>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638"/>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731B"/>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665B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2275</Words>
  <Characters>1298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15</cp:revision>
  <cp:lastPrinted>2020-06-16T06:01:00Z</cp:lastPrinted>
  <dcterms:created xsi:type="dcterms:W3CDTF">2025-03-10T04:58:00Z</dcterms:created>
  <dcterms:modified xsi:type="dcterms:W3CDTF">2025-04-03T03:37:00Z</dcterms:modified>
</cp:coreProperties>
</file>