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15F658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742FB0">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5B18E9">
            <w:rPr>
              <w:rFonts w:ascii="Times New Roman" w:eastAsia="Times New Roman" w:hAnsi="Times New Roman" w:cs="Times New Roman"/>
              <w:noProof/>
              <w:sz w:val="24"/>
              <w:szCs w:val="24"/>
            </w:rPr>
            <w:t>1</w:t>
          </w:r>
          <w:r w:rsidR="00742FB0">
            <w:rPr>
              <w:rFonts w:ascii="Times New Roman" w:eastAsia="Times New Roman" w:hAnsi="Times New Roman" w:cs="Times New Roman"/>
              <w:noProof/>
              <w:sz w:val="24"/>
              <w:szCs w:val="24"/>
            </w:rPr>
            <w:t>3</w:t>
          </w:r>
          <w:r w:rsidR="006935B4" w:rsidRPr="00D51822">
            <w:rPr>
              <w:rFonts w:ascii="Times New Roman" w:eastAsia="Times New Roman" w:hAnsi="Times New Roman" w:cs="Times New Roman"/>
              <w:noProof/>
              <w:sz w:val="24"/>
              <w:szCs w:val="24"/>
            </w:rPr>
            <w:t xml:space="preserve"> </w:t>
          </w:r>
        </w:p>
        <w:p w14:paraId="2B84068B" w14:textId="46EC56C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1672</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DFA8E2D"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742FB0" w:rsidRPr="00742FB0">
            <w:rPr>
              <w:rFonts w:ascii="Times New Roman" w:hAnsi="Times New Roman" w:cs="Times New Roman"/>
              <w:b/>
              <w:caps/>
              <w:sz w:val="28"/>
              <w:szCs w:val="28"/>
            </w:rPr>
            <w:t>FIZIOTERAPIJOS ĮRANGA (KRIOTERAPIJOS, MAGNETOTERAPIJOS PRIETAISAI IR MECHANINIS LIMFODRENAŽO APARATAS)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2AF7CA7"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BD33B2">
        <w:rPr>
          <w:rFonts w:ascii="Times New Roman" w:eastAsia="Calibri" w:hAnsi="Times New Roman" w:cs="Times New Roman"/>
          <w:sz w:val="24"/>
          <w:szCs w:val="24"/>
        </w:rPr>
        <w:t>fizioterapijos įrangą (krioterapijos, magnetoterapijos prietaisus ir mechaninį limfodrenažo aparatą)</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681CB56"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B76FBB" w:rsidRPr="00BD33B2">
        <w:rPr>
          <w:rFonts w:ascii="Times New Roman" w:hAnsi="Times New Roman" w:cs="Times New Roman"/>
          <w:sz w:val="24"/>
          <w:szCs w:val="24"/>
        </w:rPr>
        <w:t>.</w:t>
      </w:r>
      <w:r w:rsidR="00C70DD0" w:rsidRPr="00BD33B2">
        <w:rPr>
          <w:rFonts w:ascii="Times New Roman" w:hAnsi="Times New Roman" w:cs="Times New Roman"/>
          <w:sz w:val="24"/>
          <w:szCs w:val="24"/>
        </w:rPr>
        <w:t xml:space="preserve"> </w:t>
      </w:r>
      <w:r w:rsidR="00DF35F4" w:rsidRPr="00BD33B2">
        <w:rPr>
          <w:rFonts w:ascii="Times New Roman" w:hAnsi="Times New Roman" w:cs="Times New Roman"/>
          <w:sz w:val="24"/>
          <w:szCs w:val="24"/>
        </w:rPr>
        <w:t xml:space="preserve"> </w:t>
      </w:r>
      <w:r w:rsidR="00BD33B2" w:rsidRPr="00BD33B2">
        <w:rPr>
          <w:rFonts w:ascii="Times New Roman" w:hAnsi="Times New Roman" w:cs="Times New Roman"/>
          <w:sz w:val="24"/>
          <w:szCs w:val="24"/>
        </w:rPr>
        <w:t xml:space="preserve">Pirkimo objektas skaidomas į </w:t>
      </w:r>
      <w:r w:rsidR="00BD33B2">
        <w:rPr>
          <w:rFonts w:ascii="Times New Roman" w:hAnsi="Times New Roman" w:cs="Times New Roman"/>
          <w:sz w:val="24"/>
          <w:szCs w:val="24"/>
        </w:rPr>
        <w:t>3</w:t>
      </w:r>
      <w:r w:rsidR="00BD33B2" w:rsidRPr="00BD33B2">
        <w:rPr>
          <w:rFonts w:ascii="Times New Roman" w:hAnsi="Times New Roman" w:cs="Times New Roman"/>
          <w:color w:val="00B050"/>
          <w:sz w:val="24"/>
          <w:szCs w:val="24"/>
        </w:rPr>
        <w:t xml:space="preserve"> </w:t>
      </w:r>
      <w:r w:rsidR="00BD33B2" w:rsidRPr="00BD33B2">
        <w:rPr>
          <w:rFonts w:ascii="Times New Roman" w:hAnsi="Times New Roman" w:cs="Times New Roman"/>
          <w:sz w:val="24"/>
          <w:szCs w:val="24"/>
        </w:rPr>
        <w:t xml:space="preserve">dalis (-ių), kurių apimtys ir dalykas, reikalavimai ir techninė specifikacija apibrėžti </w:t>
      </w:r>
      <w:bookmarkStart w:id="7" w:name="_Hlk91152632"/>
      <w:r w:rsidR="00BD33B2" w:rsidRPr="00BD33B2">
        <w:rPr>
          <w:rFonts w:ascii="Times New Roman" w:hAnsi="Times New Roman" w:cs="Times New Roman"/>
          <w:sz w:val="24"/>
          <w:szCs w:val="24"/>
        </w:rPr>
        <w:t>specialiųjų pirkimo sąlygų 2 priede</w:t>
      </w:r>
      <w:bookmarkEnd w:id="7"/>
      <w:r w:rsidR="00BD33B2" w:rsidRPr="00BD33B2">
        <w:rPr>
          <w:rFonts w:ascii="Times New Roman" w:hAnsi="Times New Roman" w:cs="Times New Roman"/>
          <w:sz w:val="24"/>
          <w:szCs w:val="24"/>
        </w:rPr>
        <w:t>. Perkančioji organizacija sudarys vieną sutartį dėl pirkimo dalių, dėl kurių laimėtoju nustatytas tas pats tiekėjas</w:t>
      </w:r>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 xml:space="preserve">(specialiųjų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w:t>
      </w:r>
      <w:r w:rsidRPr="00386479">
        <w:rPr>
          <w:rFonts w:ascii="Times New Roman" w:hAnsi="Times New Roman" w:cs="Times New Roman"/>
          <w:sz w:val="24"/>
          <w:szCs w:val="24"/>
        </w:rPr>
        <w:lastRenderedPageBreak/>
        <w:t>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2595E432" w:rsidR="001A28D4" w:rsidRPr="000C296D" w:rsidRDefault="00BD33B2" w:rsidP="00C444F1">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D33B2"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BD33B2" w:rsidRPr="00D51822" w:rsidRDefault="00BD33B2" w:rsidP="00BD33B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BD33B2" w:rsidRPr="00D51822" w:rsidRDefault="00BD33B2" w:rsidP="00BD33B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7428D70" w:rsidR="00BD33B2" w:rsidRPr="00D51822" w:rsidRDefault="00BD33B2" w:rsidP="00BD33B2">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BD33B2" w:rsidRPr="00D51822" w:rsidRDefault="00BD33B2" w:rsidP="00BD33B2">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29370</Words>
  <Characters>16742</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2024-08-12T11:05:00Z</cp:lastPrinted>
  <dcterms:created xsi:type="dcterms:W3CDTF">2025-05-13T09:22:00Z</dcterms:created>
  <dcterms:modified xsi:type="dcterms:W3CDTF">2025-05-13T09:46:00Z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