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3A7A8C08" w:rsidR="0068231C" w:rsidRDefault="003043E9">
            <w:pPr>
              <w:jc w:val="both"/>
              <w:rPr>
                <w:kern w:val="2"/>
                <w:szCs w:val="24"/>
              </w:rPr>
            </w:pPr>
            <w:r w:rsidRPr="003043E9">
              <w:rPr>
                <w:kern w:val="2"/>
                <w:szCs w:val="24"/>
              </w:rPr>
              <w:t xml:space="preserve"> „Dviejų dalių išmatų rinktuvų komplektas (10943)“</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0FBA1AB" w:rsidR="00E5166C" w:rsidRPr="004C6076" w:rsidRDefault="00E5166C" w:rsidP="00E5166C">
            <w:pPr>
              <w:jc w:val="both"/>
              <w:rPr>
                <w:color w:val="4472C4"/>
                <w:kern w:val="2"/>
                <w:szCs w:val="24"/>
              </w:rPr>
            </w:pPr>
            <w:r w:rsidRPr="004C6076">
              <w:rPr>
                <w:kern w:val="2"/>
                <w:szCs w:val="24"/>
              </w:rPr>
              <w:t>2.1.1. Už Sutarties vykdymą ir prekių priėmimą atsakingas:</w:t>
            </w:r>
            <w:r w:rsidR="00F80BA0">
              <w:t xml:space="preserve"> </w:t>
            </w:r>
            <w:r w:rsidR="00F80BA0" w:rsidRPr="00F80BA0">
              <w:rPr>
                <w:kern w:val="2"/>
                <w:szCs w:val="24"/>
              </w:rPr>
              <w:t>Farmacinės veiklos skyriaus</w:t>
            </w:r>
            <w:r w:rsidRPr="004C6076">
              <w:rPr>
                <w:kern w:val="2"/>
                <w:szCs w:val="24"/>
              </w:rPr>
              <w:t xml:space="preserve"> </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C83694">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12233C17"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3043E9">
              <w:rPr>
                <w:kern w:val="2"/>
                <w:szCs w:val="24"/>
              </w:rPr>
              <w:t>d</w:t>
            </w:r>
            <w:r w:rsidR="003043E9" w:rsidRPr="003043E9">
              <w:rPr>
                <w:kern w:val="2"/>
                <w:szCs w:val="24"/>
              </w:rPr>
              <w:t>viejų dalių išmatų rinktuvų komplekt</w:t>
            </w:r>
            <w:r w:rsidR="003043E9">
              <w:rPr>
                <w:kern w:val="2"/>
                <w:szCs w:val="24"/>
              </w:rPr>
              <w:t>ą</w:t>
            </w:r>
            <w:r w:rsidR="007904ED">
              <w:rPr>
                <w:kern w:val="2"/>
                <w:szCs w:val="24"/>
              </w:rPr>
              <w:t xml:space="preserve"> (toliau – Prekės).</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746F8D29" w:rsidR="0068231C" w:rsidRDefault="00EE564C">
            <w:pPr>
              <w:rPr>
                <w:kern w:val="2"/>
                <w:szCs w:val="24"/>
              </w:rPr>
            </w:pPr>
            <w:r w:rsidRPr="003043E9">
              <w:rPr>
                <w:kern w:val="2"/>
                <w:szCs w:val="24"/>
              </w:rPr>
              <w:t>„Dviejų dalių išmatų rinktuvų komplektas (10943)“</w:t>
            </w:r>
            <w:r>
              <w:rPr>
                <w:kern w:val="2"/>
                <w:szCs w:val="24"/>
              </w:rPr>
              <w:t xml:space="preserve"> ir </w:t>
            </w:r>
            <w:r w:rsidR="00811AEB" w:rsidRPr="004C6076">
              <w:rPr>
                <w:kern w:val="2"/>
                <w:szCs w:val="24"/>
              </w:rPr>
              <w:t xml:space="preserve">CVP IS Nr. </w:t>
            </w:r>
            <w:r w:rsidR="00811AEB"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000000">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3DB51905"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8273FE">
              <w:rPr>
                <w:kern w:val="2"/>
                <w:szCs w:val="24"/>
              </w:rPr>
              <w:t>ne vėliau kaip per 5 (penkias) darbo dienas</w:t>
            </w:r>
            <w:r w:rsidRPr="005B4866">
              <w:rPr>
                <w:kern w:val="2"/>
                <w:szCs w:val="24"/>
              </w:rPr>
              <w:t xml:space="preserve"> nuo užsakymo pateikimo dienos, o esant skubiems ypatingiems atvejams - </w:t>
            </w:r>
            <w:r w:rsidRPr="008273FE">
              <w:rPr>
                <w:kern w:val="2"/>
                <w:szCs w:val="24"/>
              </w:rPr>
              <w:t>per 2 (dvi) darbo</w:t>
            </w:r>
            <w:r w:rsidRPr="005B58FD">
              <w:rPr>
                <w:b/>
                <w:bCs/>
                <w:kern w:val="2"/>
                <w:szCs w:val="24"/>
              </w:rPr>
              <w:t xml:space="preserve"> dienas</w:t>
            </w:r>
            <w:r w:rsidRPr="007074FF">
              <w:rPr>
                <w:kern w:val="2"/>
                <w:szCs w:val="24"/>
              </w:rPr>
              <w:t xml:space="preserve"> nuo užsakymo pateikimo šiuo adresu:</w:t>
            </w:r>
          </w:p>
          <w:p w14:paraId="27935A16" w14:textId="273C295D" w:rsidR="00995C47" w:rsidRDefault="007074FF" w:rsidP="00F0227B">
            <w:pPr>
              <w:jc w:val="both"/>
              <w:rPr>
                <w:szCs w:val="24"/>
              </w:rPr>
            </w:pPr>
            <w:r w:rsidRPr="007074FF">
              <w:rPr>
                <w:kern w:val="2"/>
                <w:szCs w:val="24"/>
              </w:rPr>
              <w:t>Santariškių g. 2,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072FC7F" w:rsidR="0068231C" w:rsidRDefault="003D63F7" w:rsidP="00854B20">
            <w:pPr>
              <w:jc w:val="both"/>
              <w:rPr>
                <w:kern w:val="2"/>
                <w:szCs w:val="24"/>
              </w:rPr>
            </w:pPr>
            <w:r>
              <w:rPr>
                <w:kern w:val="2"/>
                <w:szCs w:val="24"/>
              </w:rPr>
              <w:t xml:space="preserve">Netaikoma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3D63F7" w:rsidRDefault="003D63F7" w:rsidP="003D63F7">
            <w:pPr>
              <w:jc w:val="both"/>
              <w:rPr>
                <w:kern w:val="2"/>
                <w:szCs w:val="24"/>
              </w:rPr>
            </w:pPr>
            <w:r w:rsidRPr="003D63F7">
              <w:rPr>
                <w:kern w:val="2"/>
                <w:szCs w:val="24"/>
              </w:rPr>
              <w:t xml:space="preserve">Kartu su Prekėmis pateikiami šie dokumentai: </w:t>
            </w:r>
          </w:p>
          <w:p w14:paraId="71F7DA4A" w14:textId="77777777" w:rsidR="003D63F7" w:rsidRPr="003D63F7" w:rsidRDefault="003D63F7" w:rsidP="003D63F7">
            <w:pPr>
              <w:jc w:val="both"/>
              <w:rPr>
                <w:kern w:val="2"/>
                <w:szCs w:val="24"/>
              </w:rPr>
            </w:pPr>
            <w:r w:rsidRPr="003D63F7">
              <w:rPr>
                <w:kern w:val="2"/>
                <w:szCs w:val="24"/>
              </w:rPr>
              <w:t xml:space="preserve">4.5.1. Prekių perdavimo-priėmimo aktas ar kitas Prekių pristatymą patvirtinantis dokumentas (krovinio važtaraštis, sąskaita faktūra); </w:t>
            </w:r>
          </w:p>
          <w:p w14:paraId="4C7E39B9" w14:textId="109D45E6" w:rsidR="003D63F7" w:rsidRPr="003D63F7" w:rsidRDefault="003D63F7" w:rsidP="003D63F7">
            <w:pPr>
              <w:jc w:val="both"/>
              <w:rPr>
                <w:kern w:val="2"/>
                <w:szCs w:val="24"/>
              </w:rPr>
            </w:pPr>
            <w:r w:rsidRPr="003D63F7">
              <w:rPr>
                <w:kern w:val="2"/>
                <w:szCs w:val="24"/>
              </w:rPr>
              <w:t xml:space="preserve">4.5.2. Prekių vartotojo instrukcijos lietuvių kalba (arba/ir </w:t>
            </w:r>
            <w:r w:rsidR="00C84134">
              <w:rPr>
                <w:kern w:val="2"/>
                <w:szCs w:val="24"/>
              </w:rPr>
              <w:t>kita</w:t>
            </w:r>
            <w:r w:rsidRPr="003D63F7">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2EAEE268" w:rsidR="003D63F7" w:rsidRPr="003D63F7" w:rsidRDefault="003D63F7" w:rsidP="003D63F7">
            <w:pPr>
              <w:jc w:val="both"/>
              <w:rPr>
                <w:kern w:val="2"/>
                <w:szCs w:val="24"/>
              </w:rPr>
            </w:pPr>
            <w:r w:rsidRPr="003D63F7">
              <w:rPr>
                <w:kern w:val="2"/>
                <w:szCs w:val="24"/>
              </w:rPr>
              <w:t xml:space="preserve">4.5.3. </w:t>
            </w:r>
            <w:r w:rsidR="00C20E6F">
              <w:rPr>
                <w:kern w:val="2"/>
                <w:szCs w:val="24"/>
              </w:rPr>
              <w:t xml:space="preserve">Dokumentai, patvirtinantys aplinkosauginių reikalavimų </w:t>
            </w:r>
            <w:r w:rsidR="0044337A">
              <w:rPr>
                <w:kern w:val="2"/>
                <w:szCs w:val="24"/>
              </w:rPr>
              <w:t>(nurodytų</w:t>
            </w:r>
            <w:r w:rsidR="0044337A" w:rsidRPr="00716DF9">
              <w:rPr>
                <w:kern w:val="2"/>
                <w:szCs w:val="24"/>
              </w:rPr>
              <w:t xml:space="preserve"> </w:t>
            </w:r>
            <w:r w:rsidR="0044337A">
              <w:rPr>
                <w:kern w:val="2"/>
                <w:szCs w:val="24"/>
              </w:rPr>
              <w:t>13.1</w:t>
            </w:r>
            <w:r w:rsidR="0044337A" w:rsidRPr="00716DF9">
              <w:rPr>
                <w:kern w:val="2"/>
                <w:szCs w:val="24"/>
              </w:rPr>
              <w:t xml:space="preserve"> punkte)</w:t>
            </w:r>
            <w:r w:rsidR="0044337A">
              <w:rPr>
                <w:kern w:val="2"/>
                <w:szCs w:val="24"/>
              </w:rPr>
              <w:t xml:space="preserve"> </w:t>
            </w:r>
            <w:r w:rsidR="00C20E6F">
              <w:rPr>
                <w:kern w:val="2"/>
                <w:szCs w:val="24"/>
              </w:rPr>
              <w:t>laikymąsi</w:t>
            </w:r>
            <w:r w:rsidR="0044337A">
              <w:rPr>
                <w:kern w:val="2"/>
                <w:szCs w:val="24"/>
              </w:rPr>
              <w:t xml:space="preserve">. </w:t>
            </w:r>
          </w:p>
          <w:p w14:paraId="6085B884" w14:textId="15A38479" w:rsidR="0068231C" w:rsidRDefault="003D63F7" w:rsidP="000F573D">
            <w:pPr>
              <w:jc w:val="both"/>
              <w:rPr>
                <w:kern w:val="2"/>
                <w:szCs w:val="24"/>
              </w:rPr>
            </w:pPr>
            <w:r w:rsidRPr="003D63F7">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77777777" w:rsidR="00D17C54" w:rsidRDefault="00D17C54" w:rsidP="00D17C54">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B9453E8" w14:textId="77777777" w:rsidR="00D17C54" w:rsidRDefault="00D17C54" w:rsidP="00D17C5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63D7EE" w14:textId="77777777" w:rsidR="00D17C54" w:rsidRDefault="00D17C54" w:rsidP="00D17C5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79BF96" w14:textId="7C8F3F66" w:rsidR="003D63F7" w:rsidRPr="003D63F7" w:rsidRDefault="003D63F7" w:rsidP="003D63F7">
            <w:pPr>
              <w:jc w:val="both"/>
              <w:rPr>
                <w:kern w:val="2"/>
                <w:szCs w:val="24"/>
              </w:rPr>
            </w:pPr>
            <w:r w:rsidRPr="003D63F7">
              <w:rPr>
                <w:kern w:val="2"/>
                <w:szCs w:val="24"/>
              </w:rPr>
              <w:lastRenderedPageBreak/>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CA4B605" w14:textId="1437029B" w:rsidR="0068231C" w:rsidRDefault="00346A65" w:rsidP="00346A65">
            <w:pPr>
              <w:rPr>
                <w:color w:val="FF0000"/>
                <w:kern w:val="2"/>
              </w:rPr>
            </w:pPr>
            <w:r w:rsidRPr="004C6076">
              <w:rPr>
                <w:kern w:val="2"/>
                <w:szCs w:val="24"/>
              </w:rPr>
              <w:t>5.3.1. dėl PVM tarifo pasikeitimo</w:t>
            </w:r>
            <w:r w:rsidR="00F37938">
              <w:rPr>
                <w:kern w:val="2"/>
                <w:szCs w:val="24"/>
              </w:rPr>
              <w:t>.</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6456A98" w14:textId="77777777" w:rsidR="00586EB8" w:rsidRDefault="00586EB8" w:rsidP="0044589B">
            <w:pPr>
              <w:jc w:val="both"/>
              <w:rPr>
                <w:kern w:val="2"/>
                <w:szCs w:val="24"/>
              </w:rPr>
            </w:pPr>
            <w:r>
              <w:rPr>
                <w:kern w:val="2"/>
                <w:szCs w:val="24"/>
              </w:rPr>
              <w:t xml:space="preserve">Netaikoma </w:t>
            </w:r>
          </w:p>
          <w:p w14:paraId="54F9A206" w14:textId="384BFB1C" w:rsidR="0068231C" w:rsidRPr="0044589B" w:rsidRDefault="0068231C" w:rsidP="0044589B">
            <w:pPr>
              <w:jc w:val="both"/>
              <w:rPr>
                <w:kern w:val="2"/>
                <w:szCs w:val="24"/>
              </w:rPr>
            </w:pP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lastRenderedPageBreak/>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5A72AE" w:rsidRPr="004C6076" w:rsidRDefault="005A72AE" w:rsidP="005A72AE">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5A72AE" w:rsidRPr="001424CD" w:rsidRDefault="005A72AE" w:rsidP="001424CD">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68231C" w:rsidRDefault="008D063C" w:rsidP="001424CD">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400CA16A" w:rsidR="005E0409" w:rsidRPr="005E0409" w:rsidRDefault="005E0409" w:rsidP="00743FC2">
            <w:pPr>
              <w:jc w:val="both"/>
              <w:rPr>
                <w:kern w:val="2"/>
                <w:szCs w:val="24"/>
              </w:rPr>
            </w:pPr>
            <w:r w:rsidRPr="005E0409">
              <w:rPr>
                <w:kern w:val="2"/>
                <w:szCs w:val="24"/>
              </w:rPr>
              <w:t>Prekių galiojimo terminas turi būti  ne trumpesnis kaip 70 (septyniasdešimt) procentų priemonės galiojimo termino Prekės pristatymo metu.</w:t>
            </w:r>
            <w:r w:rsidRPr="005E0409">
              <w:rPr>
                <w:szCs w:val="24"/>
              </w:rPr>
              <w:t xml:space="preserve">  Garantinis terminas, skaičiuojamas nuo Prekių perdavimo–priėmimo akto ar Sąskaitos (kai Prekių perdavimo–priėmimo aktas nėra pasirašomas) pasirašymo dienos</w:t>
            </w:r>
            <w:r w:rsidRPr="005E0409">
              <w:rPr>
                <w:kern w:val="2"/>
                <w:szCs w:val="24"/>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C84134" w:rsidRPr="00444811" w:rsidRDefault="00C84134" w:rsidP="00CC2EC0">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2755BEAF" w14:textId="0A4FCD23" w:rsidR="00CC2EC0" w:rsidRPr="004C6076" w:rsidRDefault="00CC2EC0" w:rsidP="00CC2EC0">
            <w:pPr>
              <w:jc w:val="both"/>
              <w:rPr>
                <w:kern w:val="2"/>
                <w:szCs w:val="24"/>
              </w:rPr>
            </w:pPr>
            <w:r w:rsidRPr="004C6076">
              <w:rPr>
                <w:kern w:val="2"/>
                <w:szCs w:val="24"/>
              </w:rPr>
              <w:t>Prekių trūkumų nustatymo bei šalinimo tvarka nustatyta Bendrųjų sąlygų 7 skyriuje ir Techninėje specifikacijoje.</w:t>
            </w:r>
          </w:p>
          <w:p w14:paraId="1B413859" w14:textId="35F53450" w:rsidR="00CC2EC0" w:rsidRDefault="00CC2EC0" w:rsidP="00CC2EC0">
            <w:pPr>
              <w:jc w:val="both"/>
              <w:rPr>
                <w:kern w:val="2"/>
                <w:szCs w:val="24"/>
              </w:rPr>
            </w:pP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4B65B3">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BE1004" w:rsidRDefault="00436D09" w:rsidP="00436D09">
            <w:pPr>
              <w:rPr>
                <w:b/>
                <w:bCs/>
                <w:kern w:val="2"/>
              </w:rPr>
            </w:pPr>
            <w:r w:rsidRPr="00F22706">
              <w:rPr>
                <w:b/>
                <w:bCs/>
              </w:rPr>
              <w:t>10.1. Esminės Sutarties sąlygos</w:t>
            </w:r>
          </w:p>
        </w:tc>
        <w:tc>
          <w:tcPr>
            <w:tcW w:w="6828" w:type="dxa"/>
            <w:gridSpan w:val="2"/>
          </w:tcPr>
          <w:p w14:paraId="71140015" w14:textId="77777777" w:rsidR="00436D09" w:rsidRPr="007A7607" w:rsidRDefault="00436D09" w:rsidP="00436D09">
            <w:pPr>
              <w:jc w:val="both"/>
              <w:rPr>
                <w:kern w:val="2"/>
                <w:szCs w:val="24"/>
              </w:rPr>
            </w:pPr>
            <w:r w:rsidRPr="007A7607">
              <w:rPr>
                <w:kern w:val="2"/>
                <w:szCs w:val="24"/>
              </w:rPr>
              <w:t>10.1.1 Tiekėjo prisiimtų įsipareigojimų už Sutartyje nustatytą Sutarties kainą / įkainius vykdymas;</w:t>
            </w:r>
          </w:p>
          <w:p w14:paraId="27541CD7" w14:textId="77777777" w:rsidR="00436D09" w:rsidRPr="007A7607" w:rsidRDefault="00436D09" w:rsidP="00436D09">
            <w:pPr>
              <w:jc w:val="both"/>
              <w:rPr>
                <w:kern w:val="2"/>
                <w:szCs w:val="24"/>
              </w:rPr>
            </w:pPr>
            <w:r w:rsidRPr="007A7607">
              <w:rPr>
                <w:kern w:val="2"/>
                <w:szCs w:val="24"/>
              </w:rPr>
              <w:t>10.1.2. Sutartyje nustatytų Prekių tiekimo terminų laikymasis;</w:t>
            </w:r>
          </w:p>
          <w:p w14:paraId="60E33DA5" w14:textId="77777777" w:rsidR="00436D09" w:rsidRPr="007A7607" w:rsidRDefault="00436D09" w:rsidP="00436D09">
            <w:pPr>
              <w:jc w:val="both"/>
              <w:rPr>
                <w:kern w:val="2"/>
                <w:szCs w:val="24"/>
              </w:rPr>
            </w:pPr>
            <w:r w:rsidRPr="007A7607">
              <w:rPr>
                <w:kern w:val="2"/>
                <w:szCs w:val="24"/>
              </w:rPr>
              <w:t>10.1.3. Priskaičiuotų netesybų mokėjimas;</w:t>
            </w:r>
          </w:p>
          <w:p w14:paraId="08C0BF1B" w14:textId="77777777" w:rsidR="00436D09" w:rsidRPr="007A7607" w:rsidRDefault="00436D09" w:rsidP="00436D09">
            <w:pPr>
              <w:jc w:val="both"/>
              <w:rPr>
                <w:kern w:val="2"/>
                <w:szCs w:val="24"/>
              </w:rPr>
            </w:pPr>
            <w:r w:rsidRPr="007A7607">
              <w:rPr>
                <w:kern w:val="2"/>
                <w:szCs w:val="24"/>
              </w:rPr>
              <w:t>10.1.4. Sutartyje ir (ar) Įstatymuose nustatytus reikalavimus atitinkančių Prekių pristatymas;</w:t>
            </w:r>
          </w:p>
          <w:p w14:paraId="65703251" w14:textId="77777777" w:rsidR="00436D09" w:rsidRPr="007A7607" w:rsidRDefault="00436D09" w:rsidP="00436D09">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436D09" w:rsidRPr="007A7607" w:rsidRDefault="00436D09" w:rsidP="00436D09">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436D09" w:rsidRPr="007A7607" w:rsidRDefault="00436D09" w:rsidP="00436D09">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436D09" w:rsidRPr="00436D09" w:rsidRDefault="00436D09" w:rsidP="00436D09">
            <w:pPr>
              <w:jc w:val="both"/>
              <w:rPr>
                <w:kern w:val="2"/>
                <w:szCs w:val="24"/>
              </w:rPr>
            </w:pPr>
            <w:r w:rsidRPr="007A7607">
              <w:rPr>
                <w:kern w:val="2"/>
                <w:szCs w:val="24"/>
              </w:rPr>
              <w:lastRenderedPageBreak/>
              <w:t>10.1.8. Bendrųjų sąlygų nuostatų dėl Sutarties vykdymui pasitelkiamų naujų subtiekėjų ir (ar specialistų) / esamų subtiekėjų ir (ar) specialistų keitimo, laikymasis</w:t>
            </w:r>
            <w:r w:rsidR="00021432">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BE1004">
              <w:rPr>
                <w:b/>
                <w:bCs/>
                <w:kern w:val="2"/>
                <w:szCs w:val="24"/>
              </w:rPr>
              <w:lastRenderedPageBreak/>
              <w:t>10.</w:t>
            </w:r>
            <w:r w:rsidRPr="00F22706">
              <w:rPr>
                <w:b/>
                <w:bCs/>
                <w:kern w:val="2"/>
                <w:szCs w:val="24"/>
              </w:rPr>
              <w:t>2. Dideli arba nuolatiniai esminės Sutarties sąlygos vykdymo trūkumai</w:t>
            </w:r>
          </w:p>
        </w:tc>
        <w:tc>
          <w:tcPr>
            <w:tcW w:w="6835" w:type="dxa"/>
            <w:gridSpan w:val="3"/>
          </w:tcPr>
          <w:p w14:paraId="351C8A40" w14:textId="77777777" w:rsidR="00F0697E" w:rsidRPr="00F0697E" w:rsidRDefault="00F0697E" w:rsidP="00F0697E">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97E" w:rsidRDefault="00F0697E" w:rsidP="00F0697E">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E64AEC" w:rsidRPr="00E64AEC" w:rsidRDefault="00E64AEC" w:rsidP="007A7607">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E64AEC" w:rsidRPr="00E64AEC" w:rsidRDefault="00E64AEC" w:rsidP="007A7607">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436D09" w:rsidRPr="00436D09" w:rsidRDefault="00E64AEC" w:rsidP="00436D09">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53950C6F"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D578D9">
              <w:rPr>
                <w:kern w:val="2"/>
                <w:szCs w:val="24"/>
              </w:rPr>
              <w:t xml:space="preserve">6 </w:t>
            </w:r>
            <w:r w:rsidRPr="004C6076">
              <w:rPr>
                <w:kern w:val="2"/>
                <w:szCs w:val="24"/>
              </w:rPr>
              <w:t>(</w:t>
            </w:r>
            <w:r w:rsidR="00D578D9">
              <w:rPr>
                <w:kern w:val="2"/>
                <w:szCs w:val="24"/>
              </w:rPr>
              <w:t>šeši</w:t>
            </w:r>
            <w:r w:rsidRPr="004C6076">
              <w:rPr>
                <w:kern w:val="2"/>
                <w:szCs w:val="24"/>
              </w:rPr>
              <w:t>) mėnesi</w:t>
            </w:r>
            <w:r w:rsidR="00D578D9">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D578D9">
              <w:rPr>
                <w:kern w:val="2"/>
                <w:szCs w:val="24"/>
              </w:rPr>
              <w:t>4</w:t>
            </w:r>
            <w:r w:rsidRPr="004C6076">
              <w:rPr>
                <w:kern w:val="2"/>
                <w:szCs w:val="24"/>
              </w:rPr>
              <w:t xml:space="preserve"> (</w:t>
            </w:r>
            <w:r w:rsidR="00D578D9">
              <w:rPr>
                <w:kern w:val="2"/>
                <w:szCs w:val="24"/>
              </w:rPr>
              <w:t>keturi</w:t>
            </w:r>
            <w:r w:rsidRPr="004C6076">
              <w:rPr>
                <w:kern w:val="2"/>
                <w:szCs w:val="24"/>
              </w:rPr>
              <w:t>) mėnesiai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436D09" w14:paraId="2B75BFD6" w14:textId="77777777">
        <w:trPr>
          <w:trHeight w:val="300"/>
        </w:trPr>
        <w:tc>
          <w:tcPr>
            <w:tcW w:w="2532" w:type="dxa"/>
          </w:tcPr>
          <w:p w14:paraId="1E0ADE25" w14:textId="77777777" w:rsidR="00436D09" w:rsidRDefault="00436D09" w:rsidP="00436D09">
            <w:pPr>
              <w:rPr>
                <w:b/>
                <w:bCs/>
                <w:kern w:val="2"/>
                <w:szCs w:val="24"/>
              </w:rPr>
            </w:pPr>
            <w:r>
              <w:rPr>
                <w:b/>
                <w:bCs/>
                <w:kern w:val="2"/>
                <w:szCs w:val="24"/>
              </w:rPr>
              <w:t>12.2</w:t>
            </w:r>
            <w:r w:rsidRPr="00F22706">
              <w:rPr>
                <w:b/>
                <w:bCs/>
                <w:kern w:val="2"/>
                <w:szCs w:val="24"/>
              </w:rPr>
              <w:t>. Esminiai Sutarties pažeidimai</w:t>
            </w:r>
          </w:p>
          <w:p w14:paraId="21F8FEEB" w14:textId="77777777" w:rsidR="00436D09" w:rsidRDefault="00436D09" w:rsidP="00436D09">
            <w:pPr>
              <w:rPr>
                <w:b/>
                <w:bCs/>
                <w:kern w:val="2"/>
                <w:szCs w:val="24"/>
              </w:rPr>
            </w:pPr>
          </w:p>
        </w:tc>
        <w:tc>
          <w:tcPr>
            <w:tcW w:w="7003" w:type="dxa"/>
            <w:gridSpan w:val="4"/>
          </w:tcPr>
          <w:p w14:paraId="755BD147" w14:textId="77777777" w:rsidR="00F0697E" w:rsidRPr="008273FE" w:rsidRDefault="00F0697E" w:rsidP="00F0697E">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97E" w:rsidRPr="008273FE" w:rsidRDefault="00F0697E" w:rsidP="00F0697E">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97E" w:rsidRPr="008273FE" w:rsidRDefault="00F0697E" w:rsidP="00F0697E">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97E" w:rsidRPr="008273FE" w:rsidRDefault="00F0697E" w:rsidP="00F0697E">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97E" w:rsidRPr="008273FE" w:rsidRDefault="00F0697E" w:rsidP="00F0697E">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97E" w:rsidRPr="008273FE" w:rsidRDefault="00F0697E" w:rsidP="00F0697E">
            <w:pPr>
              <w:jc w:val="both"/>
              <w:rPr>
                <w:kern w:val="2"/>
                <w:szCs w:val="24"/>
              </w:rPr>
            </w:pPr>
            <w:r w:rsidRPr="008273FE">
              <w:rPr>
                <w:kern w:val="2"/>
                <w:szCs w:val="24"/>
              </w:rPr>
              <w:lastRenderedPageBreak/>
              <w:t>12.2.6. Teikėjas 4 (keturis) ir daugiau kartų per Sutarties vykdymo laikotarpį pažeidžia šios Sutarties nuostatas, reglamentuojančias aplinkosauginių reikalavimų, laikymąsi;</w:t>
            </w:r>
          </w:p>
          <w:p w14:paraId="753E86CF" w14:textId="77777777" w:rsidR="00F0697E" w:rsidRPr="008273FE" w:rsidRDefault="00F0697E" w:rsidP="00F0697E">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97E" w:rsidRDefault="00F0697E" w:rsidP="00F0697E">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436D09" w14:paraId="3066FE6D" w14:textId="77777777">
        <w:trPr>
          <w:trHeight w:val="300"/>
        </w:trPr>
        <w:tc>
          <w:tcPr>
            <w:tcW w:w="9535" w:type="dxa"/>
            <w:gridSpan w:val="5"/>
          </w:tcPr>
          <w:p w14:paraId="5F4D37EA" w14:textId="3A2C0C0B" w:rsidR="00436D09" w:rsidRDefault="00436D09" w:rsidP="00436D09">
            <w:pPr>
              <w:jc w:val="center"/>
              <w:rPr>
                <w:kern w:val="2"/>
                <w:szCs w:val="24"/>
              </w:rPr>
            </w:pPr>
            <w:r>
              <w:rPr>
                <w:b/>
                <w:bCs/>
                <w:kern w:val="2"/>
                <w:szCs w:val="24"/>
              </w:rPr>
              <w:lastRenderedPageBreak/>
              <w:t xml:space="preserve">13. APLINKOSAUGINIAI IR SOCIALINIAI KRITERIJAI </w:t>
            </w:r>
          </w:p>
        </w:tc>
      </w:tr>
      <w:tr w:rsidR="00436D09" w14:paraId="699B23B8" w14:textId="77777777">
        <w:trPr>
          <w:trHeight w:val="300"/>
        </w:trPr>
        <w:tc>
          <w:tcPr>
            <w:tcW w:w="2532" w:type="dxa"/>
          </w:tcPr>
          <w:p w14:paraId="7A3B5D15" w14:textId="77777777" w:rsidR="00436D09" w:rsidRDefault="00436D09" w:rsidP="00436D09">
            <w:pPr>
              <w:rPr>
                <w:b/>
                <w:bCs/>
                <w:kern w:val="2"/>
                <w:szCs w:val="24"/>
              </w:rPr>
            </w:pPr>
            <w:r w:rsidRPr="00ED6956">
              <w:rPr>
                <w:b/>
                <w:bCs/>
                <w:kern w:val="2"/>
                <w:szCs w:val="24"/>
              </w:rPr>
              <w:t>13.1. Aplinkosauginių kriterijų nustatymo teisinis pagrindas</w:t>
            </w:r>
          </w:p>
        </w:tc>
        <w:tc>
          <w:tcPr>
            <w:tcW w:w="7003" w:type="dxa"/>
            <w:gridSpan w:val="4"/>
          </w:tcPr>
          <w:p w14:paraId="32C6F9DB" w14:textId="77777777" w:rsidR="00C12BC7" w:rsidRPr="00C12BC7" w:rsidRDefault="00C12BC7" w:rsidP="00C12BC7">
            <w:pPr>
              <w:jc w:val="both"/>
              <w:rPr>
                <w:color w:val="000000"/>
                <w:kern w:val="2"/>
                <w:szCs w:val="24"/>
                <w:shd w:val="clear" w:color="auto" w:fill="FFFFFF"/>
              </w:rPr>
            </w:pPr>
            <w:r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5F8E1A7D" w14:textId="06A9F39F" w:rsidR="00436D09" w:rsidRPr="00E20061" w:rsidRDefault="00C12BC7" w:rsidP="00436D09">
            <w:pPr>
              <w:jc w:val="both"/>
              <w:rPr>
                <w:color w:val="000000"/>
                <w:kern w:val="2"/>
                <w:szCs w:val="24"/>
                <w:shd w:val="clear" w:color="auto" w:fill="FFFFFF"/>
              </w:rPr>
            </w:pPr>
            <w:r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r w:rsidR="00186640"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436D09" w14:paraId="003A039C" w14:textId="77777777">
        <w:trPr>
          <w:trHeight w:val="300"/>
        </w:trPr>
        <w:tc>
          <w:tcPr>
            <w:tcW w:w="2532" w:type="dxa"/>
          </w:tcPr>
          <w:p w14:paraId="7FB642C6" w14:textId="77777777" w:rsidR="00436D09" w:rsidRDefault="00436D09" w:rsidP="00436D09">
            <w:pPr>
              <w:rPr>
                <w:b/>
                <w:bCs/>
                <w:kern w:val="2"/>
                <w:szCs w:val="24"/>
              </w:rPr>
            </w:pPr>
            <w:r>
              <w:rPr>
                <w:b/>
                <w:bCs/>
                <w:kern w:val="2"/>
                <w:szCs w:val="24"/>
              </w:rPr>
              <w:t>13.2.  Su perkamomis Prekėmis susiję socialiniai kriterijai</w:t>
            </w:r>
          </w:p>
        </w:tc>
        <w:tc>
          <w:tcPr>
            <w:tcW w:w="7003" w:type="dxa"/>
            <w:gridSpan w:val="4"/>
          </w:tcPr>
          <w:p w14:paraId="0E2CAC94" w14:textId="77777777" w:rsidR="00436D09" w:rsidRDefault="00436D09" w:rsidP="00436D09">
            <w:pPr>
              <w:rPr>
                <w:color w:val="000000"/>
                <w:kern w:val="2"/>
                <w:szCs w:val="24"/>
                <w:shd w:val="clear" w:color="auto" w:fill="FFFFFF"/>
              </w:rPr>
            </w:pPr>
            <w:r>
              <w:rPr>
                <w:color w:val="000000"/>
                <w:kern w:val="2"/>
                <w:szCs w:val="24"/>
                <w:shd w:val="clear" w:color="auto" w:fill="FFFFFF"/>
              </w:rPr>
              <w:t>Netaikoma</w:t>
            </w:r>
          </w:p>
          <w:p w14:paraId="62E56CF9" w14:textId="77777777" w:rsidR="00436D09" w:rsidRDefault="00436D09" w:rsidP="00436D09">
            <w:pPr>
              <w:rPr>
                <w:color w:val="000000"/>
                <w:kern w:val="2"/>
                <w:szCs w:val="24"/>
                <w:shd w:val="clear" w:color="auto" w:fill="FFFFFF"/>
              </w:rPr>
            </w:pPr>
          </w:p>
          <w:p w14:paraId="5E33B1D4" w14:textId="2315E359" w:rsidR="00436D09" w:rsidRDefault="00436D09" w:rsidP="00436D09">
            <w:pPr>
              <w:rPr>
                <w:color w:val="0070C0"/>
                <w:kern w:val="2"/>
                <w:szCs w:val="24"/>
              </w:rPr>
            </w:pPr>
          </w:p>
        </w:tc>
      </w:tr>
      <w:tr w:rsidR="00436D09" w14:paraId="56924D8A" w14:textId="77777777">
        <w:trPr>
          <w:trHeight w:val="300"/>
        </w:trPr>
        <w:tc>
          <w:tcPr>
            <w:tcW w:w="9535" w:type="dxa"/>
            <w:gridSpan w:val="5"/>
          </w:tcPr>
          <w:p w14:paraId="4CA9393C" w14:textId="77777777" w:rsidR="00436D09" w:rsidRDefault="00436D09" w:rsidP="00436D09">
            <w:pPr>
              <w:jc w:val="center"/>
              <w:rPr>
                <w:b/>
                <w:bCs/>
                <w:kern w:val="2"/>
                <w:szCs w:val="24"/>
              </w:rPr>
            </w:pPr>
            <w:r>
              <w:rPr>
                <w:b/>
                <w:bCs/>
                <w:kern w:val="2"/>
                <w:szCs w:val="24"/>
              </w:rPr>
              <w:t xml:space="preserve">14. BENDRŲJŲ SĄLYGŲ PAKEITIMAI IR PAPILDYMAI </w:t>
            </w:r>
          </w:p>
          <w:p w14:paraId="13058A2B" w14:textId="77777777" w:rsidR="00436D09" w:rsidRDefault="00436D09" w:rsidP="00436D09">
            <w:pPr>
              <w:jc w:val="center"/>
              <w:rPr>
                <w:kern w:val="2"/>
                <w:szCs w:val="24"/>
              </w:rPr>
            </w:pPr>
            <w:r>
              <w:rPr>
                <w:kern w:val="2"/>
                <w:szCs w:val="24"/>
              </w:rPr>
              <w:t xml:space="preserve">(jeigu būtina dėl konkretaus Sutarties dalyko specifikos) </w:t>
            </w:r>
          </w:p>
        </w:tc>
      </w:tr>
      <w:tr w:rsidR="00436D09" w14:paraId="2A03C2D8" w14:textId="77777777">
        <w:trPr>
          <w:trHeight w:val="300"/>
        </w:trPr>
        <w:tc>
          <w:tcPr>
            <w:tcW w:w="2532" w:type="dxa"/>
          </w:tcPr>
          <w:p w14:paraId="45B590A2" w14:textId="77777777" w:rsidR="00436D09" w:rsidRDefault="00436D09" w:rsidP="00436D09">
            <w:pPr>
              <w:rPr>
                <w:b/>
                <w:bCs/>
                <w:kern w:val="2"/>
                <w:szCs w:val="24"/>
              </w:rPr>
            </w:pPr>
            <w:r>
              <w:rPr>
                <w:b/>
                <w:bCs/>
                <w:kern w:val="2"/>
                <w:szCs w:val="24"/>
              </w:rPr>
              <w:t xml:space="preserve">14.1. </w:t>
            </w:r>
          </w:p>
        </w:tc>
        <w:tc>
          <w:tcPr>
            <w:tcW w:w="7003" w:type="dxa"/>
            <w:gridSpan w:val="4"/>
          </w:tcPr>
          <w:p w14:paraId="2FD21887" w14:textId="058F48E9" w:rsidR="00436D09" w:rsidRDefault="00922B4C" w:rsidP="007A7607">
            <w:pPr>
              <w:jc w:val="both"/>
              <w:rPr>
                <w:kern w:val="2"/>
                <w:szCs w:val="24"/>
              </w:rPr>
            </w:pPr>
            <w:r>
              <w:rPr>
                <w:color w:val="000000"/>
                <w:kern w:val="2"/>
                <w:szCs w:val="24"/>
                <w:shd w:val="clear" w:color="auto" w:fill="FFFFFF"/>
              </w:rPr>
              <w:t>Netaikoma</w:t>
            </w:r>
          </w:p>
        </w:tc>
      </w:tr>
      <w:tr w:rsidR="00436D09" w14:paraId="39EFA5A2" w14:textId="77777777">
        <w:trPr>
          <w:trHeight w:val="300"/>
        </w:trPr>
        <w:tc>
          <w:tcPr>
            <w:tcW w:w="2532" w:type="dxa"/>
          </w:tcPr>
          <w:p w14:paraId="6D569D1A" w14:textId="77777777" w:rsidR="00436D09" w:rsidRDefault="00436D09" w:rsidP="00436D09">
            <w:pPr>
              <w:rPr>
                <w:b/>
                <w:bCs/>
                <w:kern w:val="2"/>
                <w:szCs w:val="24"/>
              </w:rPr>
            </w:pPr>
            <w:r>
              <w:rPr>
                <w:b/>
                <w:bCs/>
                <w:kern w:val="2"/>
                <w:szCs w:val="24"/>
              </w:rPr>
              <w:t>14.2.</w:t>
            </w:r>
          </w:p>
        </w:tc>
        <w:tc>
          <w:tcPr>
            <w:tcW w:w="7003" w:type="dxa"/>
            <w:gridSpan w:val="4"/>
          </w:tcPr>
          <w:p w14:paraId="5CA4D0EB" w14:textId="2CEAD6F3" w:rsidR="00E64AEC" w:rsidRPr="007A7607" w:rsidRDefault="006F4D23" w:rsidP="00436D09">
            <w:pPr>
              <w:jc w:val="both"/>
              <w:rPr>
                <w:color w:val="000000"/>
                <w:kern w:val="2"/>
                <w:szCs w:val="24"/>
                <w:shd w:val="clear" w:color="auto" w:fill="FFFFFF"/>
              </w:rPr>
            </w:pPr>
            <w:r>
              <w:rPr>
                <w:kern w:val="2"/>
                <w:szCs w:val="24"/>
              </w:rPr>
              <w:t>Netaikoma</w:t>
            </w:r>
          </w:p>
        </w:tc>
      </w:tr>
      <w:tr w:rsidR="00436D09" w14:paraId="2FA548A1" w14:textId="77777777">
        <w:trPr>
          <w:trHeight w:val="300"/>
        </w:trPr>
        <w:tc>
          <w:tcPr>
            <w:tcW w:w="2532" w:type="dxa"/>
          </w:tcPr>
          <w:p w14:paraId="39B1FEA9" w14:textId="77777777" w:rsidR="00436D09" w:rsidRDefault="00436D09" w:rsidP="00436D09">
            <w:pPr>
              <w:rPr>
                <w:b/>
                <w:bCs/>
                <w:kern w:val="2"/>
                <w:szCs w:val="24"/>
              </w:rPr>
            </w:pPr>
            <w:r>
              <w:rPr>
                <w:b/>
                <w:bCs/>
                <w:kern w:val="2"/>
                <w:szCs w:val="24"/>
              </w:rPr>
              <w:lastRenderedPageBreak/>
              <w:t>14.3.</w:t>
            </w:r>
          </w:p>
        </w:tc>
        <w:tc>
          <w:tcPr>
            <w:tcW w:w="7003" w:type="dxa"/>
            <w:gridSpan w:val="4"/>
          </w:tcPr>
          <w:p w14:paraId="57E60D9E" w14:textId="33E31183" w:rsidR="00436D09" w:rsidRDefault="00436D09" w:rsidP="00436D09">
            <w:pPr>
              <w:rPr>
                <w:kern w:val="2"/>
                <w:szCs w:val="24"/>
              </w:rPr>
            </w:pPr>
            <w:r>
              <w:rPr>
                <w:kern w:val="2"/>
                <w:szCs w:val="24"/>
              </w:rPr>
              <w:t>Netaikoma</w:t>
            </w:r>
          </w:p>
        </w:tc>
      </w:tr>
      <w:tr w:rsidR="00436D09" w14:paraId="479764B2" w14:textId="77777777">
        <w:trPr>
          <w:trHeight w:val="300"/>
        </w:trPr>
        <w:tc>
          <w:tcPr>
            <w:tcW w:w="2532" w:type="dxa"/>
          </w:tcPr>
          <w:p w14:paraId="72E02758" w14:textId="77777777" w:rsidR="00436D09" w:rsidRDefault="00436D09" w:rsidP="00436D09">
            <w:pPr>
              <w:rPr>
                <w:b/>
                <w:bCs/>
                <w:kern w:val="2"/>
                <w:szCs w:val="24"/>
              </w:rPr>
            </w:pPr>
            <w:r>
              <w:rPr>
                <w:b/>
                <w:bCs/>
                <w:kern w:val="2"/>
                <w:szCs w:val="24"/>
              </w:rPr>
              <w:t>14.4.</w:t>
            </w:r>
          </w:p>
        </w:tc>
        <w:tc>
          <w:tcPr>
            <w:tcW w:w="7003" w:type="dxa"/>
            <w:gridSpan w:val="4"/>
          </w:tcPr>
          <w:p w14:paraId="1E413B94" w14:textId="29238E0E" w:rsidR="00436D09" w:rsidRDefault="00436D09" w:rsidP="00436D09">
            <w:pPr>
              <w:rPr>
                <w:color w:val="0070C0"/>
                <w:kern w:val="2"/>
                <w:szCs w:val="24"/>
              </w:rPr>
            </w:pPr>
            <w:r>
              <w:rPr>
                <w:kern w:val="2"/>
                <w:szCs w:val="24"/>
              </w:rPr>
              <w:t>Netaikoma</w:t>
            </w:r>
          </w:p>
        </w:tc>
      </w:tr>
      <w:tr w:rsidR="00436D09" w14:paraId="024DC42C" w14:textId="77777777">
        <w:trPr>
          <w:trHeight w:val="300"/>
        </w:trPr>
        <w:tc>
          <w:tcPr>
            <w:tcW w:w="2532" w:type="dxa"/>
          </w:tcPr>
          <w:p w14:paraId="15FEE8E4" w14:textId="77777777" w:rsidR="00436D09" w:rsidRDefault="00436D09" w:rsidP="00436D09">
            <w:pPr>
              <w:rPr>
                <w:b/>
                <w:bCs/>
                <w:kern w:val="2"/>
                <w:szCs w:val="24"/>
              </w:rPr>
            </w:pPr>
            <w:r>
              <w:rPr>
                <w:b/>
                <w:bCs/>
                <w:kern w:val="2"/>
                <w:szCs w:val="24"/>
              </w:rPr>
              <w:t>14.5.</w:t>
            </w:r>
          </w:p>
        </w:tc>
        <w:tc>
          <w:tcPr>
            <w:tcW w:w="7003" w:type="dxa"/>
            <w:gridSpan w:val="4"/>
          </w:tcPr>
          <w:p w14:paraId="6F393FB4" w14:textId="77777777" w:rsidR="00436D09" w:rsidRDefault="00436D09" w:rsidP="00436D0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36D09" w14:paraId="4092FFBC" w14:textId="77777777">
        <w:trPr>
          <w:trHeight w:val="300"/>
        </w:trPr>
        <w:tc>
          <w:tcPr>
            <w:tcW w:w="9535" w:type="dxa"/>
            <w:gridSpan w:val="5"/>
          </w:tcPr>
          <w:p w14:paraId="7C6B6F1F" w14:textId="77777777" w:rsidR="00436D09" w:rsidRDefault="00436D09" w:rsidP="00436D09">
            <w:pPr>
              <w:jc w:val="center"/>
              <w:rPr>
                <w:b/>
                <w:bCs/>
                <w:kern w:val="2"/>
                <w:szCs w:val="24"/>
              </w:rPr>
            </w:pPr>
            <w:r>
              <w:rPr>
                <w:b/>
                <w:bCs/>
                <w:kern w:val="2"/>
                <w:szCs w:val="24"/>
              </w:rPr>
              <w:t>15. SUTARTIES PRIEDAI</w:t>
            </w:r>
          </w:p>
        </w:tc>
      </w:tr>
      <w:tr w:rsidR="00436D09" w14:paraId="35DFD7EB" w14:textId="77777777">
        <w:trPr>
          <w:trHeight w:val="300"/>
        </w:trPr>
        <w:tc>
          <w:tcPr>
            <w:tcW w:w="2532" w:type="dxa"/>
          </w:tcPr>
          <w:p w14:paraId="6269A96F" w14:textId="77777777" w:rsidR="00436D09" w:rsidRDefault="00436D09" w:rsidP="00436D09">
            <w:pPr>
              <w:jc w:val="center"/>
              <w:rPr>
                <w:b/>
                <w:bCs/>
                <w:kern w:val="2"/>
                <w:szCs w:val="24"/>
              </w:rPr>
            </w:pPr>
            <w:r>
              <w:rPr>
                <w:b/>
                <w:bCs/>
                <w:kern w:val="2"/>
                <w:szCs w:val="24"/>
              </w:rPr>
              <w:t>15.1. Priedas Nr. 1</w:t>
            </w:r>
          </w:p>
        </w:tc>
        <w:tc>
          <w:tcPr>
            <w:tcW w:w="7003" w:type="dxa"/>
            <w:gridSpan w:val="4"/>
          </w:tcPr>
          <w:p w14:paraId="0A95F4DF" w14:textId="4E5EE717" w:rsidR="00436D09" w:rsidRPr="00CD7D26" w:rsidRDefault="00436D09" w:rsidP="00436D09">
            <w:pPr>
              <w:rPr>
                <w:b/>
                <w:bCs/>
                <w:kern w:val="2"/>
                <w:szCs w:val="24"/>
              </w:rPr>
            </w:pPr>
            <w:r w:rsidRPr="00CD7D26">
              <w:rPr>
                <w:b/>
                <w:bCs/>
              </w:rPr>
              <w:t>Techninė specifikacija ir įkainiai</w:t>
            </w:r>
          </w:p>
        </w:tc>
      </w:tr>
      <w:tr w:rsidR="00436D09" w14:paraId="0BC64A09" w14:textId="77777777">
        <w:trPr>
          <w:trHeight w:val="300"/>
        </w:trPr>
        <w:tc>
          <w:tcPr>
            <w:tcW w:w="2532" w:type="dxa"/>
          </w:tcPr>
          <w:p w14:paraId="676B2218" w14:textId="77777777" w:rsidR="00436D09" w:rsidRDefault="00436D09" w:rsidP="00436D09">
            <w:pPr>
              <w:jc w:val="center"/>
              <w:rPr>
                <w:b/>
                <w:bCs/>
                <w:kern w:val="2"/>
                <w:szCs w:val="24"/>
              </w:rPr>
            </w:pPr>
            <w:r>
              <w:rPr>
                <w:b/>
                <w:bCs/>
                <w:kern w:val="2"/>
                <w:szCs w:val="24"/>
              </w:rPr>
              <w:t>15.2. Priedas Nr. 2</w:t>
            </w:r>
          </w:p>
        </w:tc>
        <w:tc>
          <w:tcPr>
            <w:tcW w:w="7003" w:type="dxa"/>
            <w:gridSpan w:val="4"/>
          </w:tcPr>
          <w:p w14:paraId="1407D6C0" w14:textId="509EC5C5" w:rsidR="00436D09" w:rsidRPr="00C6056B" w:rsidRDefault="00436D09" w:rsidP="00436D09">
            <w:pPr>
              <w:rPr>
                <w:b/>
                <w:bCs/>
              </w:rPr>
            </w:pPr>
          </w:p>
        </w:tc>
      </w:tr>
      <w:tr w:rsidR="00436D09" w14:paraId="64D242A0" w14:textId="77777777">
        <w:trPr>
          <w:trHeight w:val="300"/>
        </w:trPr>
        <w:tc>
          <w:tcPr>
            <w:tcW w:w="2532" w:type="dxa"/>
          </w:tcPr>
          <w:p w14:paraId="5112FD48" w14:textId="77777777" w:rsidR="00436D09" w:rsidRDefault="00436D09" w:rsidP="00436D09">
            <w:pPr>
              <w:jc w:val="center"/>
              <w:rPr>
                <w:b/>
                <w:bCs/>
                <w:kern w:val="2"/>
                <w:szCs w:val="24"/>
              </w:rPr>
            </w:pPr>
            <w:r>
              <w:rPr>
                <w:b/>
                <w:bCs/>
                <w:kern w:val="2"/>
                <w:szCs w:val="24"/>
              </w:rPr>
              <w:t>15.3. Priedas Nr. 3</w:t>
            </w:r>
          </w:p>
        </w:tc>
        <w:tc>
          <w:tcPr>
            <w:tcW w:w="7003" w:type="dxa"/>
            <w:gridSpan w:val="4"/>
          </w:tcPr>
          <w:p w14:paraId="608B8DF8" w14:textId="4601B16E" w:rsidR="00436D09" w:rsidRPr="00C6056B" w:rsidRDefault="00436D09" w:rsidP="00436D09">
            <w:pPr>
              <w:rPr>
                <w:b/>
                <w:bCs/>
              </w:rPr>
            </w:pPr>
          </w:p>
        </w:tc>
      </w:tr>
      <w:tr w:rsidR="00436D09" w14:paraId="7587F3C0" w14:textId="77777777">
        <w:trPr>
          <w:trHeight w:val="300"/>
        </w:trPr>
        <w:tc>
          <w:tcPr>
            <w:tcW w:w="2532" w:type="dxa"/>
          </w:tcPr>
          <w:p w14:paraId="7152E4AA" w14:textId="77777777" w:rsidR="00436D09" w:rsidRDefault="00436D09" w:rsidP="00436D09">
            <w:pPr>
              <w:jc w:val="center"/>
              <w:rPr>
                <w:b/>
                <w:bCs/>
                <w:kern w:val="2"/>
                <w:szCs w:val="24"/>
              </w:rPr>
            </w:pPr>
            <w:r>
              <w:rPr>
                <w:b/>
                <w:bCs/>
                <w:kern w:val="2"/>
                <w:szCs w:val="24"/>
              </w:rPr>
              <w:t>15.4. Priedas Nr. 4</w:t>
            </w:r>
          </w:p>
        </w:tc>
        <w:tc>
          <w:tcPr>
            <w:tcW w:w="7003" w:type="dxa"/>
            <w:gridSpan w:val="4"/>
          </w:tcPr>
          <w:p w14:paraId="141B4738" w14:textId="77777777" w:rsidR="00436D09" w:rsidRDefault="00436D09" w:rsidP="00436D09">
            <w:pPr>
              <w:jc w:val="center"/>
              <w:rPr>
                <w:b/>
                <w:bCs/>
                <w:kern w:val="2"/>
                <w:szCs w:val="24"/>
              </w:rPr>
            </w:pPr>
          </w:p>
        </w:tc>
      </w:tr>
      <w:tr w:rsidR="00436D09" w14:paraId="7F7D8799" w14:textId="77777777">
        <w:trPr>
          <w:trHeight w:val="300"/>
        </w:trPr>
        <w:tc>
          <w:tcPr>
            <w:tcW w:w="2532" w:type="dxa"/>
          </w:tcPr>
          <w:p w14:paraId="7B9F06BB" w14:textId="77777777" w:rsidR="00436D09" w:rsidRDefault="00436D09" w:rsidP="00436D09">
            <w:pPr>
              <w:jc w:val="center"/>
              <w:rPr>
                <w:b/>
                <w:bCs/>
                <w:kern w:val="2"/>
                <w:szCs w:val="24"/>
              </w:rPr>
            </w:pPr>
            <w:r>
              <w:rPr>
                <w:b/>
                <w:bCs/>
                <w:kern w:val="2"/>
                <w:szCs w:val="24"/>
              </w:rPr>
              <w:t>15.5. Priedas Nr. 5</w:t>
            </w:r>
          </w:p>
        </w:tc>
        <w:tc>
          <w:tcPr>
            <w:tcW w:w="7003" w:type="dxa"/>
            <w:gridSpan w:val="4"/>
          </w:tcPr>
          <w:p w14:paraId="1ED2290D" w14:textId="77777777" w:rsidR="00436D09" w:rsidRDefault="00436D09" w:rsidP="00436D09">
            <w:pPr>
              <w:jc w:val="center"/>
              <w:rPr>
                <w:b/>
                <w:bCs/>
                <w:kern w:val="2"/>
                <w:szCs w:val="24"/>
              </w:rPr>
            </w:pPr>
          </w:p>
        </w:tc>
      </w:tr>
      <w:tr w:rsidR="00436D09" w14:paraId="4C04A450" w14:textId="77777777">
        <w:tc>
          <w:tcPr>
            <w:tcW w:w="9535" w:type="dxa"/>
            <w:gridSpan w:val="5"/>
          </w:tcPr>
          <w:p w14:paraId="0DC7FB69" w14:textId="77777777" w:rsidR="00436D09" w:rsidRDefault="00436D09" w:rsidP="00436D09">
            <w:pPr>
              <w:jc w:val="center"/>
              <w:rPr>
                <w:b/>
                <w:bCs/>
                <w:kern w:val="2"/>
                <w:szCs w:val="24"/>
              </w:rPr>
            </w:pPr>
            <w:r>
              <w:rPr>
                <w:b/>
                <w:bCs/>
                <w:kern w:val="2"/>
                <w:szCs w:val="24"/>
              </w:rPr>
              <w:t>16. ŠALIŲ ATSTOVŲ PARAŠAI</w:t>
            </w:r>
          </w:p>
        </w:tc>
      </w:tr>
      <w:tr w:rsidR="00436D09"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436D09" w:rsidRDefault="00436D09" w:rsidP="00436D0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436D09" w:rsidRDefault="00436D09" w:rsidP="00436D09">
            <w:pPr>
              <w:jc w:val="center"/>
              <w:rPr>
                <w:b/>
                <w:bCs/>
                <w:kern w:val="2"/>
                <w:szCs w:val="24"/>
              </w:rPr>
            </w:pPr>
            <w:r>
              <w:rPr>
                <w:b/>
                <w:bCs/>
                <w:kern w:val="2"/>
                <w:szCs w:val="24"/>
              </w:rPr>
              <w:t>TIEKĖJAS</w:t>
            </w:r>
          </w:p>
        </w:tc>
      </w:tr>
      <w:tr w:rsidR="00436D09"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436D09" w:rsidRPr="004C6076" w:rsidRDefault="00436D09" w:rsidP="00436D09">
            <w:pPr>
              <w:jc w:val="center"/>
              <w:rPr>
                <w:szCs w:val="24"/>
              </w:rPr>
            </w:pPr>
            <w:r w:rsidRPr="004C6076">
              <w:rPr>
                <w:szCs w:val="24"/>
              </w:rPr>
              <w:t>Generalinis direktorius</w:t>
            </w:r>
          </w:p>
          <w:p w14:paraId="0F0BB78E" w14:textId="18C86492" w:rsidR="00436D09" w:rsidRDefault="00436D09" w:rsidP="00436D09">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436D09" w:rsidRDefault="00436D09" w:rsidP="00436D09">
            <w:pPr>
              <w:jc w:val="center"/>
              <w:rPr>
                <w:b/>
                <w:bCs/>
                <w:kern w:val="2"/>
                <w:szCs w:val="24"/>
              </w:rPr>
            </w:pPr>
            <w:r>
              <w:rPr>
                <w:color w:val="4472C4"/>
                <w:kern w:val="2"/>
                <w:szCs w:val="24"/>
              </w:rPr>
              <w:t>(nurodomos atstovo pareigos, vardas, pavardė)</w:t>
            </w:r>
          </w:p>
        </w:tc>
      </w:tr>
      <w:tr w:rsidR="00436D09"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436D09" w:rsidRDefault="00436D09" w:rsidP="00436D09">
            <w:pPr>
              <w:jc w:val="center"/>
              <w:rPr>
                <w:b/>
                <w:bCs/>
                <w:color w:val="4472C4"/>
                <w:kern w:val="2"/>
                <w:szCs w:val="24"/>
              </w:rPr>
            </w:pPr>
          </w:p>
          <w:p w14:paraId="44A3E70E" w14:textId="77777777" w:rsidR="00436D09" w:rsidRDefault="00436D09" w:rsidP="00436D09">
            <w:pPr>
              <w:jc w:val="center"/>
              <w:rPr>
                <w:b/>
                <w:bCs/>
                <w:color w:val="4472C4"/>
                <w:kern w:val="2"/>
                <w:szCs w:val="24"/>
              </w:rPr>
            </w:pPr>
            <w:r>
              <w:rPr>
                <w:b/>
                <w:bCs/>
                <w:color w:val="4472C4"/>
                <w:kern w:val="2"/>
                <w:szCs w:val="24"/>
              </w:rPr>
              <w:t>(parašas)</w:t>
            </w:r>
          </w:p>
          <w:p w14:paraId="5EE3E471" w14:textId="77777777" w:rsidR="00436D09" w:rsidRDefault="00436D09" w:rsidP="00436D09">
            <w:pPr>
              <w:jc w:val="center"/>
              <w:rPr>
                <w:b/>
                <w:bCs/>
                <w:color w:val="4472C4"/>
                <w:kern w:val="2"/>
                <w:szCs w:val="24"/>
              </w:rPr>
            </w:pPr>
          </w:p>
          <w:p w14:paraId="67BFB384" w14:textId="77777777" w:rsidR="00436D09" w:rsidRDefault="00436D09" w:rsidP="00436D0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436D09" w:rsidRDefault="00436D09" w:rsidP="00436D09">
            <w:pPr>
              <w:jc w:val="center"/>
              <w:rPr>
                <w:b/>
                <w:bCs/>
                <w:color w:val="4472C4"/>
                <w:kern w:val="2"/>
                <w:szCs w:val="24"/>
              </w:rPr>
            </w:pPr>
          </w:p>
          <w:p w14:paraId="5B47FADE" w14:textId="77777777" w:rsidR="00436D09" w:rsidRDefault="00436D09" w:rsidP="00436D09">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000000">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26550DB5" w14:textId="77777777" w:rsidR="00DD1F31" w:rsidRDefault="00DD1F31"/>
    <w:p w14:paraId="4E83A2C1" w14:textId="77777777" w:rsidR="00DD1F31" w:rsidRDefault="00DD1F31"/>
    <w:p w14:paraId="10C4FC28" w14:textId="77777777" w:rsidR="00DD1F31" w:rsidRDefault="00DD1F31"/>
    <w:p w14:paraId="70C26313" w14:textId="77777777" w:rsidR="00DD1F31" w:rsidRDefault="00DD1F31"/>
    <w:p w14:paraId="3B036CAA" w14:textId="77777777" w:rsidR="00DD1F31" w:rsidRDefault="00DD1F31"/>
    <w:p w14:paraId="1E8E5869" w14:textId="77777777" w:rsidR="00DD1F31" w:rsidRDefault="00DD1F31"/>
    <w:p w14:paraId="311CD6C0" w14:textId="77777777" w:rsidR="00DD1F31" w:rsidRDefault="00DD1F31"/>
    <w:p w14:paraId="7E37F6B1" w14:textId="77777777" w:rsidR="00DD1F31" w:rsidRDefault="00DD1F31"/>
    <w:p w14:paraId="7F17F100" w14:textId="77777777" w:rsidR="00DD1F31" w:rsidRDefault="00DD1F31"/>
    <w:p w14:paraId="0D1659CD" w14:textId="77777777" w:rsidR="001479F1" w:rsidRDefault="001479F1" w:rsidP="00CF4783">
      <w:pPr>
        <w:jc w:val="right"/>
        <w:sectPr w:rsidR="001479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04F968F3" w14:textId="79A9C704" w:rsidR="00CF4783" w:rsidRPr="00A07DDB" w:rsidRDefault="00CF4783" w:rsidP="00CF4783">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1B403B99" w14:textId="77777777" w:rsidR="00160F96" w:rsidRPr="00A07DDB" w:rsidRDefault="00160F96" w:rsidP="00292FFE">
      <w:pPr>
        <w:jc w:val="center"/>
        <w:rPr>
          <w:b/>
          <w:bCs/>
          <w:sz w:val="22"/>
          <w:szCs w:val="22"/>
        </w:rPr>
      </w:pPr>
      <w:r w:rsidRPr="00A07DDB">
        <w:rPr>
          <w:b/>
          <w:bCs/>
          <w:sz w:val="22"/>
          <w:szCs w:val="22"/>
        </w:rPr>
        <w:t>„Dviejų dalių išmatų rinktuvų komplektas (10943)“</w:t>
      </w:r>
    </w:p>
    <w:p w14:paraId="0420EB3A" w14:textId="77777777" w:rsidR="00292FFE" w:rsidRPr="00A07DDB" w:rsidRDefault="00292FFE" w:rsidP="00160F96">
      <w:pPr>
        <w:rPr>
          <w:b/>
          <w:bCs/>
          <w:sz w:val="22"/>
          <w:szCs w:val="22"/>
        </w:rPr>
      </w:pPr>
    </w:p>
    <w:p w14:paraId="0A3B177B" w14:textId="0550B448" w:rsidR="00160F96" w:rsidRPr="00A07DDB" w:rsidRDefault="00160F96" w:rsidP="00160F96">
      <w:pPr>
        <w:rPr>
          <w:b/>
          <w:bCs/>
          <w:sz w:val="20"/>
        </w:rPr>
      </w:pPr>
      <w:r w:rsidRPr="00A07DDB">
        <w:rPr>
          <w:b/>
          <w:bCs/>
          <w:sz w:val="20"/>
        </w:rPr>
        <w:t>Bendrieji reikalavimai:</w:t>
      </w:r>
    </w:p>
    <w:p w14:paraId="18007452" w14:textId="758EE588" w:rsidR="00160F96" w:rsidRPr="00A07DDB" w:rsidRDefault="00160F96" w:rsidP="00160F96">
      <w:pPr>
        <w:jc w:val="both"/>
        <w:rPr>
          <w:sz w:val="20"/>
        </w:rPr>
      </w:pPr>
      <w:r w:rsidRPr="00A07DDB">
        <w:rPr>
          <w:sz w:val="20"/>
        </w:rPr>
        <w:t>1. Prekių kokybė, žymėjimas, informacija vartotojui turi atitikti 93/42/EEC dire</w:t>
      </w:r>
      <w:r w:rsidR="00EE564C">
        <w:rPr>
          <w:sz w:val="20"/>
        </w:rPr>
        <w:t>k</w:t>
      </w:r>
      <w:r w:rsidRPr="00A07DDB">
        <w:rPr>
          <w:sz w:val="20"/>
        </w:rPr>
        <w:t>tyvos ir/ar MDR (ES) 2017/745 reglamento reikalavimams, CE ženklinimas, pateikti kartu su pasiūlymų tai įrodančius dokumentus.</w:t>
      </w:r>
      <w:r w:rsidRPr="00A07DDB">
        <w:rPr>
          <w:sz w:val="20"/>
        </w:rPr>
        <w:tab/>
      </w:r>
    </w:p>
    <w:p w14:paraId="647B2ED3" w14:textId="77777777" w:rsidR="00160F96" w:rsidRPr="00A07DDB" w:rsidRDefault="00160F96" w:rsidP="00160F96">
      <w:pPr>
        <w:jc w:val="both"/>
        <w:rPr>
          <w:sz w:val="20"/>
        </w:rPr>
      </w:pPr>
      <w:r w:rsidRPr="00A07DDB">
        <w:rPr>
          <w:sz w:val="20"/>
        </w:rPr>
        <w:t>2. Prekių charakteristikoms patvirtinti tiekėjai privalo pateikti techninių duomenų lapą ar lygiavertį gamintojo dokumentą.</w:t>
      </w:r>
    </w:p>
    <w:p w14:paraId="64C047F7" w14:textId="77777777" w:rsidR="00160F96" w:rsidRPr="00A07DDB" w:rsidRDefault="00160F96" w:rsidP="00160F96">
      <w:pPr>
        <w:jc w:val="both"/>
        <w:rPr>
          <w:sz w:val="20"/>
        </w:rPr>
      </w:pPr>
      <w:r w:rsidRPr="00A07DDB">
        <w:rPr>
          <w:sz w:val="20"/>
        </w:rPr>
        <w:t>3. Visoms nurodytoms konkrečioms medžiagoms ir/ar konkretiems prekių pavadinimams taikoma „arba lygiavertis“.</w:t>
      </w:r>
    </w:p>
    <w:p w14:paraId="3F95BD7A" w14:textId="77777777" w:rsidR="00160F96" w:rsidRPr="00A07DDB" w:rsidRDefault="00160F96" w:rsidP="00160F96">
      <w:pPr>
        <w:jc w:val="both"/>
        <w:rPr>
          <w:sz w:val="20"/>
        </w:rPr>
      </w:pPr>
      <w:r w:rsidRPr="00A07DDB">
        <w:rPr>
          <w:sz w:val="20"/>
        </w:rPr>
        <w:t xml:space="preserve">4. Tiekėjas, siūlantis lygiavertę prekę privalo patikimomis priemonėmis įrodyti, kad siūloma prekė yra lygiavertė ir visiškai atitinka techninėje specifikacijoje keliamus reikalavimus. </w:t>
      </w:r>
    </w:p>
    <w:p w14:paraId="6E92B6A0" w14:textId="77777777" w:rsidR="00160F96" w:rsidRPr="00A07DDB" w:rsidRDefault="00160F96" w:rsidP="00160F96">
      <w:pPr>
        <w:jc w:val="both"/>
        <w:rPr>
          <w:sz w:val="20"/>
        </w:rPr>
      </w:pPr>
      <w:r w:rsidRPr="00A07DDB">
        <w:rPr>
          <w:sz w:val="20"/>
        </w:rPr>
        <w:t xml:space="preserve">5. Patiektų prekių galiojimo laikas prekių pristatymo metu turi būti ne trumpesnis kaip 70 (septyniasdešimt) proc. prekės galiojimo termino. </w:t>
      </w:r>
    </w:p>
    <w:p w14:paraId="0D751901" w14:textId="5C5AB93C" w:rsidR="00160F96" w:rsidRPr="00A07DDB" w:rsidRDefault="00160F96" w:rsidP="00160F96">
      <w:pPr>
        <w:jc w:val="both"/>
        <w:rPr>
          <w:sz w:val="20"/>
        </w:rPr>
      </w:pPr>
      <w:r w:rsidRPr="00A07DDB">
        <w:rPr>
          <w:sz w:val="20"/>
        </w:rPr>
        <w:t>6.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14:paraId="604CFF06" w14:textId="77777777" w:rsidR="00160F96" w:rsidRPr="00A07DDB" w:rsidRDefault="00160F96" w:rsidP="00160F96">
      <w:pPr>
        <w:jc w:val="both"/>
        <w:rPr>
          <w:sz w:val="20"/>
        </w:rPr>
      </w:pPr>
      <w:r w:rsidRPr="00A07DDB">
        <w:rPr>
          <w:sz w:val="20"/>
        </w:rPr>
        <w:t>PO turi teisę reikalauti pateikti katalogų ir techninių aprašų originalus, o tiekėjui jų nepateikus – pasiūlymą atmesti.</w:t>
      </w:r>
    </w:p>
    <w:tbl>
      <w:tblPr>
        <w:tblStyle w:val="TableGrid"/>
        <w:tblW w:w="14737" w:type="dxa"/>
        <w:jc w:val="center"/>
        <w:tblLook w:val="04A0" w:firstRow="1" w:lastRow="0" w:firstColumn="1" w:lastColumn="0" w:noHBand="0" w:noVBand="1"/>
      </w:tblPr>
      <w:tblGrid>
        <w:gridCol w:w="559"/>
        <w:gridCol w:w="1387"/>
        <w:gridCol w:w="3183"/>
        <w:gridCol w:w="874"/>
        <w:gridCol w:w="1526"/>
        <w:gridCol w:w="1847"/>
        <w:gridCol w:w="2415"/>
        <w:gridCol w:w="1136"/>
        <w:gridCol w:w="718"/>
        <w:gridCol w:w="1092"/>
      </w:tblGrid>
      <w:tr w:rsidR="00BF56E8" w:rsidRPr="00292FFE" w14:paraId="2C457B5D" w14:textId="77777777" w:rsidTr="00931E07">
        <w:trPr>
          <w:trHeight w:val="2610"/>
          <w:jc w:val="center"/>
        </w:trPr>
        <w:tc>
          <w:tcPr>
            <w:tcW w:w="559" w:type="dxa"/>
            <w:noWrap/>
            <w:vAlign w:val="center"/>
            <w:hideMark/>
          </w:tcPr>
          <w:p w14:paraId="61670017" w14:textId="77777777" w:rsidR="00292FFE" w:rsidRPr="00BF56E8" w:rsidRDefault="00292FFE" w:rsidP="00BF56E8">
            <w:pPr>
              <w:jc w:val="center"/>
              <w:rPr>
                <w:iCs/>
                <w:sz w:val="20"/>
              </w:rPr>
            </w:pPr>
            <w:r w:rsidRPr="00BF56E8">
              <w:rPr>
                <w:iCs/>
                <w:sz w:val="20"/>
              </w:rPr>
              <w:t>Eil. Nr.</w:t>
            </w:r>
          </w:p>
        </w:tc>
        <w:tc>
          <w:tcPr>
            <w:tcW w:w="1387" w:type="dxa"/>
            <w:vAlign w:val="center"/>
            <w:hideMark/>
          </w:tcPr>
          <w:p w14:paraId="477B64EC" w14:textId="77777777" w:rsidR="00292FFE" w:rsidRPr="00BF56E8" w:rsidRDefault="00292FFE" w:rsidP="00BF56E8">
            <w:pPr>
              <w:jc w:val="center"/>
              <w:rPr>
                <w:iCs/>
                <w:sz w:val="20"/>
              </w:rPr>
            </w:pPr>
            <w:r w:rsidRPr="00BF56E8">
              <w:rPr>
                <w:iCs/>
                <w:sz w:val="20"/>
              </w:rPr>
              <w:t>Pirkimo dalies pavadinimas</w:t>
            </w:r>
          </w:p>
        </w:tc>
        <w:tc>
          <w:tcPr>
            <w:tcW w:w="3183" w:type="dxa"/>
            <w:vAlign w:val="center"/>
            <w:hideMark/>
          </w:tcPr>
          <w:p w14:paraId="63DB8128" w14:textId="77777777" w:rsidR="00292FFE" w:rsidRPr="00BF56E8" w:rsidRDefault="00292FFE" w:rsidP="00BF56E8">
            <w:pPr>
              <w:jc w:val="center"/>
              <w:rPr>
                <w:iCs/>
                <w:sz w:val="20"/>
              </w:rPr>
            </w:pPr>
            <w:r w:rsidRPr="00BF56E8">
              <w:rPr>
                <w:iCs/>
                <w:sz w:val="20"/>
              </w:rPr>
              <w:t>Charakteristikos, reikalavimai</w:t>
            </w:r>
          </w:p>
        </w:tc>
        <w:tc>
          <w:tcPr>
            <w:tcW w:w="874" w:type="dxa"/>
            <w:vAlign w:val="center"/>
            <w:hideMark/>
          </w:tcPr>
          <w:p w14:paraId="76F6CA0C" w14:textId="77777777" w:rsidR="00292FFE" w:rsidRPr="00BF56E8" w:rsidRDefault="00292FFE" w:rsidP="00BF56E8">
            <w:pPr>
              <w:jc w:val="center"/>
              <w:rPr>
                <w:iCs/>
                <w:sz w:val="20"/>
              </w:rPr>
            </w:pPr>
            <w:r w:rsidRPr="00BF56E8">
              <w:rPr>
                <w:iCs/>
                <w:sz w:val="20"/>
              </w:rPr>
              <w:t>Mato vienetas</w:t>
            </w:r>
          </w:p>
        </w:tc>
        <w:tc>
          <w:tcPr>
            <w:tcW w:w="1526" w:type="dxa"/>
            <w:vAlign w:val="center"/>
            <w:hideMark/>
          </w:tcPr>
          <w:p w14:paraId="74B22B7D" w14:textId="77777777" w:rsidR="00292FFE" w:rsidRPr="00BF56E8" w:rsidRDefault="00292FFE" w:rsidP="00BF56E8">
            <w:pPr>
              <w:jc w:val="center"/>
              <w:rPr>
                <w:iCs/>
                <w:sz w:val="20"/>
              </w:rPr>
            </w:pPr>
            <w:r w:rsidRPr="00BF56E8">
              <w:rPr>
                <w:iCs/>
                <w:sz w:val="20"/>
              </w:rPr>
              <w:t xml:space="preserve">Preliminarus kiekis </w:t>
            </w:r>
            <w:r w:rsidRPr="00BF56E8">
              <w:rPr>
                <w:iCs/>
                <w:sz w:val="20"/>
              </w:rPr>
              <w:br/>
              <w:t>(4 mėnesiams)</w:t>
            </w:r>
          </w:p>
        </w:tc>
        <w:tc>
          <w:tcPr>
            <w:tcW w:w="1847" w:type="dxa"/>
            <w:vAlign w:val="center"/>
            <w:hideMark/>
          </w:tcPr>
          <w:p w14:paraId="723B416F" w14:textId="443E01B3" w:rsidR="00292FFE" w:rsidRPr="00BF56E8" w:rsidRDefault="00292FFE" w:rsidP="00BF56E8">
            <w:pPr>
              <w:jc w:val="center"/>
              <w:rPr>
                <w:iCs/>
                <w:sz w:val="20"/>
              </w:rPr>
            </w:pPr>
            <w:r w:rsidRPr="00BF56E8">
              <w:rPr>
                <w:iCs/>
                <w:sz w:val="20"/>
              </w:rPr>
              <w:t xml:space="preserve">Firminis priemonių pavadinimas, gamintojas, priemonės kodas gamintojo kataloge (jeigu gamintojas turi savo prekių katalogą)  </w:t>
            </w:r>
            <w:r w:rsidRPr="00BF56E8">
              <w:rPr>
                <w:iCs/>
                <w:sz w:val="20"/>
              </w:rPr>
              <w:br/>
              <w:t>Pildo tiekėjas</w:t>
            </w:r>
          </w:p>
        </w:tc>
        <w:tc>
          <w:tcPr>
            <w:tcW w:w="2415" w:type="dxa"/>
            <w:vAlign w:val="center"/>
            <w:hideMark/>
          </w:tcPr>
          <w:p w14:paraId="664A363C" w14:textId="19D3F650" w:rsidR="00292FFE" w:rsidRPr="00BF56E8" w:rsidRDefault="00292FFE" w:rsidP="00BF56E8">
            <w:pPr>
              <w:jc w:val="center"/>
              <w:rPr>
                <w:iCs/>
                <w:sz w:val="20"/>
              </w:rPr>
            </w:pPr>
            <w:r w:rsidRPr="00BF56E8">
              <w:rPr>
                <w:iCs/>
                <w:sz w:val="20"/>
              </w:rPr>
              <w:t xml:space="preserve">Siūloma parametro reikšmė </w:t>
            </w:r>
            <w:r w:rsidRPr="00BF56E8">
              <w:rPr>
                <w:iCs/>
                <w:sz w:val="20"/>
              </w:rPr>
              <w:br/>
              <w:t xml:space="preserve">(Failo, dokumento pavadinimas ir puslapio Nr., pažymintis vietą, kurioje yra siūlomus techninius parametrus patvirtinantys dokumentai, nuoroda į gamintojo interneto tinklalapį (jei toks yra), nuoroda turi būti tiksli į konkrečią prekę) </w:t>
            </w:r>
            <w:r w:rsidRPr="00BF56E8">
              <w:rPr>
                <w:iCs/>
                <w:sz w:val="20"/>
              </w:rPr>
              <w:br/>
              <w:t>Pildo tiekėjas</w:t>
            </w:r>
          </w:p>
        </w:tc>
        <w:tc>
          <w:tcPr>
            <w:tcW w:w="1136" w:type="dxa"/>
            <w:vAlign w:val="center"/>
            <w:hideMark/>
          </w:tcPr>
          <w:p w14:paraId="480F7FD3" w14:textId="77777777" w:rsidR="00292FFE" w:rsidRPr="00BF56E8" w:rsidRDefault="00292FFE" w:rsidP="00BF56E8">
            <w:pPr>
              <w:jc w:val="center"/>
              <w:rPr>
                <w:iCs/>
                <w:sz w:val="20"/>
              </w:rPr>
            </w:pPr>
            <w:r w:rsidRPr="00BF56E8">
              <w:rPr>
                <w:iCs/>
                <w:sz w:val="20"/>
              </w:rPr>
              <w:t>Vieno mato vnt. įkainis EUR be PVM</w:t>
            </w:r>
          </w:p>
        </w:tc>
        <w:tc>
          <w:tcPr>
            <w:tcW w:w="718" w:type="dxa"/>
            <w:vAlign w:val="center"/>
            <w:hideMark/>
          </w:tcPr>
          <w:p w14:paraId="15A7AE4D" w14:textId="77777777" w:rsidR="00292FFE" w:rsidRPr="00BF56E8" w:rsidRDefault="00292FFE" w:rsidP="00BF56E8">
            <w:pPr>
              <w:jc w:val="center"/>
              <w:rPr>
                <w:iCs/>
                <w:sz w:val="20"/>
              </w:rPr>
            </w:pPr>
            <w:r w:rsidRPr="00BF56E8">
              <w:rPr>
                <w:iCs/>
                <w:sz w:val="20"/>
              </w:rPr>
              <w:t>PVM tarifas ٪</w:t>
            </w:r>
          </w:p>
        </w:tc>
        <w:tc>
          <w:tcPr>
            <w:tcW w:w="1092" w:type="dxa"/>
            <w:vAlign w:val="center"/>
            <w:hideMark/>
          </w:tcPr>
          <w:p w14:paraId="5CD681FC" w14:textId="04C4252D" w:rsidR="00292FFE" w:rsidRPr="00BF56E8" w:rsidRDefault="00292FFE" w:rsidP="00BF56E8">
            <w:pPr>
              <w:jc w:val="center"/>
              <w:rPr>
                <w:iCs/>
                <w:sz w:val="20"/>
              </w:rPr>
            </w:pPr>
            <w:r w:rsidRPr="00354E37">
              <w:rPr>
                <w:iCs/>
                <w:sz w:val="20"/>
              </w:rPr>
              <w:t xml:space="preserve">Bendra </w:t>
            </w:r>
            <w:r w:rsidR="00354E37" w:rsidRPr="00354E37">
              <w:rPr>
                <w:iCs/>
                <w:sz w:val="20"/>
              </w:rPr>
              <w:t>suma</w:t>
            </w:r>
            <w:r w:rsidRPr="00354E37">
              <w:rPr>
                <w:iCs/>
                <w:sz w:val="20"/>
              </w:rPr>
              <w:t xml:space="preserve"> EUR be PVM</w:t>
            </w:r>
          </w:p>
        </w:tc>
      </w:tr>
      <w:tr w:rsidR="00BF56E8" w:rsidRPr="00292FFE" w14:paraId="54696705" w14:textId="77777777" w:rsidTr="00931E07">
        <w:trPr>
          <w:trHeight w:val="645"/>
          <w:jc w:val="center"/>
        </w:trPr>
        <w:tc>
          <w:tcPr>
            <w:tcW w:w="559" w:type="dxa"/>
            <w:noWrap/>
            <w:hideMark/>
          </w:tcPr>
          <w:p w14:paraId="009A57F6" w14:textId="77777777" w:rsidR="00292FFE" w:rsidRPr="00BF56E8" w:rsidRDefault="00292FFE">
            <w:pPr>
              <w:rPr>
                <w:iCs/>
                <w:sz w:val="20"/>
              </w:rPr>
            </w:pPr>
            <w:r w:rsidRPr="00BF56E8">
              <w:rPr>
                <w:iCs/>
                <w:sz w:val="20"/>
              </w:rPr>
              <w:t>1</w:t>
            </w:r>
          </w:p>
        </w:tc>
        <w:tc>
          <w:tcPr>
            <w:tcW w:w="1387" w:type="dxa"/>
            <w:hideMark/>
          </w:tcPr>
          <w:p w14:paraId="3C2D1C2F" w14:textId="77777777" w:rsidR="00292FFE" w:rsidRPr="00BF56E8" w:rsidRDefault="00292FFE">
            <w:pPr>
              <w:rPr>
                <w:iCs/>
                <w:sz w:val="20"/>
              </w:rPr>
            </w:pPr>
            <w:r w:rsidRPr="00BF56E8">
              <w:rPr>
                <w:iCs/>
                <w:sz w:val="20"/>
              </w:rPr>
              <w:t>Dviejų dalių išmatų rinktuvų komplektas</w:t>
            </w:r>
          </w:p>
        </w:tc>
        <w:tc>
          <w:tcPr>
            <w:tcW w:w="3183" w:type="dxa"/>
            <w:hideMark/>
          </w:tcPr>
          <w:p w14:paraId="299F0A2C" w14:textId="77777777" w:rsidR="00292FFE" w:rsidRPr="00BF56E8" w:rsidRDefault="00292FFE">
            <w:pPr>
              <w:rPr>
                <w:iCs/>
                <w:sz w:val="20"/>
              </w:rPr>
            </w:pPr>
            <w:r w:rsidRPr="00BF56E8">
              <w:rPr>
                <w:iCs/>
                <w:sz w:val="20"/>
              </w:rPr>
              <w:t>Komplektas (plokštelė +maišelis)</w:t>
            </w:r>
          </w:p>
        </w:tc>
        <w:tc>
          <w:tcPr>
            <w:tcW w:w="874" w:type="dxa"/>
            <w:noWrap/>
            <w:hideMark/>
          </w:tcPr>
          <w:p w14:paraId="555609C8" w14:textId="77777777" w:rsidR="00292FFE" w:rsidRPr="00BF56E8" w:rsidRDefault="00292FFE" w:rsidP="00292FFE">
            <w:pPr>
              <w:rPr>
                <w:iCs/>
                <w:sz w:val="20"/>
              </w:rPr>
            </w:pPr>
            <w:r w:rsidRPr="00BF56E8">
              <w:rPr>
                <w:iCs/>
                <w:sz w:val="20"/>
              </w:rPr>
              <w:t> </w:t>
            </w:r>
          </w:p>
        </w:tc>
        <w:tc>
          <w:tcPr>
            <w:tcW w:w="1526" w:type="dxa"/>
            <w:noWrap/>
            <w:hideMark/>
          </w:tcPr>
          <w:p w14:paraId="60C228A7" w14:textId="77777777" w:rsidR="00292FFE" w:rsidRPr="00BF56E8" w:rsidRDefault="00292FFE" w:rsidP="00292FFE">
            <w:pPr>
              <w:rPr>
                <w:iCs/>
                <w:sz w:val="20"/>
              </w:rPr>
            </w:pPr>
            <w:r w:rsidRPr="00BF56E8">
              <w:rPr>
                <w:iCs/>
                <w:sz w:val="20"/>
              </w:rPr>
              <w:t> </w:t>
            </w:r>
          </w:p>
        </w:tc>
        <w:tc>
          <w:tcPr>
            <w:tcW w:w="1847" w:type="dxa"/>
            <w:noWrap/>
            <w:hideMark/>
          </w:tcPr>
          <w:p w14:paraId="139E7732" w14:textId="77777777" w:rsidR="00292FFE" w:rsidRPr="00BF56E8" w:rsidRDefault="00292FFE">
            <w:pPr>
              <w:rPr>
                <w:iCs/>
                <w:sz w:val="20"/>
              </w:rPr>
            </w:pPr>
            <w:r w:rsidRPr="00BF56E8">
              <w:rPr>
                <w:iCs/>
                <w:sz w:val="20"/>
              </w:rPr>
              <w:t> </w:t>
            </w:r>
          </w:p>
        </w:tc>
        <w:tc>
          <w:tcPr>
            <w:tcW w:w="2415" w:type="dxa"/>
            <w:noWrap/>
            <w:hideMark/>
          </w:tcPr>
          <w:p w14:paraId="414F7B8D" w14:textId="77777777" w:rsidR="00292FFE" w:rsidRPr="00BF56E8" w:rsidRDefault="00292FFE">
            <w:pPr>
              <w:rPr>
                <w:iCs/>
                <w:sz w:val="20"/>
              </w:rPr>
            </w:pPr>
            <w:r w:rsidRPr="00BF56E8">
              <w:rPr>
                <w:iCs/>
                <w:sz w:val="20"/>
              </w:rPr>
              <w:t> </w:t>
            </w:r>
          </w:p>
        </w:tc>
        <w:tc>
          <w:tcPr>
            <w:tcW w:w="1136" w:type="dxa"/>
            <w:noWrap/>
            <w:hideMark/>
          </w:tcPr>
          <w:p w14:paraId="2143A784" w14:textId="77777777" w:rsidR="00292FFE" w:rsidRPr="00BF56E8" w:rsidRDefault="00292FFE" w:rsidP="00292FFE">
            <w:pPr>
              <w:rPr>
                <w:iCs/>
                <w:sz w:val="20"/>
              </w:rPr>
            </w:pPr>
            <w:r w:rsidRPr="00BF56E8">
              <w:rPr>
                <w:iCs/>
                <w:sz w:val="20"/>
              </w:rPr>
              <w:t> </w:t>
            </w:r>
          </w:p>
        </w:tc>
        <w:tc>
          <w:tcPr>
            <w:tcW w:w="718" w:type="dxa"/>
            <w:noWrap/>
            <w:hideMark/>
          </w:tcPr>
          <w:p w14:paraId="3B7E3DE2" w14:textId="77777777" w:rsidR="00292FFE" w:rsidRPr="00BF56E8" w:rsidRDefault="00292FFE" w:rsidP="00292FFE">
            <w:pPr>
              <w:rPr>
                <w:iCs/>
                <w:sz w:val="20"/>
              </w:rPr>
            </w:pPr>
            <w:r w:rsidRPr="00BF56E8">
              <w:rPr>
                <w:iCs/>
                <w:sz w:val="20"/>
              </w:rPr>
              <w:t> </w:t>
            </w:r>
          </w:p>
        </w:tc>
        <w:tc>
          <w:tcPr>
            <w:tcW w:w="1092" w:type="dxa"/>
            <w:noWrap/>
            <w:hideMark/>
          </w:tcPr>
          <w:p w14:paraId="7518D327" w14:textId="77777777" w:rsidR="00292FFE" w:rsidRPr="00BF56E8" w:rsidRDefault="00292FFE" w:rsidP="00292FFE">
            <w:pPr>
              <w:rPr>
                <w:iCs/>
                <w:sz w:val="20"/>
              </w:rPr>
            </w:pPr>
            <w:r w:rsidRPr="00BF56E8">
              <w:rPr>
                <w:iCs/>
                <w:sz w:val="20"/>
              </w:rPr>
              <w:t> </w:t>
            </w:r>
          </w:p>
        </w:tc>
      </w:tr>
      <w:tr w:rsidR="00BF56E8" w:rsidRPr="00292FFE" w14:paraId="42666EDA" w14:textId="77777777" w:rsidTr="00931E07">
        <w:trPr>
          <w:trHeight w:val="630"/>
          <w:jc w:val="center"/>
        </w:trPr>
        <w:tc>
          <w:tcPr>
            <w:tcW w:w="559" w:type="dxa"/>
            <w:noWrap/>
            <w:hideMark/>
          </w:tcPr>
          <w:p w14:paraId="6AA1FB5D" w14:textId="77777777" w:rsidR="00292FFE" w:rsidRPr="00BF56E8" w:rsidRDefault="00292FFE">
            <w:pPr>
              <w:rPr>
                <w:iCs/>
                <w:sz w:val="20"/>
              </w:rPr>
            </w:pPr>
            <w:r w:rsidRPr="00BF56E8">
              <w:rPr>
                <w:iCs/>
                <w:sz w:val="20"/>
              </w:rPr>
              <w:t>1.1</w:t>
            </w:r>
          </w:p>
        </w:tc>
        <w:tc>
          <w:tcPr>
            <w:tcW w:w="1387" w:type="dxa"/>
            <w:hideMark/>
          </w:tcPr>
          <w:p w14:paraId="633502BD" w14:textId="77777777" w:rsidR="00292FFE" w:rsidRPr="00BF56E8" w:rsidRDefault="00292FFE">
            <w:pPr>
              <w:rPr>
                <w:iCs/>
                <w:sz w:val="20"/>
              </w:rPr>
            </w:pPr>
            <w:r w:rsidRPr="00BF56E8">
              <w:rPr>
                <w:iCs/>
                <w:sz w:val="20"/>
              </w:rPr>
              <w:t xml:space="preserve">Plokštelė 45 mm dydžio </w:t>
            </w:r>
          </w:p>
        </w:tc>
        <w:tc>
          <w:tcPr>
            <w:tcW w:w="3183" w:type="dxa"/>
            <w:hideMark/>
          </w:tcPr>
          <w:p w14:paraId="03B6F258" w14:textId="77777777" w:rsidR="00292FFE" w:rsidRPr="00BF56E8" w:rsidRDefault="00292FFE">
            <w:pPr>
              <w:rPr>
                <w:iCs/>
                <w:sz w:val="20"/>
              </w:rPr>
            </w:pPr>
            <w:r w:rsidRPr="00BF56E8">
              <w:rPr>
                <w:iCs/>
                <w:sz w:val="20"/>
              </w:rPr>
              <w:t xml:space="preserve">Pirštais formuojama plokštelė 45 mm dydžio, lygi „Flat Moldable“ tipo, tinka  22 -33 mm skersmens </w:t>
            </w:r>
            <w:r w:rsidRPr="00BF56E8">
              <w:rPr>
                <w:iCs/>
                <w:sz w:val="20"/>
              </w:rPr>
              <w:lastRenderedPageBreak/>
              <w:t>stomai, su plastikiniu žiedu, plokštelės lipnioji dalis – hidrokoloidinė.</w:t>
            </w:r>
          </w:p>
        </w:tc>
        <w:tc>
          <w:tcPr>
            <w:tcW w:w="874" w:type="dxa"/>
            <w:noWrap/>
            <w:vAlign w:val="center"/>
            <w:hideMark/>
          </w:tcPr>
          <w:p w14:paraId="1C7BB9BE" w14:textId="77777777" w:rsidR="00292FFE" w:rsidRPr="00BF56E8" w:rsidRDefault="00292FFE" w:rsidP="00BF56E8">
            <w:pPr>
              <w:jc w:val="center"/>
              <w:rPr>
                <w:iCs/>
                <w:sz w:val="20"/>
              </w:rPr>
            </w:pPr>
            <w:r w:rsidRPr="00BF56E8">
              <w:rPr>
                <w:iCs/>
                <w:sz w:val="20"/>
              </w:rPr>
              <w:lastRenderedPageBreak/>
              <w:t>vnt.</w:t>
            </w:r>
          </w:p>
        </w:tc>
        <w:tc>
          <w:tcPr>
            <w:tcW w:w="1526" w:type="dxa"/>
            <w:noWrap/>
            <w:vAlign w:val="center"/>
            <w:hideMark/>
          </w:tcPr>
          <w:p w14:paraId="51916219" w14:textId="77777777" w:rsidR="00292FFE" w:rsidRPr="00BF56E8" w:rsidRDefault="00292FFE" w:rsidP="00BF56E8">
            <w:pPr>
              <w:jc w:val="center"/>
              <w:rPr>
                <w:iCs/>
                <w:sz w:val="20"/>
              </w:rPr>
            </w:pPr>
            <w:r w:rsidRPr="00BF56E8">
              <w:rPr>
                <w:iCs/>
                <w:sz w:val="20"/>
              </w:rPr>
              <w:t>100</w:t>
            </w:r>
          </w:p>
        </w:tc>
        <w:tc>
          <w:tcPr>
            <w:tcW w:w="1847" w:type="dxa"/>
            <w:noWrap/>
            <w:hideMark/>
          </w:tcPr>
          <w:p w14:paraId="516D3C23" w14:textId="77777777" w:rsidR="00292FFE" w:rsidRPr="00BF56E8" w:rsidRDefault="00292FFE">
            <w:pPr>
              <w:rPr>
                <w:iCs/>
                <w:sz w:val="20"/>
              </w:rPr>
            </w:pPr>
            <w:r w:rsidRPr="00BF56E8">
              <w:rPr>
                <w:iCs/>
                <w:sz w:val="20"/>
              </w:rPr>
              <w:t> </w:t>
            </w:r>
          </w:p>
        </w:tc>
        <w:tc>
          <w:tcPr>
            <w:tcW w:w="2415" w:type="dxa"/>
            <w:noWrap/>
            <w:hideMark/>
          </w:tcPr>
          <w:p w14:paraId="66A8E97F" w14:textId="77777777" w:rsidR="00292FFE" w:rsidRPr="00BF56E8" w:rsidRDefault="00292FFE">
            <w:pPr>
              <w:rPr>
                <w:iCs/>
                <w:sz w:val="20"/>
              </w:rPr>
            </w:pPr>
            <w:r w:rsidRPr="00BF56E8">
              <w:rPr>
                <w:iCs/>
                <w:sz w:val="20"/>
              </w:rPr>
              <w:t> </w:t>
            </w:r>
          </w:p>
        </w:tc>
        <w:tc>
          <w:tcPr>
            <w:tcW w:w="1136" w:type="dxa"/>
            <w:noWrap/>
            <w:hideMark/>
          </w:tcPr>
          <w:p w14:paraId="7912A4B8" w14:textId="77777777" w:rsidR="00292FFE" w:rsidRPr="00BF56E8" w:rsidRDefault="00292FFE" w:rsidP="00292FFE">
            <w:pPr>
              <w:rPr>
                <w:iCs/>
                <w:sz w:val="20"/>
              </w:rPr>
            </w:pPr>
            <w:r w:rsidRPr="00BF56E8">
              <w:rPr>
                <w:iCs/>
                <w:sz w:val="20"/>
              </w:rPr>
              <w:t> </w:t>
            </w:r>
          </w:p>
        </w:tc>
        <w:tc>
          <w:tcPr>
            <w:tcW w:w="718" w:type="dxa"/>
            <w:noWrap/>
            <w:hideMark/>
          </w:tcPr>
          <w:p w14:paraId="5B462326" w14:textId="77777777" w:rsidR="00292FFE" w:rsidRPr="00BF56E8" w:rsidRDefault="00292FFE" w:rsidP="00292FFE">
            <w:pPr>
              <w:rPr>
                <w:iCs/>
                <w:sz w:val="20"/>
              </w:rPr>
            </w:pPr>
            <w:r w:rsidRPr="00BF56E8">
              <w:rPr>
                <w:iCs/>
                <w:sz w:val="20"/>
              </w:rPr>
              <w:t> </w:t>
            </w:r>
          </w:p>
        </w:tc>
        <w:tc>
          <w:tcPr>
            <w:tcW w:w="1092" w:type="dxa"/>
            <w:noWrap/>
            <w:hideMark/>
          </w:tcPr>
          <w:p w14:paraId="2CBF4FD5" w14:textId="77777777" w:rsidR="00292FFE" w:rsidRPr="00BF56E8" w:rsidRDefault="00292FFE" w:rsidP="00292FFE">
            <w:pPr>
              <w:rPr>
                <w:iCs/>
                <w:sz w:val="20"/>
              </w:rPr>
            </w:pPr>
            <w:r w:rsidRPr="00BF56E8">
              <w:rPr>
                <w:iCs/>
                <w:sz w:val="20"/>
              </w:rPr>
              <w:t> </w:t>
            </w:r>
          </w:p>
        </w:tc>
      </w:tr>
      <w:tr w:rsidR="00BF56E8" w:rsidRPr="00292FFE" w14:paraId="5A72E6C9" w14:textId="77777777" w:rsidTr="00931E07">
        <w:trPr>
          <w:trHeight w:val="645"/>
          <w:jc w:val="center"/>
        </w:trPr>
        <w:tc>
          <w:tcPr>
            <w:tcW w:w="559" w:type="dxa"/>
            <w:noWrap/>
            <w:hideMark/>
          </w:tcPr>
          <w:p w14:paraId="6EB77E2E" w14:textId="77777777" w:rsidR="00292FFE" w:rsidRPr="00BF56E8" w:rsidRDefault="00292FFE">
            <w:pPr>
              <w:rPr>
                <w:iCs/>
                <w:sz w:val="20"/>
              </w:rPr>
            </w:pPr>
            <w:r w:rsidRPr="00BF56E8">
              <w:rPr>
                <w:iCs/>
                <w:sz w:val="20"/>
              </w:rPr>
              <w:t>1.2</w:t>
            </w:r>
          </w:p>
        </w:tc>
        <w:tc>
          <w:tcPr>
            <w:tcW w:w="1387" w:type="dxa"/>
            <w:hideMark/>
          </w:tcPr>
          <w:p w14:paraId="10709483" w14:textId="77777777" w:rsidR="00292FFE" w:rsidRPr="00BF56E8" w:rsidRDefault="00292FFE">
            <w:pPr>
              <w:rPr>
                <w:iCs/>
                <w:sz w:val="20"/>
              </w:rPr>
            </w:pPr>
            <w:r w:rsidRPr="00BF56E8">
              <w:rPr>
                <w:iCs/>
                <w:sz w:val="20"/>
              </w:rPr>
              <w:t>Plokštelė 57 mm dydžio</w:t>
            </w:r>
          </w:p>
        </w:tc>
        <w:tc>
          <w:tcPr>
            <w:tcW w:w="3183" w:type="dxa"/>
            <w:hideMark/>
          </w:tcPr>
          <w:p w14:paraId="49FE2B59" w14:textId="77777777" w:rsidR="00292FFE" w:rsidRPr="00BF56E8" w:rsidRDefault="00292FFE">
            <w:pPr>
              <w:rPr>
                <w:iCs/>
                <w:sz w:val="20"/>
              </w:rPr>
            </w:pPr>
            <w:r w:rsidRPr="00BF56E8">
              <w:rPr>
                <w:iCs/>
                <w:sz w:val="20"/>
              </w:rPr>
              <w:t>Pirštais formuojama plokštelė 57 mm dydžio, lygi „Flat Moldable“ tipo, tinka  33-45 mm skersmens stomai, su plastikiniu žiedu, plokštelės lipnioji dalis – hidrokoloidinė.</w:t>
            </w:r>
          </w:p>
        </w:tc>
        <w:tc>
          <w:tcPr>
            <w:tcW w:w="874" w:type="dxa"/>
            <w:noWrap/>
            <w:vAlign w:val="center"/>
            <w:hideMark/>
          </w:tcPr>
          <w:p w14:paraId="36D1D34B" w14:textId="77777777" w:rsidR="00292FFE" w:rsidRPr="00BF56E8" w:rsidRDefault="00292FFE" w:rsidP="00BF56E8">
            <w:pPr>
              <w:jc w:val="center"/>
              <w:rPr>
                <w:iCs/>
                <w:sz w:val="20"/>
              </w:rPr>
            </w:pPr>
            <w:r w:rsidRPr="00BF56E8">
              <w:rPr>
                <w:iCs/>
                <w:sz w:val="20"/>
              </w:rPr>
              <w:t>vnt.</w:t>
            </w:r>
          </w:p>
        </w:tc>
        <w:tc>
          <w:tcPr>
            <w:tcW w:w="1526" w:type="dxa"/>
            <w:noWrap/>
            <w:vAlign w:val="center"/>
            <w:hideMark/>
          </w:tcPr>
          <w:p w14:paraId="2AA3B58B" w14:textId="77777777" w:rsidR="00292FFE" w:rsidRPr="00BF56E8" w:rsidRDefault="00292FFE" w:rsidP="00BF56E8">
            <w:pPr>
              <w:jc w:val="center"/>
              <w:rPr>
                <w:iCs/>
                <w:sz w:val="20"/>
              </w:rPr>
            </w:pPr>
            <w:r w:rsidRPr="00BF56E8">
              <w:rPr>
                <w:iCs/>
                <w:sz w:val="20"/>
              </w:rPr>
              <w:t>300</w:t>
            </w:r>
          </w:p>
        </w:tc>
        <w:tc>
          <w:tcPr>
            <w:tcW w:w="1847" w:type="dxa"/>
            <w:noWrap/>
            <w:hideMark/>
          </w:tcPr>
          <w:p w14:paraId="65787268" w14:textId="77777777" w:rsidR="00292FFE" w:rsidRPr="00BF56E8" w:rsidRDefault="00292FFE">
            <w:pPr>
              <w:rPr>
                <w:iCs/>
                <w:sz w:val="20"/>
              </w:rPr>
            </w:pPr>
            <w:r w:rsidRPr="00BF56E8">
              <w:rPr>
                <w:iCs/>
                <w:sz w:val="20"/>
              </w:rPr>
              <w:t> </w:t>
            </w:r>
          </w:p>
        </w:tc>
        <w:tc>
          <w:tcPr>
            <w:tcW w:w="2415" w:type="dxa"/>
            <w:noWrap/>
            <w:hideMark/>
          </w:tcPr>
          <w:p w14:paraId="58C9E29C" w14:textId="77777777" w:rsidR="00292FFE" w:rsidRPr="00BF56E8" w:rsidRDefault="00292FFE">
            <w:pPr>
              <w:rPr>
                <w:iCs/>
                <w:sz w:val="20"/>
              </w:rPr>
            </w:pPr>
            <w:r w:rsidRPr="00BF56E8">
              <w:rPr>
                <w:iCs/>
                <w:sz w:val="20"/>
              </w:rPr>
              <w:t> </w:t>
            </w:r>
          </w:p>
        </w:tc>
        <w:tc>
          <w:tcPr>
            <w:tcW w:w="1136" w:type="dxa"/>
            <w:noWrap/>
            <w:hideMark/>
          </w:tcPr>
          <w:p w14:paraId="54076AEA" w14:textId="77777777" w:rsidR="00292FFE" w:rsidRPr="00BF56E8" w:rsidRDefault="00292FFE" w:rsidP="00292FFE">
            <w:pPr>
              <w:rPr>
                <w:iCs/>
                <w:sz w:val="20"/>
              </w:rPr>
            </w:pPr>
            <w:r w:rsidRPr="00BF56E8">
              <w:rPr>
                <w:iCs/>
                <w:sz w:val="20"/>
              </w:rPr>
              <w:t> </w:t>
            </w:r>
          </w:p>
        </w:tc>
        <w:tc>
          <w:tcPr>
            <w:tcW w:w="718" w:type="dxa"/>
            <w:noWrap/>
            <w:hideMark/>
          </w:tcPr>
          <w:p w14:paraId="3B9D7098" w14:textId="77777777" w:rsidR="00292FFE" w:rsidRPr="00BF56E8" w:rsidRDefault="00292FFE" w:rsidP="00292FFE">
            <w:pPr>
              <w:rPr>
                <w:iCs/>
                <w:sz w:val="20"/>
              </w:rPr>
            </w:pPr>
            <w:r w:rsidRPr="00BF56E8">
              <w:rPr>
                <w:iCs/>
                <w:sz w:val="20"/>
              </w:rPr>
              <w:t> </w:t>
            </w:r>
          </w:p>
        </w:tc>
        <w:tc>
          <w:tcPr>
            <w:tcW w:w="1092" w:type="dxa"/>
            <w:noWrap/>
            <w:hideMark/>
          </w:tcPr>
          <w:p w14:paraId="21F54C0A" w14:textId="77777777" w:rsidR="00292FFE" w:rsidRPr="00BF56E8" w:rsidRDefault="00292FFE" w:rsidP="00292FFE">
            <w:pPr>
              <w:rPr>
                <w:iCs/>
                <w:sz w:val="20"/>
              </w:rPr>
            </w:pPr>
            <w:r w:rsidRPr="00BF56E8">
              <w:rPr>
                <w:iCs/>
                <w:sz w:val="20"/>
              </w:rPr>
              <w:t> </w:t>
            </w:r>
          </w:p>
        </w:tc>
      </w:tr>
      <w:tr w:rsidR="00BF56E8" w:rsidRPr="00292FFE" w14:paraId="357776A8" w14:textId="77777777" w:rsidTr="00931E07">
        <w:trPr>
          <w:trHeight w:val="660"/>
          <w:jc w:val="center"/>
        </w:trPr>
        <w:tc>
          <w:tcPr>
            <w:tcW w:w="559" w:type="dxa"/>
            <w:noWrap/>
            <w:hideMark/>
          </w:tcPr>
          <w:p w14:paraId="050C8DFB" w14:textId="77777777" w:rsidR="00292FFE" w:rsidRPr="00BF56E8" w:rsidRDefault="00292FFE">
            <w:pPr>
              <w:rPr>
                <w:iCs/>
                <w:sz w:val="20"/>
              </w:rPr>
            </w:pPr>
            <w:r w:rsidRPr="00BF56E8">
              <w:rPr>
                <w:iCs/>
                <w:sz w:val="20"/>
              </w:rPr>
              <w:t>1.3</w:t>
            </w:r>
          </w:p>
        </w:tc>
        <w:tc>
          <w:tcPr>
            <w:tcW w:w="1387" w:type="dxa"/>
            <w:hideMark/>
          </w:tcPr>
          <w:p w14:paraId="4DAF8B4F" w14:textId="77777777" w:rsidR="00292FFE" w:rsidRPr="00BF56E8" w:rsidRDefault="00292FFE">
            <w:pPr>
              <w:rPr>
                <w:iCs/>
                <w:sz w:val="20"/>
              </w:rPr>
            </w:pPr>
            <w:r w:rsidRPr="00BF56E8">
              <w:rPr>
                <w:iCs/>
                <w:sz w:val="20"/>
              </w:rPr>
              <w:t>Plokštelė  70 mm dydžio</w:t>
            </w:r>
          </w:p>
        </w:tc>
        <w:tc>
          <w:tcPr>
            <w:tcW w:w="3183" w:type="dxa"/>
            <w:hideMark/>
          </w:tcPr>
          <w:p w14:paraId="62802738" w14:textId="77777777" w:rsidR="00292FFE" w:rsidRPr="00BF56E8" w:rsidRDefault="00292FFE">
            <w:pPr>
              <w:rPr>
                <w:iCs/>
                <w:sz w:val="20"/>
              </w:rPr>
            </w:pPr>
            <w:r w:rsidRPr="00BF56E8">
              <w:rPr>
                <w:iCs/>
                <w:sz w:val="20"/>
              </w:rPr>
              <w:t>Pirštais formuojama plokštelė 70 mm dydžio, lygi „Flat Moldable“ tipo, tinka stomai 45-56mm skersmens, su plastikiniu žiedu, plokštelės lipnioji dalis – hidrokoloidinė.</w:t>
            </w:r>
          </w:p>
        </w:tc>
        <w:tc>
          <w:tcPr>
            <w:tcW w:w="874" w:type="dxa"/>
            <w:noWrap/>
            <w:vAlign w:val="center"/>
            <w:hideMark/>
          </w:tcPr>
          <w:p w14:paraId="696D8128" w14:textId="77777777" w:rsidR="00292FFE" w:rsidRPr="00BF56E8" w:rsidRDefault="00292FFE" w:rsidP="00BF56E8">
            <w:pPr>
              <w:jc w:val="center"/>
              <w:rPr>
                <w:iCs/>
                <w:sz w:val="20"/>
              </w:rPr>
            </w:pPr>
            <w:r w:rsidRPr="00BF56E8">
              <w:rPr>
                <w:iCs/>
                <w:sz w:val="20"/>
              </w:rPr>
              <w:t>vnt.</w:t>
            </w:r>
          </w:p>
        </w:tc>
        <w:tc>
          <w:tcPr>
            <w:tcW w:w="1526" w:type="dxa"/>
            <w:noWrap/>
            <w:vAlign w:val="center"/>
            <w:hideMark/>
          </w:tcPr>
          <w:p w14:paraId="2900D85D" w14:textId="77777777" w:rsidR="00292FFE" w:rsidRPr="00BF56E8" w:rsidRDefault="00292FFE" w:rsidP="00BF56E8">
            <w:pPr>
              <w:jc w:val="center"/>
              <w:rPr>
                <w:iCs/>
                <w:sz w:val="20"/>
              </w:rPr>
            </w:pPr>
            <w:r w:rsidRPr="00BF56E8">
              <w:rPr>
                <w:iCs/>
                <w:sz w:val="20"/>
              </w:rPr>
              <w:t>300</w:t>
            </w:r>
          </w:p>
        </w:tc>
        <w:tc>
          <w:tcPr>
            <w:tcW w:w="1847" w:type="dxa"/>
            <w:noWrap/>
            <w:hideMark/>
          </w:tcPr>
          <w:p w14:paraId="207932CA" w14:textId="77777777" w:rsidR="00292FFE" w:rsidRPr="00BF56E8" w:rsidRDefault="00292FFE">
            <w:pPr>
              <w:rPr>
                <w:iCs/>
                <w:sz w:val="20"/>
              </w:rPr>
            </w:pPr>
            <w:r w:rsidRPr="00BF56E8">
              <w:rPr>
                <w:iCs/>
                <w:sz w:val="20"/>
              </w:rPr>
              <w:t> </w:t>
            </w:r>
          </w:p>
        </w:tc>
        <w:tc>
          <w:tcPr>
            <w:tcW w:w="2415" w:type="dxa"/>
            <w:noWrap/>
            <w:hideMark/>
          </w:tcPr>
          <w:p w14:paraId="649E4267" w14:textId="77777777" w:rsidR="00292FFE" w:rsidRPr="00BF56E8" w:rsidRDefault="00292FFE">
            <w:pPr>
              <w:rPr>
                <w:iCs/>
                <w:sz w:val="20"/>
              </w:rPr>
            </w:pPr>
            <w:r w:rsidRPr="00BF56E8">
              <w:rPr>
                <w:iCs/>
                <w:sz w:val="20"/>
              </w:rPr>
              <w:t> </w:t>
            </w:r>
          </w:p>
        </w:tc>
        <w:tc>
          <w:tcPr>
            <w:tcW w:w="1136" w:type="dxa"/>
            <w:noWrap/>
            <w:hideMark/>
          </w:tcPr>
          <w:p w14:paraId="26664D26" w14:textId="77777777" w:rsidR="00292FFE" w:rsidRPr="00BF56E8" w:rsidRDefault="00292FFE" w:rsidP="00292FFE">
            <w:pPr>
              <w:rPr>
                <w:iCs/>
                <w:sz w:val="20"/>
              </w:rPr>
            </w:pPr>
            <w:r w:rsidRPr="00BF56E8">
              <w:rPr>
                <w:iCs/>
                <w:sz w:val="20"/>
              </w:rPr>
              <w:t> </w:t>
            </w:r>
          </w:p>
        </w:tc>
        <w:tc>
          <w:tcPr>
            <w:tcW w:w="718" w:type="dxa"/>
            <w:noWrap/>
            <w:hideMark/>
          </w:tcPr>
          <w:p w14:paraId="3DAA7B94" w14:textId="77777777" w:rsidR="00292FFE" w:rsidRPr="00BF56E8" w:rsidRDefault="00292FFE" w:rsidP="00292FFE">
            <w:pPr>
              <w:rPr>
                <w:iCs/>
                <w:sz w:val="20"/>
              </w:rPr>
            </w:pPr>
            <w:r w:rsidRPr="00BF56E8">
              <w:rPr>
                <w:iCs/>
                <w:sz w:val="20"/>
              </w:rPr>
              <w:t> </w:t>
            </w:r>
          </w:p>
        </w:tc>
        <w:tc>
          <w:tcPr>
            <w:tcW w:w="1092" w:type="dxa"/>
            <w:noWrap/>
            <w:hideMark/>
          </w:tcPr>
          <w:p w14:paraId="5053AF43" w14:textId="77777777" w:rsidR="00292FFE" w:rsidRPr="00BF56E8" w:rsidRDefault="00292FFE" w:rsidP="00292FFE">
            <w:pPr>
              <w:rPr>
                <w:iCs/>
                <w:sz w:val="20"/>
              </w:rPr>
            </w:pPr>
            <w:r w:rsidRPr="00BF56E8">
              <w:rPr>
                <w:iCs/>
                <w:sz w:val="20"/>
              </w:rPr>
              <w:t> </w:t>
            </w:r>
          </w:p>
        </w:tc>
      </w:tr>
      <w:tr w:rsidR="00BF56E8" w:rsidRPr="00292FFE" w14:paraId="1AB999E0" w14:textId="77777777" w:rsidTr="00931E07">
        <w:trPr>
          <w:trHeight w:val="630"/>
          <w:jc w:val="center"/>
        </w:trPr>
        <w:tc>
          <w:tcPr>
            <w:tcW w:w="559" w:type="dxa"/>
            <w:noWrap/>
            <w:hideMark/>
          </w:tcPr>
          <w:p w14:paraId="430FD24A" w14:textId="77777777" w:rsidR="00292FFE" w:rsidRPr="00BF56E8" w:rsidRDefault="00292FFE">
            <w:pPr>
              <w:rPr>
                <w:iCs/>
                <w:sz w:val="20"/>
              </w:rPr>
            </w:pPr>
            <w:r w:rsidRPr="00BF56E8">
              <w:rPr>
                <w:iCs/>
                <w:sz w:val="20"/>
              </w:rPr>
              <w:t>1.4</w:t>
            </w:r>
          </w:p>
        </w:tc>
        <w:tc>
          <w:tcPr>
            <w:tcW w:w="1387" w:type="dxa"/>
            <w:hideMark/>
          </w:tcPr>
          <w:p w14:paraId="510330C1" w14:textId="77777777" w:rsidR="00292FFE" w:rsidRPr="00BF56E8" w:rsidRDefault="00292FFE">
            <w:pPr>
              <w:rPr>
                <w:iCs/>
                <w:sz w:val="20"/>
              </w:rPr>
            </w:pPr>
            <w:r w:rsidRPr="00BF56E8">
              <w:rPr>
                <w:iCs/>
                <w:sz w:val="20"/>
              </w:rPr>
              <w:t>Plokštelė  100 mm dydžio</w:t>
            </w:r>
          </w:p>
        </w:tc>
        <w:tc>
          <w:tcPr>
            <w:tcW w:w="3183" w:type="dxa"/>
            <w:hideMark/>
          </w:tcPr>
          <w:p w14:paraId="02724E15" w14:textId="77777777" w:rsidR="00292FFE" w:rsidRPr="00BF56E8" w:rsidRDefault="00292FFE">
            <w:pPr>
              <w:rPr>
                <w:iCs/>
                <w:sz w:val="20"/>
              </w:rPr>
            </w:pPr>
            <w:r w:rsidRPr="00BF56E8">
              <w:rPr>
                <w:iCs/>
                <w:sz w:val="20"/>
              </w:rPr>
              <w:t>Standi plokštelė su kerpama anga 100 mm dydžio, tinka  iki 88 mm skersmens stomai. Visos plokštelės lipnioji dalis – hirokoloidinė.</w:t>
            </w:r>
          </w:p>
        </w:tc>
        <w:tc>
          <w:tcPr>
            <w:tcW w:w="874" w:type="dxa"/>
            <w:noWrap/>
            <w:vAlign w:val="center"/>
            <w:hideMark/>
          </w:tcPr>
          <w:p w14:paraId="762A39AB" w14:textId="77777777" w:rsidR="00292FFE" w:rsidRPr="00BF56E8" w:rsidRDefault="00292FFE" w:rsidP="00BF56E8">
            <w:pPr>
              <w:jc w:val="center"/>
              <w:rPr>
                <w:iCs/>
                <w:sz w:val="20"/>
              </w:rPr>
            </w:pPr>
            <w:r w:rsidRPr="00BF56E8">
              <w:rPr>
                <w:iCs/>
                <w:sz w:val="20"/>
              </w:rPr>
              <w:t>vnt.</w:t>
            </w:r>
          </w:p>
        </w:tc>
        <w:tc>
          <w:tcPr>
            <w:tcW w:w="1526" w:type="dxa"/>
            <w:noWrap/>
            <w:vAlign w:val="center"/>
            <w:hideMark/>
          </w:tcPr>
          <w:p w14:paraId="4CF33E3F" w14:textId="77777777" w:rsidR="00292FFE" w:rsidRPr="00BF56E8" w:rsidRDefault="00292FFE" w:rsidP="00BF56E8">
            <w:pPr>
              <w:jc w:val="center"/>
              <w:rPr>
                <w:iCs/>
                <w:sz w:val="20"/>
              </w:rPr>
            </w:pPr>
            <w:r w:rsidRPr="00BF56E8">
              <w:rPr>
                <w:iCs/>
                <w:sz w:val="20"/>
              </w:rPr>
              <w:t>100</w:t>
            </w:r>
          </w:p>
        </w:tc>
        <w:tc>
          <w:tcPr>
            <w:tcW w:w="1847" w:type="dxa"/>
            <w:noWrap/>
            <w:hideMark/>
          </w:tcPr>
          <w:p w14:paraId="2AA7E1A9" w14:textId="77777777" w:rsidR="00292FFE" w:rsidRPr="00BF56E8" w:rsidRDefault="00292FFE">
            <w:pPr>
              <w:rPr>
                <w:iCs/>
                <w:sz w:val="20"/>
              </w:rPr>
            </w:pPr>
            <w:r w:rsidRPr="00BF56E8">
              <w:rPr>
                <w:iCs/>
                <w:sz w:val="20"/>
              </w:rPr>
              <w:t> </w:t>
            </w:r>
          </w:p>
        </w:tc>
        <w:tc>
          <w:tcPr>
            <w:tcW w:w="2415" w:type="dxa"/>
            <w:noWrap/>
            <w:hideMark/>
          </w:tcPr>
          <w:p w14:paraId="0588E405" w14:textId="77777777" w:rsidR="00292FFE" w:rsidRPr="00BF56E8" w:rsidRDefault="00292FFE">
            <w:pPr>
              <w:rPr>
                <w:iCs/>
                <w:sz w:val="20"/>
              </w:rPr>
            </w:pPr>
            <w:r w:rsidRPr="00BF56E8">
              <w:rPr>
                <w:iCs/>
                <w:sz w:val="20"/>
              </w:rPr>
              <w:t> </w:t>
            </w:r>
          </w:p>
        </w:tc>
        <w:tc>
          <w:tcPr>
            <w:tcW w:w="1136" w:type="dxa"/>
            <w:noWrap/>
            <w:hideMark/>
          </w:tcPr>
          <w:p w14:paraId="6FA03C33" w14:textId="77777777" w:rsidR="00292FFE" w:rsidRPr="00BF56E8" w:rsidRDefault="00292FFE" w:rsidP="00292FFE">
            <w:pPr>
              <w:rPr>
                <w:iCs/>
                <w:sz w:val="20"/>
              </w:rPr>
            </w:pPr>
            <w:r w:rsidRPr="00BF56E8">
              <w:rPr>
                <w:iCs/>
                <w:sz w:val="20"/>
              </w:rPr>
              <w:t> </w:t>
            </w:r>
          </w:p>
        </w:tc>
        <w:tc>
          <w:tcPr>
            <w:tcW w:w="718" w:type="dxa"/>
            <w:noWrap/>
            <w:hideMark/>
          </w:tcPr>
          <w:p w14:paraId="71326D0E" w14:textId="77777777" w:rsidR="00292FFE" w:rsidRPr="00BF56E8" w:rsidRDefault="00292FFE" w:rsidP="00292FFE">
            <w:pPr>
              <w:rPr>
                <w:iCs/>
                <w:sz w:val="20"/>
              </w:rPr>
            </w:pPr>
            <w:r w:rsidRPr="00BF56E8">
              <w:rPr>
                <w:iCs/>
                <w:sz w:val="20"/>
              </w:rPr>
              <w:t> </w:t>
            </w:r>
          </w:p>
        </w:tc>
        <w:tc>
          <w:tcPr>
            <w:tcW w:w="1092" w:type="dxa"/>
            <w:noWrap/>
            <w:hideMark/>
          </w:tcPr>
          <w:p w14:paraId="368EAE18" w14:textId="77777777" w:rsidR="00292FFE" w:rsidRPr="00BF56E8" w:rsidRDefault="00292FFE" w:rsidP="00292FFE">
            <w:pPr>
              <w:rPr>
                <w:iCs/>
                <w:sz w:val="20"/>
              </w:rPr>
            </w:pPr>
            <w:r w:rsidRPr="00BF56E8">
              <w:rPr>
                <w:iCs/>
                <w:sz w:val="20"/>
              </w:rPr>
              <w:t> </w:t>
            </w:r>
          </w:p>
        </w:tc>
      </w:tr>
      <w:tr w:rsidR="00BF56E8" w:rsidRPr="00292FFE" w14:paraId="14FEE1E7" w14:textId="77777777" w:rsidTr="00931E07">
        <w:trPr>
          <w:trHeight w:val="945"/>
          <w:jc w:val="center"/>
        </w:trPr>
        <w:tc>
          <w:tcPr>
            <w:tcW w:w="559" w:type="dxa"/>
            <w:noWrap/>
            <w:hideMark/>
          </w:tcPr>
          <w:p w14:paraId="5D50E0F8" w14:textId="77777777" w:rsidR="00292FFE" w:rsidRPr="00BF56E8" w:rsidRDefault="00292FFE">
            <w:pPr>
              <w:rPr>
                <w:iCs/>
                <w:sz w:val="20"/>
              </w:rPr>
            </w:pPr>
            <w:r w:rsidRPr="00BF56E8">
              <w:rPr>
                <w:iCs/>
                <w:sz w:val="20"/>
              </w:rPr>
              <w:t>1.5</w:t>
            </w:r>
          </w:p>
        </w:tc>
        <w:tc>
          <w:tcPr>
            <w:tcW w:w="1387" w:type="dxa"/>
            <w:hideMark/>
          </w:tcPr>
          <w:p w14:paraId="02D36596" w14:textId="77777777" w:rsidR="00292FFE" w:rsidRPr="00BF56E8" w:rsidRDefault="00292FFE">
            <w:pPr>
              <w:rPr>
                <w:iCs/>
                <w:sz w:val="20"/>
              </w:rPr>
            </w:pPr>
            <w:r w:rsidRPr="00BF56E8">
              <w:rPr>
                <w:iCs/>
                <w:sz w:val="20"/>
              </w:rPr>
              <w:t>Maišelis  45 mm dydžio</w:t>
            </w:r>
          </w:p>
        </w:tc>
        <w:tc>
          <w:tcPr>
            <w:tcW w:w="3183" w:type="dxa"/>
            <w:hideMark/>
          </w:tcPr>
          <w:p w14:paraId="02ECD6A8" w14:textId="77777777" w:rsidR="00292FFE" w:rsidRPr="00BF56E8" w:rsidRDefault="00292FFE">
            <w:pPr>
              <w:rPr>
                <w:iCs/>
                <w:sz w:val="20"/>
              </w:rPr>
            </w:pPr>
            <w:r w:rsidRPr="00BF56E8">
              <w:rPr>
                <w:iCs/>
                <w:sz w:val="20"/>
              </w:rPr>
              <w:t>Maišelis atviras 45mm dydžio, dviejų sluoksnių, nepermatomas, su filtru, su plastikinių žiedu, kuriame yra angos iš abiejų pusių dirželio pritvirtinimui, maišelio uždarymas su lipniu dvigubu užsegimu, kuris paslepiamas papildomoje kišenėje.</w:t>
            </w:r>
          </w:p>
        </w:tc>
        <w:tc>
          <w:tcPr>
            <w:tcW w:w="874" w:type="dxa"/>
            <w:noWrap/>
            <w:vAlign w:val="center"/>
            <w:hideMark/>
          </w:tcPr>
          <w:p w14:paraId="52F3901F" w14:textId="77777777" w:rsidR="00292FFE" w:rsidRPr="00BF56E8" w:rsidRDefault="00292FFE" w:rsidP="00BF56E8">
            <w:pPr>
              <w:jc w:val="center"/>
              <w:rPr>
                <w:iCs/>
                <w:sz w:val="20"/>
              </w:rPr>
            </w:pPr>
            <w:r w:rsidRPr="00BF56E8">
              <w:rPr>
                <w:iCs/>
                <w:sz w:val="20"/>
              </w:rPr>
              <w:t>vnt.</w:t>
            </w:r>
          </w:p>
        </w:tc>
        <w:tc>
          <w:tcPr>
            <w:tcW w:w="1526" w:type="dxa"/>
            <w:noWrap/>
            <w:vAlign w:val="center"/>
            <w:hideMark/>
          </w:tcPr>
          <w:p w14:paraId="64ECE2BA" w14:textId="77777777" w:rsidR="00292FFE" w:rsidRPr="00BF56E8" w:rsidRDefault="00292FFE" w:rsidP="00BF56E8">
            <w:pPr>
              <w:jc w:val="center"/>
              <w:rPr>
                <w:iCs/>
                <w:sz w:val="20"/>
              </w:rPr>
            </w:pPr>
            <w:r w:rsidRPr="00BF56E8">
              <w:rPr>
                <w:iCs/>
                <w:sz w:val="20"/>
              </w:rPr>
              <w:t>120</w:t>
            </w:r>
          </w:p>
        </w:tc>
        <w:tc>
          <w:tcPr>
            <w:tcW w:w="1847" w:type="dxa"/>
            <w:noWrap/>
            <w:hideMark/>
          </w:tcPr>
          <w:p w14:paraId="6EC2DA3A" w14:textId="77777777" w:rsidR="00292FFE" w:rsidRPr="00BF56E8" w:rsidRDefault="00292FFE">
            <w:pPr>
              <w:rPr>
                <w:iCs/>
                <w:sz w:val="20"/>
              </w:rPr>
            </w:pPr>
            <w:r w:rsidRPr="00BF56E8">
              <w:rPr>
                <w:iCs/>
                <w:sz w:val="20"/>
              </w:rPr>
              <w:t> </w:t>
            </w:r>
          </w:p>
        </w:tc>
        <w:tc>
          <w:tcPr>
            <w:tcW w:w="2415" w:type="dxa"/>
            <w:noWrap/>
            <w:hideMark/>
          </w:tcPr>
          <w:p w14:paraId="443AC90C" w14:textId="77777777" w:rsidR="00292FFE" w:rsidRPr="00BF56E8" w:rsidRDefault="00292FFE">
            <w:pPr>
              <w:rPr>
                <w:iCs/>
                <w:sz w:val="20"/>
              </w:rPr>
            </w:pPr>
            <w:r w:rsidRPr="00BF56E8">
              <w:rPr>
                <w:iCs/>
                <w:sz w:val="20"/>
              </w:rPr>
              <w:t> </w:t>
            </w:r>
          </w:p>
        </w:tc>
        <w:tc>
          <w:tcPr>
            <w:tcW w:w="1136" w:type="dxa"/>
            <w:noWrap/>
            <w:hideMark/>
          </w:tcPr>
          <w:p w14:paraId="1E3FB371" w14:textId="77777777" w:rsidR="00292FFE" w:rsidRPr="00BF56E8" w:rsidRDefault="00292FFE" w:rsidP="00292FFE">
            <w:pPr>
              <w:rPr>
                <w:iCs/>
                <w:sz w:val="20"/>
              </w:rPr>
            </w:pPr>
            <w:r w:rsidRPr="00BF56E8">
              <w:rPr>
                <w:iCs/>
                <w:sz w:val="20"/>
              </w:rPr>
              <w:t> </w:t>
            </w:r>
          </w:p>
        </w:tc>
        <w:tc>
          <w:tcPr>
            <w:tcW w:w="718" w:type="dxa"/>
            <w:noWrap/>
            <w:hideMark/>
          </w:tcPr>
          <w:p w14:paraId="0CD3C6FA" w14:textId="77777777" w:rsidR="00292FFE" w:rsidRPr="00BF56E8" w:rsidRDefault="00292FFE" w:rsidP="00292FFE">
            <w:pPr>
              <w:rPr>
                <w:iCs/>
                <w:sz w:val="20"/>
              </w:rPr>
            </w:pPr>
            <w:r w:rsidRPr="00BF56E8">
              <w:rPr>
                <w:iCs/>
                <w:sz w:val="20"/>
              </w:rPr>
              <w:t> </w:t>
            </w:r>
          </w:p>
        </w:tc>
        <w:tc>
          <w:tcPr>
            <w:tcW w:w="1092" w:type="dxa"/>
            <w:noWrap/>
            <w:hideMark/>
          </w:tcPr>
          <w:p w14:paraId="33851EE4" w14:textId="77777777" w:rsidR="00292FFE" w:rsidRPr="00BF56E8" w:rsidRDefault="00292FFE" w:rsidP="00292FFE">
            <w:pPr>
              <w:rPr>
                <w:iCs/>
                <w:sz w:val="20"/>
              </w:rPr>
            </w:pPr>
            <w:r w:rsidRPr="00BF56E8">
              <w:rPr>
                <w:iCs/>
                <w:sz w:val="20"/>
              </w:rPr>
              <w:t> </w:t>
            </w:r>
          </w:p>
        </w:tc>
      </w:tr>
      <w:tr w:rsidR="00BF56E8" w:rsidRPr="00292FFE" w14:paraId="5956DBCB" w14:textId="77777777" w:rsidTr="00931E07">
        <w:trPr>
          <w:trHeight w:val="990"/>
          <w:jc w:val="center"/>
        </w:trPr>
        <w:tc>
          <w:tcPr>
            <w:tcW w:w="559" w:type="dxa"/>
            <w:noWrap/>
            <w:hideMark/>
          </w:tcPr>
          <w:p w14:paraId="112D22ED" w14:textId="77777777" w:rsidR="00292FFE" w:rsidRPr="00BF56E8" w:rsidRDefault="00292FFE">
            <w:pPr>
              <w:rPr>
                <w:iCs/>
                <w:sz w:val="20"/>
              </w:rPr>
            </w:pPr>
            <w:r w:rsidRPr="00BF56E8">
              <w:rPr>
                <w:iCs/>
                <w:sz w:val="20"/>
              </w:rPr>
              <w:t>1.6</w:t>
            </w:r>
          </w:p>
        </w:tc>
        <w:tc>
          <w:tcPr>
            <w:tcW w:w="1387" w:type="dxa"/>
            <w:hideMark/>
          </w:tcPr>
          <w:p w14:paraId="0BA1A6EE" w14:textId="77777777" w:rsidR="00292FFE" w:rsidRPr="00BF56E8" w:rsidRDefault="00292FFE">
            <w:pPr>
              <w:rPr>
                <w:iCs/>
                <w:sz w:val="20"/>
              </w:rPr>
            </w:pPr>
            <w:r w:rsidRPr="00BF56E8">
              <w:rPr>
                <w:iCs/>
                <w:sz w:val="20"/>
              </w:rPr>
              <w:t>Maišelis  57 mm dydžio</w:t>
            </w:r>
          </w:p>
        </w:tc>
        <w:tc>
          <w:tcPr>
            <w:tcW w:w="3183" w:type="dxa"/>
            <w:hideMark/>
          </w:tcPr>
          <w:p w14:paraId="538DC137" w14:textId="77777777" w:rsidR="00292FFE" w:rsidRPr="00BF56E8" w:rsidRDefault="00292FFE">
            <w:pPr>
              <w:rPr>
                <w:iCs/>
                <w:sz w:val="20"/>
              </w:rPr>
            </w:pPr>
            <w:r w:rsidRPr="00BF56E8">
              <w:rPr>
                <w:iCs/>
                <w:sz w:val="20"/>
              </w:rPr>
              <w:t>Maišelis atviras 57mm dydžio, dviejų sluoksnių, nepermatomas, su filtru, su plastikinių žiedu, kuriame yra angos iš abiejų pusių dirželio pritvirtinimui, maišelio uždarymas su lipniu dvigubu užsegimu, kuris paslepiamas papildomoje kišenėje.</w:t>
            </w:r>
          </w:p>
        </w:tc>
        <w:tc>
          <w:tcPr>
            <w:tcW w:w="874" w:type="dxa"/>
            <w:noWrap/>
            <w:vAlign w:val="center"/>
            <w:hideMark/>
          </w:tcPr>
          <w:p w14:paraId="003A4323" w14:textId="77777777" w:rsidR="00292FFE" w:rsidRPr="00BF56E8" w:rsidRDefault="00292FFE" w:rsidP="00BF56E8">
            <w:pPr>
              <w:jc w:val="center"/>
              <w:rPr>
                <w:iCs/>
                <w:sz w:val="20"/>
              </w:rPr>
            </w:pPr>
            <w:r w:rsidRPr="00BF56E8">
              <w:rPr>
                <w:iCs/>
                <w:sz w:val="20"/>
              </w:rPr>
              <w:t>vnt.</w:t>
            </w:r>
          </w:p>
        </w:tc>
        <w:tc>
          <w:tcPr>
            <w:tcW w:w="1526" w:type="dxa"/>
            <w:noWrap/>
            <w:vAlign w:val="center"/>
            <w:hideMark/>
          </w:tcPr>
          <w:p w14:paraId="562E3542" w14:textId="77777777" w:rsidR="00292FFE" w:rsidRPr="00BF56E8" w:rsidRDefault="00292FFE" w:rsidP="00BF56E8">
            <w:pPr>
              <w:jc w:val="center"/>
              <w:rPr>
                <w:iCs/>
                <w:sz w:val="20"/>
              </w:rPr>
            </w:pPr>
            <w:r w:rsidRPr="00BF56E8">
              <w:rPr>
                <w:iCs/>
                <w:sz w:val="20"/>
              </w:rPr>
              <w:t>150</w:t>
            </w:r>
          </w:p>
        </w:tc>
        <w:tc>
          <w:tcPr>
            <w:tcW w:w="1847" w:type="dxa"/>
            <w:noWrap/>
            <w:hideMark/>
          </w:tcPr>
          <w:p w14:paraId="45BE10E0" w14:textId="77777777" w:rsidR="00292FFE" w:rsidRPr="00BF56E8" w:rsidRDefault="00292FFE">
            <w:pPr>
              <w:rPr>
                <w:iCs/>
                <w:sz w:val="20"/>
              </w:rPr>
            </w:pPr>
            <w:r w:rsidRPr="00BF56E8">
              <w:rPr>
                <w:iCs/>
                <w:sz w:val="20"/>
              </w:rPr>
              <w:t> </w:t>
            </w:r>
          </w:p>
        </w:tc>
        <w:tc>
          <w:tcPr>
            <w:tcW w:w="2415" w:type="dxa"/>
            <w:noWrap/>
            <w:hideMark/>
          </w:tcPr>
          <w:p w14:paraId="279A38D1" w14:textId="77777777" w:rsidR="00292FFE" w:rsidRPr="00BF56E8" w:rsidRDefault="00292FFE">
            <w:pPr>
              <w:rPr>
                <w:iCs/>
                <w:sz w:val="20"/>
              </w:rPr>
            </w:pPr>
            <w:r w:rsidRPr="00BF56E8">
              <w:rPr>
                <w:iCs/>
                <w:sz w:val="20"/>
              </w:rPr>
              <w:t> </w:t>
            </w:r>
          </w:p>
        </w:tc>
        <w:tc>
          <w:tcPr>
            <w:tcW w:w="1136" w:type="dxa"/>
            <w:noWrap/>
            <w:hideMark/>
          </w:tcPr>
          <w:p w14:paraId="628282CA" w14:textId="77777777" w:rsidR="00292FFE" w:rsidRPr="00BF56E8" w:rsidRDefault="00292FFE" w:rsidP="00292FFE">
            <w:pPr>
              <w:rPr>
                <w:iCs/>
                <w:sz w:val="20"/>
              </w:rPr>
            </w:pPr>
            <w:r w:rsidRPr="00BF56E8">
              <w:rPr>
                <w:iCs/>
                <w:sz w:val="20"/>
              </w:rPr>
              <w:t> </w:t>
            </w:r>
          </w:p>
        </w:tc>
        <w:tc>
          <w:tcPr>
            <w:tcW w:w="718" w:type="dxa"/>
            <w:noWrap/>
            <w:hideMark/>
          </w:tcPr>
          <w:p w14:paraId="43E0698E" w14:textId="77777777" w:rsidR="00292FFE" w:rsidRPr="00BF56E8" w:rsidRDefault="00292FFE" w:rsidP="00292FFE">
            <w:pPr>
              <w:rPr>
                <w:iCs/>
                <w:sz w:val="20"/>
              </w:rPr>
            </w:pPr>
            <w:r w:rsidRPr="00BF56E8">
              <w:rPr>
                <w:iCs/>
                <w:sz w:val="20"/>
              </w:rPr>
              <w:t> </w:t>
            </w:r>
          </w:p>
        </w:tc>
        <w:tc>
          <w:tcPr>
            <w:tcW w:w="1092" w:type="dxa"/>
            <w:noWrap/>
            <w:hideMark/>
          </w:tcPr>
          <w:p w14:paraId="133E5530" w14:textId="77777777" w:rsidR="00292FFE" w:rsidRPr="00BF56E8" w:rsidRDefault="00292FFE" w:rsidP="00292FFE">
            <w:pPr>
              <w:rPr>
                <w:iCs/>
                <w:sz w:val="20"/>
              </w:rPr>
            </w:pPr>
            <w:r w:rsidRPr="00BF56E8">
              <w:rPr>
                <w:iCs/>
                <w:sz w:val="20"/>
              </w:rPr>
              <w:t> </w:t>
            </w:r>
          </w:p>
        </w:tc>
      </w:tr>
      <w:tr w:rsidR="00BF56E8" w:rsidRPr="00292FFE" w14:paraId="4B21D29C" w14:textId="77777777" w:rsidTr="00931E07">
        <w:trPr>
          <w:trHeight w:val="975"/>
          <w:jc w:val="center"/>
        </w:trPr>
        <w:tc>
          <w:tcPr>
            <w:tcW w:w="559" w:type="dxa"/>
            <w:noWrap/>
            <w:hideMark/>
          </w:tcPr>
          <w:p w14:paraId="743ACDEA" w14:textId="77777777" w:rsidR="00292FFE" w:rsidRPr="00BF56E8" w:rsidRDefault="00292FFE">
            <w:pPr>
              <w:rPr>
                <w:iCs/>
                <w:sz w:val="20"/>
              </w:rPr>
            </w:pPr>
            <w:r w:rsidRPr="00BF56E8">
              <w:rPr>
                <w:iCs/>
                <w:sz w:val="20"/>
              </w:rPr>
              <w:t>1.7</w:t>
            </w:r>
          </w:p>
        </w:tc>
        <w:tc>
          <w:tcPr>
            <w:tcW w:w="1387" w:type="dxa"/>
            <w:hideMark/>
          </w:tcPr>
          <w:p w14:paraId="0EFA7BAD" w14:textId="77777777" w:rsidR="00292FFE" w:rsidRPr="00BF56E8" w:rsidRDefault="00292FFE">
            <w:pPr>
              <w:rPr>
                <w:iCs/>
                <w:sz w:val="20"/>
              </w:rPr>
            </w:pPr>
            <w:r w:rsidRPr="00BF56E8">
              <w:rPr>
                <w:iCs/>
                <w:sz w:val="20"/>
              </w:rPr>
              <w:t>Maišelis 70 mm dydžio</w:t>
            </w:r>
          </w:p>
        </w:tc>
        <w:tc>
          <w:tcPr>
            <w:tcW w:w="3183" w:type="dxa"/>
            <w:hideMark/>
          </w:tcPr>
          <w:p w14:paraId="3A676474" w14:textId="77777777" w:rsidR="00292FFE" w:rsidRPr="00BF56E8" w:rsidRDefault="00292FFE">
            <w:pPr>
              <w:rPr>
                <w:iCs/>
                <w:sz w:val="20"/>
              </w:rPr>
            </w:pPr>
            <w:r w:rsidRPr="00BF56E8">
              <w:rPr>
                <w:iCs/>
                <w:sz w:val="20"/>
              </w:rPr>
              <w:t>Maišelis atviras 70mm dydžio, dviejų sluoksnių, nepermatomas, su filtru, su plastikinių žiedu, kuriame yra angos iš abiejų pusių dirželio pritvirtinimui, maišelio uždarymas su lipniu dvigubu užsegimu, kuris paslepiamas papildomoje kišenėje.</w:t>
            </w:r>
          </w:p>
        </w:tc>
        <w:tc>
          <w:tcPr>
            <w:tcW w:w="874" w:type="dxa"/>
            <w:noWrap/>
            <w:vAlign w:val="center"/>
            <w:hideMark/>
          </w:tcPr>
          <w:p w14:paraId="2B85905B" w14:textId="77777777" w:rsidR="00292FFE" w:rsidRPr="00BF56E8" w:rsidRDefault="00292FFE" w:rsidP="00BF56E8">
            <w:pPr>
              <w:jc w:val="center"/>
              <w:rPr>
                <w:iCs/>
                <w:sz w:val="20"/>
              </w:rPr>
            </w:pPr>
            <w:r w:rsidRPr="00BF56E8">
              <w:rPr>
                <w:iCs/>
                <w:sz w:val="20"/>
              </w:rPr>
              <w:t>vnt.</w:t>
            </w:r>
          </w:p>
        </w:tc>
        <w:tc>
          <w:tcPr>
            <w:tcW w:w="1526" w:type="dxa"/>
            <w:noWrap/>
            <w:vAlign w:val="center"/>
            <w:hideMark/>
          </w:tcPr>
          <w:p w14:paraId="3DFFC136" w14:textId="77777777" w:rsidR="00292FFE" w:rsidRPr="00BF56E8" w:rsidRDefault="00292FFE" w:rsidP="00BF56E8">
            <w:pPr>
              <w:jc w:val="center"/>
              <w:rPr>
                <w:iCs/>
                <w:sz w:val="20"/>
              </w:rPr>
            </w:pPr>
            <w:r w:rsidRPr="00BF56E8">
              <w:rPr>
                <w:iCs/>
                <w:sz w:val="20"/>
              </w:rPr>
              <w:t>300</w:t>
            </w:r>
          </w:p>
        </w:tc>
        <w:tc>
          <w:tcPr>
            <w:tcW w:w="1847" w:type="dxa"/>
            <w:noWrap/>
            <w:hideMark/>
          </w:tcPr>
          <w:p w14:paraId="17A3F967" w14:textId="77777777" w:rsidR="00292FFE" w:rsidRPr="00BF56E8" w:rsidRDefault="00292FFE">
            <w:pPr>
              <w:rPr>
                <w:iCs/>
                <w:sz w:val="20"/>
              </w:rPr>
            </w:pPr>
            <w:r w:rsidRPr="00BF56E8">
              <w:rPr>
                <w:iCs/>
                <w:sz w:val="20"/>
              </w:rPr>
              <w:t> </w:t>
            </w:r>
          </w:p>
        </w:tc>
        <w:tc>
          <w:tcPr>
            <w:tcW w:w="2415" w:type="dxa"/>
            <w:noWrap/>
            <w:hideMark/>
          </w:tcPr>
          <w:p w14:paraId="08A3B485" w14:textId="77777777" w:rsidR="00292FFE" w:rsidRPr="00BF56E8" w:rsidRDefault="00292FFE">
            <w:pPr>
              <w:rPr>
                <w:iCs/>
                <w:sz w:val="20"/>
              </w:rPr>
            </w:pPr>
            <w:r w:rsidRPr="00BF56E8">
              <w:rPr>
                <w:iCs/>
                <w:sz w:val="20"/>
              </w:rPr>
              <w:t> </w:t>
            </w:r>
          </w:p>
        </w:tc>
        <w:tc>
          <w:tcPr>
            <w:tcW w:w="1136" w:type="dxa"/>
            <w:noWrap/>
            <w:hideMark/>
          </w:tcPr>
          <w:p w14:paraId="0B510C77" w14:textId="77777777" w:rsidR="00292FFE" w:rsidRPr="00BF56E8" w:rsidRDefault="00292FFE" w:rsidP="00292FFE">
            <w:pPr>
              <w:rPr>
                <w:iCs/>
                <w:sz w:val="20"/>
              </w:rPr>
            </w:pPr>
            <w:r w:rsidRPr="00BF56E8">
              <w:rPr>
                <w:iCs/>
                <w:sz w:val="20"/>
              </w:rPr>
              <w:t> </w:t>
            </w:r>
          </w:p>
        </w:tc>
        <w:tc>
          <w:tcPr>
            <w:tcW w:w="718" w:type="dxa"/>
            <w:noWrap/>
            <w:hideMark/>
          </w:tcPr>
          <w:p w14:paraId="3F57E2E9" w14:textId="77777777" w:rsidR="00292FFE" w:rsidRPr="00BF56E8" w:rsidRDefault="00292FFE" w:rsidP="00292FFE">
            <w:pPr>
              <w:rPr>
                <w:iCs/>
                <w:sz w:val="20"/>
              </w:rPr>
            </w:pPr>
            <w:r w:rsidRPr="00BF56E8">
              <w:rPr>
                <w:iCs/>
                <w:sz w:val="20"/>
              </w:rPr>
              <w:t> </w:t>
            </w:r>
          </w:p>
        </w:tc>
        <w:tc>
          <w:tcPr>
            <w:tcW w:w="1092" w:type="dxa"/>
            <w:noWrap/>
            <w:hideMark/>
          </w:tcPr>
          <w:p w14:paraId="29A8C888" w14:textId="77777777" w:rsidR="00292FFE" w:rsidRPr="00BF56E8" w:rsidRDefault="00292FFE" w:rsidP="00292FFE">
            <w:pPr>
              <w:rPr>
                <w:iCs/>
                <w:sz w:val="20"/>
              </w:rPr>
            </w:pPr>
            <w:r w:rsidRPr="00BF56E8">
              <w:rPr>
                <w:iCs/>
                <w:sz w:val="20"/>
              </w:rPr>
              <w:t> </w:t>
            </w:r>
          </w:p>
        </w:tc>
      </w:tr>
      <w:tr w:rsidR="00BF56E8" w:rsidRPr="00292FFE" w14:paraId="3820F6BF" w14:textId="77777777" w:rsidTr="00931E07">
        <w:trPr>
          <w:trHeight w:val="705"/>
          <w:jc w:val="center"/>
        </w:trPr>
        <w:tc>
          <w:tcPr>
            <w:tcW w:w="559" w:type="dxa"/>
            <w:noWrap/>
            <w:hideMark/>
          </w:tcPr>
          <w:p w14:paraId="6B999644" w14:textId="77777777" w:rsidR="00292FFE" w:rsidRPr="00BF56E8" w:rsidRDefault="00292FFE">
            <w:pPr>
              <w:rPr>
                <w:iCs/>
                <w:sz w:val="20"/>
              </w:rPr>
            </w:pPr>
            <w:bookmarkStart w:id="0" w:name="_Hlk198023611"/>
            <w:r w:rsidRPr="00BF56E8">
              <w:rPr>
                <w:iCs/>
                <w:sz w:val="20"/>
              </w:rPr>
              <w:lastRenderedPageBreak/>
              <w:t>1.8</w:t>
            </w:r>
          </w:p>
        </w:tc>
        <w:tc>
          <w:tcPr>
            <w:tcW w:w="1387" w:type="dxa"/>
            <w:hideMark/>
          </w:tcPr>
          <w:p w14:paraId="7E26A89C" w14:textId="77777777" w:rsidR="00292FFE" w:rsidRPr="00BF56E8" w:rsidRDefault="00292FFE">
            <w:pPr>
              <w:rPr>
                <w:iCs/>
                <w:sz w:val="20"/>
              </w:rPr>
            </w:pPr>
            <w:r w:rsidRPr="00BF56E8">
              <w:rPr>
                <w:iCs/>
                <w:sz w:val="20"/>
              </w:rPr>
              <w:t>Maišelis 100 mm dydžio</w:t>
            </w:r>
          </w:p>
        </w:tc>
        <w:tc>
          <w:tcPr>
            <w:tcW w:w="3183" w:type="dxa"/>
            <w:hideMark/>
          </w:tcPr>
          <w:p w14:paraId="2C1F56E5" w14:textId="77777777" w:rsidR="00292FFE" w:rsidRPr="00BF56E8" w:rsidRDefault="00292FFE">
            <w:pPr>
              <w:rPr>
                <w:iCs/>
                <w:sz w:val="20"/>
              </w:rPr>
            </w:pPr>
            <w:r w:rsidRPr="00BF56E8">
              <w:rPr>
                <w:iCs/>
                <w:sz w:val="20"/>
              </w:rPr>
              <w:t>Maišelis atviras 100mm dydžio, permatomas, su plastikinių žiedu, kuriame yra angos iš abiejų pusių dirželio pritvirtinimui, maišelio uždarymas su lipniu dvigubu užsegimu, kuris paslepiamas papildomoje kišenėje.</w:t>
            </w:r>
          </w:p>
        </w:tc>
        <w:tc>
          <w:tcPr>
            <w:tcW w:w="874" w:type="dxa"/>
            <w:noWrap/>
            <w:vAlign w:val="center"/>
            <w:hideMark/>
          </w:tcPr>
          <w:p w14:paraId="49554A29" w14:textId="77777777" w:rsidR="00292FFE" w:rsidRPr="00BF56E8" w:rsidRDefault="00292FFE" w:rsidP="00BF56E8">
            <w:pPr>
              <w:jc w:val="center"/>
              <w:rPr>
                <w:iCs/>
                <w:sz w:val="20"/>
              </w:rPr>
            </w:pPr>
            <w:r w:rsidRPr="00BF56E8">
              <w:rPr>
                <w:iCs/>
                <w:sz w:val="20"/>
              </w:rPr>
              <w:t>vnt.</w:t>
            </w:r>
          </w:p>
        </w:tc>
        <w:tc>
          <w:tcPr>
            <w:tcW w:w="1526" w:type="dxa"/>
            <w:noWrap/>
            <w:vAlign w:val="center"/>
            <w:hideMark/>
          </w:tcPr>
          <w:p w14:paraId="680ADEDC" w14:textId="77777777" w:rsidR="00292FFE" w:rsidRPr="00BF56E8" w:rsidRDefault="00292FFE" w:rsidP="00BF56E8">
            <w:pPr>
              <w:jc w:val="center"/>
              <w:rPr>
                <w:iCs/>
                <w:sz w:val="20"/>
              </w:rPr>
            </w:pPr>
            <w:r w:rsidRPr="00BF56E8">
              <w:rPr>
                <w:iCs/>
                <w:sz w:val="20"/>
              </w:rPr>
              <w:t>130</w:t>
            </w:r>
          </w:p>
        </w:tc>
        <w:tc>
          <w:tcPr>
            <w:tcW w:w="1847" w:type="dxa"/>
            <w:noWrap/>
            <w:hideMark/>
          </w:tcPr>
          <w:p w14:paraId="04148135" w14:textId="77777777" w:rsidR="00292FFE" w:rsidRPr="00BF56E8" w:rsidRDefault="00292FFE">
            <w:pPr>
              <w:rPr>
                <w:iCs/>
                <w:sz w:val="20"/>
              </w:rPr>
            </w:pPr>
            <w:r w:rsidRPr="00BF56E8">
              <w:rPr>
                <w:iCs/>
                <w:sz w:val="20"/>
              </w:rPr>
              <w:t> </w:t>
            </w:r>
          </w:p>
        </w:tc>
        <w:tc>
          <w:tcPr>
            <w:tcW w:w="2415" w:type="dxa"/>
            <w:noWrap/>
            <w:hideMark/>
          </w:tcPr>
          <w:p w14:paraId="21AD7538" w14:textId="77777777" w:rsidR="00292FFE" w:rsidRPr="00BF56E8" w:rsidRDefault="00292FFE">
            <w:pPr>
              <w:rPr>
                <w:iCs/>
                <w:sz w:val="20"/>
              </w:rPr>
            </w:pPr>
            <w:r w:rsidRPr="00BF56E8">
              <w:rPr>
                <w:iCs/>
                <w:sz w:val="20"/>
              </w:rPr>
              <w:t> </w:t>
            </w:r>
          </w:p>
        </w:tc>
        <w:tc>
          <w:tcPr>
            <w:tcW w:w="1136" w:type="dxa"/>
            <w:noWrap/>
            <w:hideMark/>
          </w:tcPr>
          <w:p w14:paraId="1676AA35" w14:textId="77777777" w:rsidR="00292FFE" w:rsidRPr="00BF56E8" w:rsidRDefault="00292FFE" w:rsidP="00292FFE">
            <w:pPr>
              <w:rPr>
                <w:iCs/>
                <w:sz w:val="20"/>
              </w:rPr>
            </w:pPr>
            <w:r w:rsidRPr="00BF56E8">
              <w:rPr>
                <w:iCs/>
                <w:sz w:val="20"/>
              </w:rPr>
              <w:t> </w:t>
            </w:r>
          </w:p>
        </w:tc>
        <w:tc>
          <w:tcPr>
            <w:tcW w:w="718" w:type="dxa"/>
            <w:noWrap/>
            <w:hideMark/>
          </w:tcPr>
          <w:p w14:paraId="616C63F5" w14:textId="77777777" w:rsidR="00292FFE" w:rsidRPr="00BF56E8" w:rsidRDefault="00292FFE" w:rsidP="00292FFE">
            <w:pPr>
              <w:rPr>
                <w:iCs/>
                <w:sz w:val="20"/>
              </w:rPr>
            </w:pPr>
            <w:r w:rsidRPr="00BF56E8">
              <w:rPr>
                <w:iCs/>
                <w:sz w:val="20"/>
              </w:rPr>
              <w:t> </w:t>
            </w:r>
          </w:p>
        </w:tc>
        <w:tc>
          <w:tcPr>
            <w:tcW w:w="1092" w:type="dxa"/>
            <w:noWrap/>
            <w:hideMark/>
          </w:tcPr>
          <w:p w14:paraId="16438A65" w14:textId="77777777" w:rsidR="00292FFE" w:rsidRPr="00BF56E8" w:rsidRDefault="00292FFE" w:rsidP="00292FFE">
            <w:pPr>
              <w:rPr>
                <w:iCs/>
                <w:sz w:val="20"/>
              </w:rPr>
            </w:pPr>
            <w:r w:rsidRPr="00BF56E8">
              <w:rPr>
                <w:iCs/>
                <w:sz w:val="20"/>
              </w:rPr>
              <w:t> </w:t>
            </w:r>
          </w:p>
        </w:tc>
      </w:tr>
      <w:bookmarkEnd w:id="0"/>
      <w:tr w:rsidR="000D04A7" w:rsidRPr="00BF56E8" w14:paraId="002ABB00" w14:textId="77777777" w:rsidTr="00EC4013">
        <w:tblPrEx>
          <w:jc w:val="left"/>
        </w:tblPrEx>
        <w:trPr>
          <w:trHeight w:val="216"/>
        </w:trPr>
        <w:tc>
          <w:tcPr>
            <w:tcW w:w="13645" w:type="dxa"/>
            <w:gridSpan w:val="9"/>
            <w:noWrap/>
            <w:vAlign w:val="center"/>
          </w:tcPr>
          <w:p w14:paraId="6BE00939" w14:textId="53CC5323" w:rsidR="000D04A7" w:rsidRPr="00CC38D7" w:rsidRDefault="000D04A7" w:rsidP="000D04A7">
            <w:pPr>
              <w:jc w:val="right"/>
              <w:rPr>
                <w:sz w:val="20"/>
              </w:rPr>
            </w:pPr>
            <w:r w:rsidRPr="00CC38D7">
              <w:rPr>
                <w:sz w:val="20"/>
              </w:rPr>
              <w:t>Pradinės sutarties</w:t>
            </w:r>
            <w:r w:rsidR="001A11A6" w:rsidRPr="00CC38D7">
              <w:rPr>
                <w:sz w:val="20"/>
              </w:rPr>
              <w:t xml:space="preserve"> </w:t>
            </w:r>
            <w:r w:rsidRPr="00CC38D7">
              <w:rPr>
                <w:sz w:val="20"/>
              </w:rPr>
              <w:t>vertė Eur be PVM</w:t>
            </w:r>
          </w:p>
          <w:p w14:paraId="5C57FAE6" w14:textId="30834D12" w:rsidR="000D04A7" w:rsidRPr="00CC38D7" w:rsidRDefault="000D04A7" w:rsidP="000D04A7">
            <w:pPr>
              <w:jc w:val="right"/>
              <w:rPr>
                <w:iCs/>
                <w:sz w:val="20"/>
              </w:rPr>
            </w:pPr>
            <w:r w:rsidRPr="00CC38D7">
              <w:rPr>
                <w:sz w:val="20"/>
              </w:rPr>
              <w:t>(</w:t>
            </w:r>
            <w:r w:rsidRPr="00CC38D7">
              <w:rPr>
                <w:i/>
                <w:iCs/>
                <w:sz w:val="20"/>
              </w:rPr>
              <w:t>maksimali pirkimui</w:t>
            </w:r>
            <w:r w:rsidR="001A11A6" w:rsidRPr="00CC38D7">
              <w:rPr>
                <w:i/>
                <w:iCs/>
                <w:sz w:val="20"/>
              </w:rPr>
              <w:t xml:space="preserve"> </w:t>
            </w:r>
            <w:r w:rsidRPr="00CC38D7">
              <w:rPr>
                <w:i/>
                <w:iCs/>
                <w:sz w:val="20"/>
              </w:rPr>
              <w:t>skirtų lėšų suma Eur be PVM</w:t>
            </w:r>
            <w:r w:rsidRPr="00CC38D7">
              <w:rPr>
                <w:sz w:val="20"/>
              </w:rPr>
              <w:t>)</w:t>
            </w:r>
          </w:p>
        </w:tc>
        <w:tc>
          <w:tcPr>
            <w:tcW w:w="1092" w:type="dxa"/>
            <w:noWrap/>
          </w:tcPr>
          <w:p w14:paraId="36413F6B" w14:textId="03E82F61" w:rsidR="000D04A7" w:rsidRPr="00BF56E8" w:rsidRDefault="000D04A7" w:rsidP="000D04A7">
            <w:pPr>
              <w:rPr>
                <w:iCs/>
                <w:sz w:val="20"/>
              </w:rPr>
            </w:pPr>
          </w:p>
        </w:tc>
      </w:tr>
      <w:tr w:rsidR="000D04A7" w:rsidRPr="00BF56E8" w14:paraId="6C70D649" w14:textId="77777777" w:rsidTr="00AC5337">
        <w:tblPrEx>
          <w:jc w:val="left"/>
        </w:tblPrEx>
        <w:trPr>
          <w:trHeight w:val="216"/>
        </w:trPr>
        <w:tc>
          <w:tcPr>
            <w:tcW w:w="13645" w:type="dxa"/>
            <w:gridSpan w:val="9"/>
            <w:noWrap/>
            <w:vAlign w:val="center"/>
          </w:tcPr>
          <w:p w14:paraId="18422E6A" w14:textId="78965BEC" w:rsidR="000D04A7" w:rsidRPr="00CC38D7" w:rsidRDefault="000D04A7" w:rsidP="000D04A7">
            <w:pPr>
              <w:jc w:val="right"/>
              <w:rPr>
                <w:iCs/>
                <w:sz w:val="20"/>
              </w:rPr>
            </w:pPr>
            <w:r w:rsidRPr="00CC38D7">
              <w:rPr>
                <w:sz w:val="20"/>
              </w:rPr>
              <w:t>PVM suma, Eur</w:t>
            </w:r>
          </w:p>
        </w:tc>
        <w:tc>
          <w:tcPr>
            <w:tcW w:w="1092" w:type="dxa"/>
            <w:noWrap/>
          </w:tcPr>
          <w:p w14:paraId="3DFB4AC9" w14:textId="77777777" w:rsidR="000D04A7" w:rsidRPr="00BF56E8" w:rsidRDefault="000D04A7" w:rsidP="000D04A7">
            <w:pPr>
              <w:rPr>
                <w:iCs/>
                <w:sz w:val="20"/>
              </w:rPr>
            </w:pPr>
          </w:p>
        </w:tc>
      </w:tr>
      <w:tr w:rsidR="000D04A7" w:rsidRPr="00BF56E8" w14:paraId="3F959474" w14:textId="77777777" w:rsidTr="00A10EF4">
        <w:tblPrEx>
          <w:jc w:val="left"/>
        </w:tblPrEx>
        <w:trPr>
          <w:trHeight w:val="216"/>
        </w:trPr>
        <w:tc>
          <w:tcPr>
            <w:tcW w:w="13645" w:type="dxa"/>
            <w:gridSpan w:val="9"/>
            <w:noWrap/>
          </w:tcPr>
          <w:p w14:paraId="6E53C7FE" w14:textId="707DA43E" w:rsidR="000D04A7" w:rsidRPr="00CC38D7" w:rsidRDefault="001A11A6" w:rsidP="000D04A7">
            <w:pPr>
              <w:jc w:val="right"/>
              <w:rPr>
                <w:iCs/>
                <w:sz w:val="20"/>
              </w:rPr>
            </w:pPr>
            <w:r w:rsidRPr="00CC38D7">
              <w:rPr>
                <w:iCs/>
                <w:sz w:val="20"/>
              </w:rPr>
              <w:t>S</w:t>
            </w:r>
            <w:r w:rsidR="000D04A7" w:rsidRPr="00CC38D7">
              <w:rPr>
                <w:iCs/>
                <w:sz w:val="20"/>
              </w:rPr>
              <w:t>utarties</w:t>
            </w:r>
            <w:r w:rsidRPr="00CC38D7">
              <w:rPr>
                <w:iCs/>
                <w:sz w:val="20"/>
              </w:rPr>
              <w:t xml:space="preserve"> kaina</w:t>
            </w:r>
            <w:r w:rsidR="000D04A7" w:rsidRPr="00CC38D7">
              <w:rPr>
                <w:iCs/>
                <w:sz w:val="20"/>
              </w:rPr>
              <w:t xml:space="preserve"> Eur </w:t>
            </w:r>
            <w:r w:rsidR="00A6070F">
              <w:rPr>
                <w:iCs/>
                <w:sz w:val="20"/>
              </w:rPr>
              <w:t>su</w:t>
            </w:r>
            <w:r w:rsidR="000D04A7" w:rsidRPr="00CC38D7">
              <w:rPr>
                <w:iCs/>
                <w:sz w:val="20"/>
              </w:rPr>
              <w:t xml:space="preserve"> PVM</w:t>
            </w:r>
          </w:p>
          <w:p w14:paraId="033DC93A" w14:textId="7C8472D1" w:rsidR="000D04A7" w:rsidRPr="00CC38D7" w:rsidRDefault="000D04A7" w:rsidP="000D04A7">
            <w:pPr>
              <w:jc w:val="right"/>
              <w:rPr>
                <w:iCs/>
                <w:sz w:val="20"/>
              </w:rPr>
            </w:pPr>
            <w:r w:rsidRPr="00CC38D7">
              <w:rPr>
                <w:iCs/>
                <w:sz w:val="20"/>
              </w:rPr>
              <w:t>(</w:t>
            </w:r>
            <w:r w:rsidRPr="00CC38D7">
              <w:rPr>
                <w:i/>
                <w:sz w:val="20"/>
              </w:rPr>
              <w:t xml:space="preserve">maksimali pirkimui skirtų lėšų suma Eur </w:t>
            </w:r>
            <w:r w:rsidR="001A11A6" w:rsidRPr="00CC38D7">
              <w:rPr>
                <w:i/>
                <w:sz w:val="20"/>
              </w:rPr>
              <w:t>su</w:t>
            </w:r>
            <w:r w:rsidRPr="00CC38D7">
              <w:rPr>
                <w:i/>
                <w:sz w:val="20"/>
              </w:rPr>
              <w:t xml:space="preserve"> PVM</w:t>
            </w:r>
            <w:r w:rsidRPr="00CC38D7">
              <w:rPr>
                <w:iCs/>
                <w:sz w:val="20"/>
              </w:rPr>
              <w:t>)</w:t>
            </w:r>
          </w:p>
        </w:tc>
        <w:tc>
          <w:tcPr>
            <w:tcW w:w="1092" w:type="dxa"/>
            <w:noWrap/>
          </w:tcPr>
          <w:p w14:paraId="745D6FC3" w14:textId="77777777" w:rsidR="000D04A7" w:rsidRPr="00BF56E8" w:rsidRDefault="000D04A7" w:rsidP="000D04A7">
            <w:pPr>
              <w:rPr>
                <w:iCs/>
                <w:sz w:val="20"/>
              </w:rPr>
            </w:pPr>
          </w:p>
        </w:tc>
      </w:tr>
    </w:tbl>
    <w:p w14:paraId="1C273354" w14:textId="77777777" w:rsidR="00CF4783" w:rsidRDefault="00CF4783" w:rsidP="00C421C7"/>
    <w:sectPr w:rsidR="00CF4783" w:rsidSect="00A07DDB">
      <w:pgSz w:w="15840" w:h="12240" w:orient="landscape"/>
      <w:pgMar w:top="1701" w:right="531"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5D5B" w14:textId="77777777" w:rsidR="00063414" w:rsidRDefault="00063414">
      <w:r>
        <w:separator/>
      </w:r>
    </w:p>
  </w:endnote>
  <w:endnote w:type="continuationSeparator" w:id="0">
    <w:p w14:paraId="1F3B637C" w14:textId="77777777" w:rsidR="00063414" w:rsidRDefault="0006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17E9" w14:textId="77777777" w:rsidR="00063414" w:rsidRDefault="00063414">
      <w:r>
        <w:separator/>
      </w:r>
    </w:p>
  </w:footnote>
  <w:footnote w:type="continuationSeparator" w:id="0">
    <w:p w14:paraId="5CC64E64" w14:textId="77777777" w:rsidR="00063414" w:rsidRDefault="0006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5E"/>
    <w:rsid w:val="00012098"/>
    <w:rsid w:val="00021432"/>
    <w:rsid w:val="00063414"/>
    <w:rsid w:val="000740DD"/>
    <w:rsid w:val="000C5B19"/>
    <w:rsid w:val="000D04A7"/>
    <w:rsid w:val="000E5F82"/>
    <w:rsid w:val="000E7958"/>
    <w:rsid w:val="000F573D"/>
    <w:rsid w:val="000F6761"/>
    <w:rsid w:val="00130798"/>
    <w:rsid w:val="0013110F"/>
    <w:rsid w:val="001369E4"/>
    <w:rsid w:val="001424CD"/>
    <w:rsid w:val="001479F1"/>
    <w:rsid w:val="00160F96"/>
    <w:rsid w:val="00186640"/>
    <w:rsid w:val="00187AF3"/>
    <w:rsid w:val="00193A11"/>
    <w:rsid w:val="001A11A6"/>
    <w:rsid w:val="001B616F"/>
    <w:rsid w:val="001C6C51"/>
    <w:rsid w:val="001F6904"/>
    <w:rsid w:val="002070D8"/>
    <w:rsid w:val="00234723"/>
    <w:rsid w:val="0024063D"/>
    <w:rsid w:val="00251DAE"/>
    <w:rsid w:val="00270F85"/>
    <w:rsid w:val="00292FFE"/>
    <w:rsid w:val="00297A80"/>
    <w:rsid w:val="002A3B39"/>
    <w:rsid w:val="002A5DFD"/>
    <w:rsid w:val="002A7511"/>
    <w:rsid w:val="002B0A26"/>
    <w:rsid w:val="002C0CDF"/>
    <w:rsid w:val="002F0B5F"/>
    <w:rsid w:val="003043E9"/>
    <w:rsid w:val="00305C2D"/>
    <w:rsid w:val="00323F63"/>
    <w:rsid w:val="00346A65"/>
    <w:rsid w:val="00354E37"/>
    <w:rsid w:val="00372D45"/>
    <w:rsid w:val="003873C2"/>
    <w:rsid w:val="003900BC"/>
    <w:rsid w:val="003A5338"/>
    <w:rsid w:val="003C1E9C"/>
    <w:rsid w:val="003D17F5"/>
    <w:rsid w:val="003D63F7"/>
    <w:rsid w:val="00403CD8"/>
    <w:rsid w:val="00405C3D"/>
    <w:rsid w:val="00412935"/>
    <w:rsid w:val="00436D09"/>
    <w:rsid w:val="0044337A"/>
    <w:rsid w:val="00444811"/>
    <w:rsid w:val="0044589B"/>
    <w:rsid w:val="0048448F"/>
    <w:rsid w:val="00492673"/>
    <w:rsid w:val="004A24B7"/>
    <w:rsid w:val="004A2A84"/>
    <w:rsid w:val="004B62EA"/>
    <w:rsid w:val="004B65B3"/>
    <w:rsid w:val="004B7B73"/>
    <w:rsid w:val="004C39E7"/>
    <w:rsid w:val="00504DFA"/>
    <w:rsid w:val="00511660"/>
    <w:rsid w:val="0051711F"/>
    <w:rsid w:val="005226CD"/>
    <w:rsid w:val="005348B8"/>
    <w:rsid w:val="005545A5"/>
    <w:rsid w:val="00586EB8"/>
    <w:rsid w:val="005A72AE"/>
    <w:rsid w:val="005B4866"/>
    <w:rsid w:val="005B58FD"/>
    <w:rsid w:val="005E0409"/>
    <w:rsid w:val="005F0D59"/>
    <w:rsid w:val="00614C66"/>
    <w:rsid w:val="006452B8"/>
    <w:rsid w:val="006526B4"/>
    <w:rsid w:val="00656F37"/>
    <w:rsid w:val="00661F81"/>
    <w:rsid w:val="0068231C"/>
    <w:rsid w:val="006869CC"/>
    <w:rsid w:val="006E36CD"/>
    <w:rsid w:val="006F4D23"/>
    <w:rsid w:val="006F7C62"/>
    <w:rsid w:val="007074FF"/>
    <w:rsid w:val="00716DF9"/>
    <w:rsid w:val="00741999"/>
    <w:rsid w:val="00743FC2"/>
    <w:rsid w:val="007775E2"/>
    <w:rsid w:val="007904ED"/>
    <w:rsid w:val="007A7607"/>
    <w:rsid w:val="007B2BDF"/>
    <w:rsid w:val="007C0899"/>
    <w:rsid w:val="007E2A5E"/>
    <w:rsid w:val="00802B24"/>
    <w:rsid w:val="00811AEB"/>
    <w:rsid w:val="00814EBA"/>
    <w:rsid w:val="008273FE"/>
    <w:rsid w:val="00854B20"/>
    <w:rsid w:val="008D063C"/>
    <w:rsid w:val="008E05F2"/>
    <w:rsid w:val="008E1381"/>
    <w:rsid w:val="00917C09"/>
    <w:rsid w:val="00922B4C"/>
    <w:rsid w:val="00931E07"/>
    <w:rsid w:val="009502C9"/>
    <w:rsid w:val="00970CD1"/>
    <w:rsid w:val="00977185"/>
    <w:rsid w:val="009807DD"/>
    <w:rsid w:val="00995C47"/>
    <w:rsid w:val="009C251F"/>
    <w:rsid w:val="009F7566"/>
    <w:rsid w:val="00A05CCD"/>
    <w:rsid w:val="00A07DDB"/>
    <w:rsid w:val="00A30BBD"/>
    <w:rsid w:val="00A6070F"/>
    <w:rsid w:val="00AA6242"/>
    <w:rsid w:val="00AB19D9"/>
    <w:rsid w:val="00AB336B"/>
    <w:rsid w:val="00AC148C"/>
    <w:rsid w:val="00B06D64"/>
    <w:rsid w:val="00B4739D"/>
    <w:rsid w:val="00B50598"/>
    <w:rsid w:val="00B6078C"/>
    <w:rsid w:val="00B905EC"/>
    <w:rsid w:val="00BA6384"/>
    <w:rsid w:val="00BE03EB"/>
    <w:rsid w:val="00BE1004"/>
    <w:rsid w:val="00BF56E8"/>
    <w:rsid w:val="00C06FD6"/>
    <w:rsid w:val="00C12BC7"/>
    <w:rsid w:val="00C157A6"/>
    <w:rsid w:val="00C20E6F"/>
    <w:rsid w:val="00C25410"/>
    <w:rsid w:val="00C4039B"/>
    <w:rsid w:val="00C421C7"/>
    <w:rsid w:val="00C53D8A"/>
    <w:rsid w:val="00C6056B"/>
    <w:rsid w:val="00C83694"/>
    <w:rsid w:val="00C84134"/>
    <w:rsid w:val="00C85BE9"/>
    <w:rsid w:val="00CA461D"/>
    <w:rsid w:val="00CA5563"/>
    <w:rsid w:val="00CC2EC0"/>
    <w:rsid w:val="00CC38D7"/>
    <w:rsid w:val="00CC45B0"/>
    <w:rsid w:val="00CD7D26"/>
    <w:rsid w:val="00CE5ACB"/>
    <w:rsid w:val="00CF4783"/>
    <w:rsid w:val="00D13DC8"/>
    <w:rsid w:val="00D16091"/>
    <w:rsid w:val="00D1728F"/>
    <w:rsid w:val="00D17C54"/>
    <w:rsid w:val="00D3141D"/>
    <w:rsid w:val="00D411D3"/>
    <w:rsid w:val="00D578D9"/>
    <w:rsid w:val="00D948A0"/>
    <w:rsid w:val="00DC6309"/>
    <w:rsid w:val="00DD1F31"/>
    <w:rsid w:val="00DF145B"/>
    <w:rsid w:val="00E20061"/>
    <w:rsid w:val="00E25FE0"/>
    <w:rsid w:val="00E5166C"/>
    <w:rsid w:val="00E64AEC"/>
    <w:rsid w:val="00ED1442"/>
    <w:rsid w:val="00ED6956"/>
    <w:rsid w:val="00EE3FC8"/>
    <w:rsid w:val="00EE55EE"/>
    <w:rsid w:val="00EE564C"/>
    <w:rsid w:val="00F0227B"/>
    <w:rsid w:val="00F0697E"/>
    <w:rsid w:val="00F22706"/>
    <w:rsid w:val="00F32888"/>
    <w:rsid w:val="00F36E4C"/>
    <w:rsid w:val="00F37938"/>
    <w:rsid w:val="00F77B7B"/>
    <w:rsid w:val="00F80BA0"/>
    <w:rsid w:val="00FA27B8"/>
    <w:rsid w:val="00FC224A"/>
    <w:rsid w:val="00FD5BF3"/>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15225</Words>
  <Characters>8679</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5</cp:revision>
  <dcterms:created xsi:type="dcterms:W3CDTF">2025-05-13T11:34:00Z</dcterms:created>
  <dcterms:modified xsi:type="dcterms:W3CDTF">2025-05-13T12:06:00Z</dcterms:modified>
</cp:coreProperties>
</file>