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7CE5A8A7" w14:textId="77777777" w:rsidR="001703B8" w:rsidRPr="00727CC8" w:rsidRDefault="001703B8" w:rsidP="001703B8">
      <w:pPr>
        <w:widowControl/>
        <w:tabs>
          <w:tab w:val="left" w:pos="709"/>
        </w:tabs>
        <w:suppressAutoHyphens w:val="0"/>
        <w:jc w:val="center"/>
        <w:rPr>
          <w:rStyle w:val="fontstyle01"/>
          <w:b/>
          <w:bCs/>
        </w:rPr>
      </w:pPr>
      <w:bookmarkStart w:id="0" w:name="_Hlk189037501"/>
      <w:bookmarkStart w:id="1" w:name="_Hlk69733908"/>
      <w:r w:rsidRPr="00B34637">
        <w:rPr>
          <w:rFonts w:ascii="TimesNewRomanPSMT" w:hAnsi="TimesNewRomanPSMT"/>
          <w:b/>
          <w:bCs/>
          <w:color w:val="000000"/>
          <w:szCs w:val="24"/>
        </w:rPr>
        <w:t>KĖDAINIŲ RAJONO SAVIVALDYBĖS AKADEMIJOS KADASTRINĖS VIETOVĖS</w:t>
      </w:r>
      <w:r>
        <w:rPr>
          <w:rFonts w:ascii="TimesNewRomanPSMT" w:hAnsi="TimesNewRomanPSMT"/>
          <w:b/>
          <w:bCs/>
          <w:color w:val="000000"/>
          <w:szCs w:val="24"/>
        </w:rPr>
        <w:t xml:space="preserve"> </w:t>
      </w:r>
      <w:r w:rsidRPr="00B34637">
        <w:rPr>
          <w:rFonts w:ascii="TimesNewRomanPSMT" w:hAnsi="TimesNewRomanPSMT"/>
          <w:b/>
          <w:bCs/>
          <w:color w:val="000000"/>
          <w:szCs w:val="24"/>
        </w:rPr>
        <w:t>KRUOSTO SAUSINIMO</w:t>
      </w:r>
      <w:r>
        <w:rPr>
          <w:rFonts w:ascii="TimesNewRomanPSMT" w:hAnsi="TimesNewRomanPSMT"/>
          <w:b/>
          <w:bCs/>
          <w:color w:val="000000"/>
          <w:szCs w:val="24"/>
        </w:rPr>
        <w:t xml:space="preserve"> </w:t>
      </w:r>
      <w:r w:rsidRPr="00B34637">
        <w:rPr>
          <w:rFonts w:ascii="TimesNewRomanPSMT" w:hAnsi="TimesNewRomanPSMT"/>
          <w:b/>
          <w:bCs/>
          <w:color w:val="000000"/>
          <w:szCs w:val="24"/>
        </w:rPr>
        <w:t>SISTEMOS MELIORACIJOS GRIOVIŲ IR JUOSE ESANČIŲ</w:t>
      </w:r>
      <w:r>
        <w:rPr>
          <w:rFonts w:ascii="TimesNewRomanPSMT" w:hAnsi="TimesNewRomanPSMT"/>
          <w:b/>
          <w:bCs/>
          <w:color w:val="000000"/>
          <w:szCs w:val="24"/>
        </w:rPr>
        <w:t xml:space="preserve"> </w:t>
      </w:r>
      <w:r w:rsidRPr="00B34637">
        <w:rPr>
          <w:rFonts w:ascii="TimesNewRomanPSMT" w:hAnsi="TimesNewRomanPSMT"/>
          <w:b/>
          <w:bCs/>
          <w:color w:val="000000"/>
          <w:szCs w:val="24"/>
        </w:rPr>
        <w:t xml:space="preserve">STATINIŲ REKONSTRUKCIJOS </w:t>
      </w:r>
      <w:r w:rsidRPr="00727CC8">
        <w:rPr>
          <w:rStyle w:val="fontstyle01"/>
          <w:b/>
          <w:bCs/>
        </w:rPr>
        <w:t>DARB</w:t>
      </w:r>
      <w:bookmarkEnd w:id="0"/>
      <w:r w:rsidRPr="00727CC8">
        <w:rPr>
          <w:rStyle w:val="fontstyle01"/>
          <w:b/>
          <w:bCs/>
        </w:rPr>
        <w:t>Ų</w:t>
      </w:r>
      <w:r w:rsidRPr="00727CC8">
        <w:rPr>
          <w:rStyle w:val="fontstyle01"/>
          <w:rFonts w:eastAsia="Calibri"/>
          <w:b/>
          <w:bCs/>
        </w:rPr>
        <w:t xml:space="preserve"> SUTARTIS</w:t>
      </w:r>
    </w:p>
    <w:p w14:paraId="44A4287D" w14:textId="77777777" w:rsidR="00573999" w:rsidRDefault="00573999" w:rsidP="00727CC8">
      <w:pPr>
        <w:numPr>
          <w:ilvl w:val="12"/>
          <w:numId w:val="0"/>
        </w:numPr>
        <w:tabs>
          <w:tab w:val="left" w:pos="3969"/>
        </w:tabs>
        <w:rPr>
          <w:szCs w:val="24"/>
        </w:rPr>
      </w:pPr>
    </w:p>
    <w:bookmarkEnd w:id="1"/>
    <w:p w14:paraId="68B21D19" w14:textId="77777777" w:rsidR="00573999" w:rsidRDefault="00573999" w:rsidP="00573999">
      <w:pPr>
        <w:jc w:val="center"/>
        <w:rPr>
          <w:rFonts w:cs="Times New Roman"/>
          <w:szCs w:val="24"/>
        </w:rPr>
      </w:pPr>
      <w:r>
        <w:rPr>
          <w:rFonts w:cs="Times New Roman"/>
          <w:szCs w:val="24"/>
        </w:rPr>
        <w:t xml:space="preserve">2025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77777777"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Gintauto </w:t>
      </w:r>
      <w:proofErr w:type="spellStart"/>
      <w:r>
        <w:rPr>
          <w:rFonts w:cs="Times New Roman"/>
          <w:szCs w:val="24"/>
          <w:lang w:eastAsia="en-US"/>
        </w:rPr>
        <w:t>Muzniko</w:t>
      </w:r>
      <w:proofErr w:type="spellEnd"/>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65E1383A" w:rsidR="00573999" w:rsidRDefault="00573999" w:rsidP="00573999">
      <w:pPr>
        <w:jc w:val="both"/>
        <w:rPr>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1703B8" w:rsidRPr="00B34637">
        <w:rPr>
          <w:szCs w:val="24"/>
        </w:rPr>
        <w:t xml:space="preserve">Kėdainių rajono savivaldybės Akademijos kadastrinės vietovės </w:t>
      </w:r>
      <w:proofErr w:type="spellStart"/>
      <w:r w:rsidR="001703B8" w:rsidRPr="00B34637">
        <w:rPr>
          <w:szCs w:val="24"/>
        </w:rPr>
        <w:t>Kruosto</w:t>
      </w:r>
      <w:proofErr w:type="spellEnd"/>
      <w:r w:rsidR="001703B8" w:rsidRPr="00B34637">
        <w:rPr>
          <w:szCs w:val="24"/>
        </w:rPr>
        <w:t xml:space="preserve"> sausinimo</w:t>
      </w:r>
      <w:r w:rsidR="001703B8">
        <w:rPr>
          <w:szCs w:val="24"/>
        </w:rPr>
        <w:t xml:space="preserve"> </w:t>
      </w:r>
      <w:r w:rsidR="001703B8" w:rsidRPr="00B34637">
        <w:rPr>
          <w:szCs w:val="24"/>
        </w:rPr>
        <w:t xml:space="preserve">sistemos melioracijos griovių ir juose esančių statinių rekonstrukcijos </w:t>
      </w:r>
      <w:r w:rsidR="001703B8" w:rsidRPr="00727CC8">
        <w:rPr>
          <w:szCs w:val="24"/>
        </w:rPr>
        <w:t>darbus</w:t>
      </w:r>
      <w:r w:rsidR="00DD21B5" w:rsidRPr="00727CC8">
        <w:rPr>
          <w:szCs w:val="24"/>
        </w:rPr>
        <w:t>, bei parengti išpildomąją nuotrauką.</w:t>
      </w:r>
      <w:r w:rsidR="0085675B">
        <w:rPr>
          <w:szCs w:val="24"/>
        </w:rPr>
        <w:t>,</w:t>
      </w:r>
      <w:r w:rsidR="00727CC8" w:rsidRPr="00727CC8">
        <w:rPr>
          <w:szCs w:val="24"/>
        </w:rPr>
        <w:t xml:space="preserve"> o Užsakovas įsipareigoja sudaryti Teikėjui būtinas sąlygas Darbams atlikti, Sutartyje numatyta tvarka priimti Darbų rezultatą  ir apmokėti už Darbus Sutartyje nustatyta tvarka ir terminais:</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77777777" w:rsidR="00573999" w:rsidRDefault="00573999" w:rsidP="00573999">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5579E" w14:textId="77777777" w:rsidR="00573999" w:rsidRDefault="00573999" w:rsidP="00573999">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1CDF7D" w14:textId="339B78EA" w:rsidR="00727CC8" w:rsidRDefault="00727CC8" w:rsidP="00573999">
      <w:pPr>
        <w:tabs>
          <w:tab w:val="left" w:pos="567"/>
        </w:tabs>
        <w:jc w:val="both"/>
        <w:rPr>
          <w:rFonts w:eastAsia="Calibri"/>
          <w:szCs w:val="24"/>
        </w:rPr>
      </w:pPr>
      <w:r>
        <w:rPr>
          <w:rFonts w:eastAsia="Calibri"/>
          <w:szCs w:val="24"/>
        </w:rPr>
        <w:tab/>
      </w:r>
    </w:p>
    <w:p w14:paraId="5CAF0759" w14:textId="40D70DD5" w:rsidR="005A7B1F" w:rsidRDefault="005A7B1F" w:rsidP="00573999">
      <w:pPr>
        <w:tabs>
          <w:tab w:val="left" w:pos="567"/>
        </w:tabs>
        <w:jc w:val="both"/>
        <w:rPr>
          <w:rFonts w:eastAsia="Calibri"/>
          <w:szCs w:val="24"/>
        </w:rPr>
      </w:pPr>
      <w:r>
        <w:rPr>
          <w:rFonts w:eastAsia="Calibri"/>
          <w:szCs w:val="24"/>
        </w:rPr>
        <w:lastRenderedPageBreak/>
        <w:tab/>
      </w:r>
      <w:r w:rsidRPr="00190F24">
        <w:rPr>
          <w:rFonts w:eastAsia="Calibri"/>
          <w:szCs w:val="24"/>
        </w:rPr>
        <w:t>2.</w:t>
      </w:r>
      <w:r w:rsidR="009C7B21">
        <w:rPr>
          <w:rFonts w:eastAsia="Calibri"/>
          <w:szCs w:val="24"/>
        </w:rPr>
        <w:t>4</w:t>
      </w:r>
      <w:r w:rsidRPr="00190F24">
        <w:rPr>
          <w:rFonts w:eastAsia="Calibri"/>
          <w:szCs w:val="24"/>
        </w:rPr>
        <w:t xml:space="preserve">. </w:t>
      </w:r>
      <w:r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39037149"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1703B8">
        <w:rPr>
          <w:rFonts w:cs="Times New Roman"/>
          <w:szCs w:val="24"/>
        </w:rPr>
        <w:t>4</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77777777" w:rsidR="00573999" w:rsidRDefault="00573999" w:rsidP="00573999">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037865A5" w14:textId="77777777" w:rsidR="00573999" w:rsidRDefault="00573999" w:rsidP="00573999">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CE02F5A" w14:textId="77777777" w:rsidR="00573999" w:rsidRDefault="00573999" w:rsidP="00573999">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3B3FE9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46B3251"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0E97DA65"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72A1FFEC"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4BE3F985" w14:textId="77777777" w:rsidR="00573999" w:rsidRDefault="00573999" w:rsidP="00573999">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296CC8B7" w:rsidR="005A7B1F" w:rsidRDefault="005A7B1F" w:rsidP="00573999">
      <w:pPr>
        <w:pStyle w:val="Stilius3"/>
        <w:spacing w:before="0"/>
        <w:ind w:firstLine="567"/>
        <w:rPr>
          <w:lang w:val="lt-LT"/>
        </w:rPr>
      </w:pPr>
      <w:r w:rsidRPr="005A7B1F">
        <w:rPr>
          <w:lang w:val="lt-LT"/>
        </w:rPr>
        <w:t>3.</w:t>
      </w:r>
      <w:r>
        <w:rPr>
          <w:lang w:val="lt-LT"/>
        </w:rPr>
        <w:t>6</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7DA33A53"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5A7B1F">
        <w:rPr>
          <w:rFonts w:eastAsia="Times New Roman" w:cs="Times New Roman"/>
          <w:szCs w:val="24"/>
        </w:rPr>
        <w:t>7</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lastRenderedPageBreak/>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77777777" w:rsidR="00573999" w:rsidRDefault="00573999" w:rsidP="00573999">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10634435" w14:textId="77777777" w:rsidR="00573999" w:rsidRDefault="00573999" w:rsidP="00573999">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7777777" w:rsidR="00573999" w:rsidRDefault="00573999" w:rsidP="00573999">
      <w:pPr>
        <w:widowControl/>
        <w:ind w:firstLine="851"/>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4D73318" w14:textId="77777777" w:rsidR="00573999" w:rsidRDefault="00573999" w:rsidP="00573999">
      <w:pPr>
        <w:widowControl/>
        <w:ind w:firstLine="567"/>
        <w:jc w:val="both"/>
        <w:rPr>
          <w:szCs w:val="24"/>
        </w:rPr>
      </w:pPr>
      <w:r>
        <w:rPr>
          <w:szCs w:val="24"/>
        </w:rPr>
        <w:t>4.6. Kiekvieno tarpinio mokėjimo suma sumažinama atėmus 5</w:t>
      </w:r>
      <w:r>
        <w:rPr>
          <w:szCs w:val="24"/>
          <w:lang w:val="en-US"/>
        </w:rPr>
        <w:t xml:space="preserve">% </w:t>
      </w:r>
      <w:r>
        <w:rPr>
          <w:szCs w:val="24"/>
        </w:rPr>
        <w:t>(penkių procentų) sulaikymą.</w:t>
      </w:r>
    </w:p>
    <w:p w14:paraId="2ED01BA7" w14:textId="77777777" w:rsidR="00573999" w:rsidRDefault="00573999" w:rsidP="00573999">
      <w:pPr>
        <w:widowControl/>
        <w:ind w:firstLine="567"/>
        <w:jc w:val="both"/>
        <w:rPr>
          <w:rFonts w:eastAsia="Calibri" w:cs="Times New Roman"/>
          <w:color w:val="FF0000"/>
          <w:szCs w:val="24"/>
        </w:rPr>
      </w:pPr>
      <w:r>
        <w:rPr>
          <w:szCs w:val="24"/>
        </w:rPr>
        <w:t xml:space="preserve">4.7.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77777777" w:rsidR="00573999" w:rsidRDefault="00573999" w:rsidP="00573999">
      <w:pPr>
        <w:ind w:firstLine="567"/>
        <w:jc w:val="both"/>
        <w:rPr>
          <w:szCs w:val="24"/>
        </w:rPr>
      </w:pPr>
      <w:r>
        <w:rPr>
          <w:rFonts w:eastAsia="Calibri" w:cs="Times New Roman"/>
          <w:szCs w:val="24"/>
        </w:rPr>
        <w:t xml:space="preserve">4.8.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77777777" w:rsidR="00573999" w:rsidRDefault="00573999" w:rsidP="00573999">
      <w:pPr>
        <w:widowControl/>
        <w:ind w:firstLine="567"/>
        <w:jc w:val="both"/>
        <w:rPr>
          <w:rFonts w:eastAsia="Calibri" w:cs="Times New Roman"/>
          <w:szCs w:val="24"/>
        </w:rPr>
      </w:pPr>
      <w:r>
        <w:rPr>
          <w:rFonts w:cs="Times New Roman"/>
          <w:szCs w:val="24"/>
        </w:rPr>
        <w:t>4.9. Užsakovas turi teisę sulaikyti mokėjimus už atliktus Darbus, jeigu dėl Rangovo kaltės:</w:t>
      </w:r>
    </w:p>
    <w:p w14:paraId="354D0BA4" w14:textId="77777777" w:rsidR="00573999" w:rsidRDefault="00573999" w:rsidP="00573999">
      <w:pPr>
        <w:widowControl/>
        <w:ind w:firstLine="851"/>
        <w:jc w:val="both"/>
        <w:rPr>
          <w:rFonts w:eastAsia="Calibri" w:cs="Times New Roman"/>
          <w:szCs w:val="24"/>
        </w:rPr>
      </w:pPr>
      <w:r>
        <w:rPr>
          <w:rFonts w:cs="Times New Roman"/>
          <w:szCs w:val="24"/>
        </w:rPr>
        <w:t>4.9.1. nepašalinti Darbų trūkumai;</w:t>
      </w:r>
    </w:p>
    <w:p w14:paraId="67C46B37" w14:textId="77777777" w:rsidR="00573999" w:rsidRDefault="00573999" w:rsidP="00573999">
      <w:pPr>
        <w:widowControl/>
        <w:ind w:firstLine="851"/>
        <w:jc w:val="both"/>
        <w:rPr>
          <w:rFonts w:eastAsia="Calibri" w:cs="Times New Roman"/>
          <w:szCs w:val="24"/>
        </w:rPr>
      </w:pPr>
      <w:r>
        <w:rPr>
          <w:rFonts w:cs="Times New Roman"/>
          <w:szCs w:val="24"/>
        </w:rPr>
        <w:t>4.9.2. Užsakovui padaryti nuostoliai;</w:t>
      </w:r>
    </w:p>
    <w:p w14:paraId="7552189C" w14:textId="77777777" w:rsidR="00573999" w:rsidRDefault="00573999" w:rsidP="00573999">
      <w:pPr>
        <w:widowControl/>
        <w:ind w:firstLine="851"/>
        <w:jc w:val="both"/>
        <w:rPr>
          <w:rFonts w:eastAsia="Calibri" w:cs="Times New Roman"/>
          <w:szCs w:val="24"/>
        </w:rPr>
      </w:pPr>
      <w:r>
        <w:rPr>
          <w:rFonts w:cs="Times New Roman"/>
          <w:szCs w:val="24"/>
        </w:rPr>
        <w:t>4.9.3. kitais Sutartyje numatytais atvejais.</w:t>
      </w:r>
    </w:p>
    <w:p w14:paraId="69870DA2" w14:textId="77777777" w:rsidR="00573999" w:rsidRDefault="00573999" w:rsidP="00573999">
      <w:pPr>
        <w:widowControl/>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p>
    <w:p w14:paraId="02C77C60" w14:textId="382B1922" w:rsidR="00D50A1E" w:rsidRDefault="00D50A1E" w:rsidP="00D50A1E">
      <w:pPr>
        <w:numPr>
          <w:ilvl w:val="12"/>
          <w:numId w:val="0"/>
        </w:numPr>
        <w:ind w:firstLine="567"/>
        <w:jc w:val="both"/>
        <w:rPr>
          <w:rFonts w:cs="Times New Roman"/>
          <w:szCs w:val="24"/>
        </w:rPr>
      </w:pPr>
      <w:r>
        <w:rPr>
          <w:rFonts w:cs="Times New Roman"/>
          <w:szCs w:val="24"/>
        </w:rPr>
        <w:t>4.11.</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7D22EE84" w14:textId="28C8C2E7" w:rsidR="00573999" w:rsidRDefault="00573999" w:rsidP="00573999">
      <w:pPr>
        <w:ind w:firstLine="567"/>
        <w:jc w:val="both"/>
        <w:rPr>
          <w:rFonts w:cs="Times New Roman"/>
          <w:szCs w:val="24"/>
        </w:rPr>
      </w:pPr>
      <w:r>
        <w:rPr>
          <w:rFonts w:cs="Times New Roman"/>
          <w:szCs w:val="24"/>
        </w:rPr>
        <w:t>4.1</w:t>
      </w:r>
      <w:r w:rsidR="00D50A1E">
        <w:rPr>
          <w:rFonts w:cs="Times New Roman"/>
          <w:szCs w:val="24"/>
        </w:rPr>
        <w:t>2</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w:t>
      </w:r>
      <w:r>
        <w:rPr>
          <w:rFonts w:cs="Times New Roman"/>
          <w:szCs w:val="24"/>
        </w:rPr>
        <w:lastRenderedPageBreak/>
        <w:t xml:space="preserve">Rangovas turi teisę prieštarauti nepagrįstiems mokėjimams ūkio subjektui/subrangovui trišalėje sutartyje nustatyta tvarka. </w:t>
      </w:r>
    </w:p>
    <w:p w14:paraId="2690F334" w14:textId="467EED7A" w:rsidR="005A7B1F" w:rsidRDefault="005A7B1F" w:rsidP="00573999">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27F2880A"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w:t>
      </w:r>
      <w:r w:rsidR="00D50A1E" w:rsidRPr="00F05BB0">
        <w:rPr>
          <w:rFonts w:cs="Times New Roman"/>
          <w:b/>
          <w:bCs/>
          <w:szCs w:val="24"/>
        </w:rPr>
        <w:t>jei didesnė – įrašoma pagal Rangovo pasiūlymo dokumentus</w:t>
      </w:r>
      <w:r w:rsidR="00D50A1E" w:rsidRPr="00F05BB0">
        <w:rPr>
          <w:rFonts w:cs="Times New Roman"/>
          <w:szCs w:val="24"/>
        </w:rPr>
        <w:t>), paslėptiems darbams – 10 metų garantiją. Garantiniu laikotarpiu, atsiradus atliktų darbų defektų, Rangovas  privalo šiuos defektus pašalinti savo lėšomis.</w:t>
      </w:r>
    </w:p>
    <w:p w14:paraId="5F249940" w14:textId="77777777"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573999">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432FE850" w14:textId="643C88D4" w:rsidR="00B562BE" w:rsidRPr="00B562BE" w:rsidRDefault="00B562BE" w:rsidP="00B562BE">
      <w:pPr>
        <w:tabs>
          <w:tab w:val="left" w:pos="343"/>
        </w:tabs>
        <w:ind w:firstLine="567"/>
        <w:jc w:val="both"/>
        <w:rPr>
          <w:rFonts w:cs="Times New Roman"/>
          <w:szCs w:val="24"/>
        </w:rPr>
      </w:pPr>
      <w:r w:rsidRPr="00B562BE">
        <w:rPr>
          <w:rFonts w:cs="Times New Roman"/>
          <w:szCs w:val="24"/>
        </w:rPr>
        <w:t>6.1.6.</w:t>
      </w:r>
      <w:r>
        <w:rPr>
          <w:rFonts w:cs="Times New Roman"/>
          <w:szCs w:val="24"/>
        </w:rPr>
        <w:t xml:space="preserve"> </w:t>
      </w:r>
      <w:r w:rsidRPr="00B562BE">
        <w:rPr>
          <w:rFonts w:cs="Times New Roman"/>
          <w:szCs w:val="24"/>
        </w:rPr>
        <w:t>nurodyti statybinių šiukšlių, grunto ir kitų nereikalingų (netinkamų) medžiagų išpylimo vietas;</w:t>
      </w:r>
    </w:p>
    <w:p w14:paraId="1FF017DC" w14:textId="778BFCCB" w:rsidR="00B562BE" w:rsidRDefault="00B562BE" w:rsidP="00B562BE">
      <w:pPr>
        <w:tabs>
          <w:tab w:val="left" w:pos="343"/>
        </w:tabs>
        <w:ind w:firstLine="567"/>
        <w:jc w:val="both"/>
        <w:rPr>
          <w:rFonts w:cs="Times New Roman"/>
          <w:szCs w:val="24"/>
        </w:rPr>
      </w:pPr>
      <w:r w:rsidRPr="00B562BE">
        <w:rPr>
          <w:rFonts w:cs="Times New Roman"/>
          <w:szCs w:val="24"/>
        </w:rPr>
        <w:t>6.1.7.</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73A5456F" w14:textId="77777777" w:rsidR="00573999"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w:t>
      </w:r>
      <w:r>
        <w:rPr>
          <w:rFonts w:cs="Times New Roman"/>
          <w:szCs w:val="24"/>
        </w:rPr>
        <w:lastRenderedPageBreak/>
        <w:t xml:space="preserve">reikalavimus ir pagal formą, nustatytą šio reglamento 6 priedo 4 lentelėje „Lokalinė sąmata“.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Skelbimuose taip pat nurodoma data ir laikas, vieta (adresas), kur naudotojai gali susitikti su rangovu dėl grafiko koregavimo, rangovo telefonas ir el. paštas.</w:t>
      </w:r>
      <w:bookmarkStart w:id="3" w:name="part_e6759d041b104b6487f52681913c9b63"/>
      <w:bookmarkEnd w:id="3"/>
      <w:r w:rsidR="007A0A6B">
        <w:rPr>
          <w:rFonts w:cs="Times New Roman"/>
          <w:szCs w:val="24"/>
        </w:rPr>
        <w:t xml:space="preserve"> </w:t>
      </w:r>
      <w:r w:rsidR="005C5920" w:rsidRPr="005C5920">
        <w:rPr>
          <w:rFonts w:cs="Times New Roman"/>
          <w:szCs w:val="24"/>
        </w:rPr>
        <w:t>Seniūnijos (-jų), kurios (-</w:t>
      </w:r>
      <w:proofErr w:type="spellStart"/>
      <w:r w:rsidR="005C5920" w:rsidRPr="005C5920">
        <w:rPr>
          <w:rFonts w:cs="Times New Roman"/>
          <w:szCs w:val="24"/>
        </w:rPr>
        <w:t>ių</w:t>
      </w:r>
      <w:proofErr w:type="spellEnd"/>
      <w:r w:rsidR="005C5920" w:rsidRPr="005C5920">
        <w:rPr>
          <w:rFonts w:cs="Times New Roman"/>
          <w:szCs w:val="24"/>
        </w:rPr>
        <w:t>)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4E53C6">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652AB26" w14:textId="77777777" w:rsidR="00A81CBE" w:rsidRDefault="00573999" w:rsidP="00A81CBE">
      <w:pPr>
        <w:numPr>
          <w:ilvl w:val="12"/>
          <w:numId w:val="0"/>
        </w:numPr>
        <w:ind w:firstLine="567"/>
        <w:jc w:val="both"/>
        <w:rPr>
          <w:rFonts w:cs="Times New Roman"/>
          <w:szCs w:val="24"/>
        </w:rPr>
      </w:pPr>
      <w:r>
        <w:rPr>
          <w:rFonts w:cs="Times New Roman"/>
          <w:szCs w:val="24"/>
        </w:rPr>
        <w:lastRenderedPageBreak/>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01CE9E9" w14:textId="3748FE5B" w:rsidR="00A81CBE" w:rsidRDefault="00573999" w:rsidP="00A81CBE">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xml:space="preserve">. </w:t>
      </w:r>
      <w:r w:rsidR="00A81CBE">
        <w:rPr>
          <w:rFonts w:cs="Times New Roman"/>
          <w:szCs w:val="24"/>
        </w:rPr>
        <w:t xml:space="preserve">Rangovas privalo pateikti naudojamų medžiagų ir gaminių deklaracijas ir sertifikatus ir Įrangos eksploatacijos ir priežiūros instrukcijos. Pateiktos instrukcijos turi būti pakankamai </w:t>
      </w:r>
    </w:p>
    <w:p w14:paraId="113C07BD" w14:textId="1D258251" w:rsidR="00573999" w:rsidRDefault="00A81CBE" w:rsidP="00A81CBE">
      <w:pPr>
        <w:jc w:val="both"/>
        <w:rPr>
          <w:rFonts w:eastAsia="Times New Roman" w:cs="Times New Roman"/>
          <w:color w:val="000000"/>
          <w:szCs w:val="24"/>
          <w:lang w:eastAsia="en-US"/>
        </w:rPr>
      </w:pPr>
      <w:r>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Pr="00520BDF">
        <w:rPr>
          <w:rFonts w:eastAsia="Times New Roman" w:cs="Times New Roman"/>
          <w:color w:val="000000"/>
          <w:szCs w:val="24"/>
          <w:lang w:eastAsia="en-US"/>
        </w:rPr>
        <w:t xml:space="preserve"> </w:t>
      </w:r>
      <w:r>
        <w:rPr>
          <w:rFonts w:eastAsia="Times New Roman" w:cs="Times New Roman"/>
          <w:color w:val="000000"/>
          <w:szCs w:val="24"/>
          <w:lang w:eastAsia="en-US"/>
        </w:rPr>
        <w:t>K</w:t>
      </w:r>
      <w:r w:rsidRPr="00520BDF">
        <w:rPr>
          <w:rFonts w:eastAsia="Times New Roman" w:cs="Times New Roman"/>
          <w:color w:val="000000"/>
          <w:szCs w:val="24"/>
          <w:lang w:eastAsia="en-US"/>
        </w:rPr>
        <w:t>artu su Darbų perdavimo-priėmimo aktu pateikti Užsakovui išpildomąsias nuotraukas, parengtas kadastrinių matavimų bylas su  patikra.</w:t>
      </w:r>
    </w:p>
    <w:p w14:paraId="742169D0" w14:textId="22914C5F" w:rsidR="00A81CBE" w:rsidRDefault="00A81CBE" w:rsidP="00A81CBE">
      <w:pPr>
        <w:numPr>
          <w:ilvl w:val="12"/>
          <w:numId w:val="0"/>
        </w:numPr>
        <w:ind w:firstLine="567"/>
        <w:jc w:val="both"/>
        <w:rPr>
          <w:rFonts w:cs="Times New Roman"/>
          <w:szCs w:val="24"/>
        </w:rPr>
      </w:pPr>
      <w:r>
        <w:rPr>
          <w:rFonts w:cs="Times New Roman"/>
          <w:szCs w:val="24"/>
        </w:rPr>
        <w:t>6.2.15.</w:t>
      </w:r>
      <w:r w:rsidRPr="00D73F89">
        <w:rPr>
          <w:kern w:val="2"/>
          <w:szCs w:val="24"/>
          <w14:ligatures w14:val="standardContextual"/>
        </w:rPr>
        <w:t xml:space="preserve"> </w:t>
      </w:r>
      <w:r>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0C2E0452"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2C77FEC4"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8</w:t>
      </w:r>
      <w:r>
        <w:rPr>
          <w:rFonts w:cs="Times New Roman"/>
          <w:szCs w:val="24"/>
        </w:rPr>
        <w:t>. Užsakovui paprašius, suteikti visą būtiną informaciją apie Darbų eigą.</w:t>
      </w:r>
    </w:p>
    <w:p w14:paraId="5C7391DF" w14:textId="3F4749CD"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9</w:t>
      </w:r>
      <w:r>
        <w:rPr>
          <w:rFonts w:cs="Times New Roman"/>
          <w:szCs w:val="24"/>
        </w:rPr>
        <w:t>. Rangovas privalo pašalinti pašalines ir nereikalingas statybines medžiagas, gaminius, mechanizmus ir įrangą iš Darbų atlikimo vietos iki darbų pridavimo – priėmimo  dienos.</w:t>
      </w:r>
    </w:p>
    <w:p w14:paraId="58AFFEBD" w14:textId="4B2C1222"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20</w:t>
      </w:r>
      <w:r>
        <w:rPr>
          <w:rFonts w:cs="Times New Roman"/>
          <w:szCs w:val="24"/>
        </w:rPr>
        <w:t>. Rangovas savo sąskaita atlyginti nuostolius, kurie atsirado dėl netinkamo Darbų vykdymo.</w:t>
      </w:r>
    </w:p>
    <w:p w14:paraId="72CC739F" w14:textId="4233514B" w:rsidR="00573999" w:rsidRDefault="00573999" w:rsidP="00573999">
      <w:pPr>
        <w:ind w:firstLine="567"/>
        <w:jc w:val="both"/>
        <w:rPr>
          <w:b/>
          <w:bCs/>
          <w:szCs w:val="24"/>
        </w:rPr>
      </w:pPr>
      <w:r>
        <w:rPr>
          <w:szCs w:val="24"/>
        </w:rPr>
        <w:t>6.2.</w:t>
      </w:r>
      <w:r w:rsidR="001E3B9A">
        <w:rPr>
          <w:szCs w:val="24"/>
        </w:rPr>
        <w:t>2</w:t>
      </w:r>
      <w:r w:rsidR="00D00FD1">
        <w:rPr>
          <w:szCs w:val="24"/>
        </w:rPr>
        <w:t>1</w:t>
      </w:r>
      <w:r>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laikomas esminiu Sutarties pažeidimu.</w:t>
      </w:r>
    </w:p>
    <w:p w14:paraId="287C883C" w14:textId="54A23706"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Pr>
          <w:b/>
          <w:bCs/>
          <w:szCs w:val="24"/>
        </w:rPr>
        <w:t>laikomas esminiu Sutarties pažeidimu.</w:t>
      </w:r>
    </w:p>
    <w:p w14:paraId="4C8327CF" w14:textId="37B589CD" w:rsidR="00573999" w:rsidRDefault="00573999" w:rsidP="00573999">
      <w:pPr>
        <w:ind w:firstLine="567"/>
        <w:jc w:val="both"/>
        <w:rPr>
          <w:rFonts w:asciiTheme="majorBidi" w:hAnsiTheme="majorBidi" w:cstheme="majorBidi"/>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Pr>
          <w:rFonts w:asciiTheme="majorBidi" w:hAnsiTheme="majorBidi" w:cstheme="majorBidi"/>
          <w:szCs w:val="24"/>
        </w:rPr>
        <w:t xml:space="preserve">Rangovas, vykdant Sutartį, privalo užtikrinti, kad Rangos darbai, būtų vykdomi taikant Europos Sąjungos aplinkos apsaugos vadybos ir audito sistemą (angl. </w:t>
      </w:r>
      <w:proofErr w:type="spellStart"/>
      <w:r>
        <w:rPr>
          <w:rFonts w:asciiTheme="majorBidi" w:hAnsiTheme="majorBidi" w:cstheme="majorBidi"/>
          <w:szCs w:val="24"/>
        </w:rPr>
        <w:t>Eco</w:t>
      </w:r>
      <w:proofErr w:type="spellEnd"/>
      <w:r>
        <w:rPr>
          <w:rFonts w:asciiTheme="majorBidi" w:hAnsiTheme="majorBidi" w:cstheme="majorBidi"/>
          <w:szCs w:val="24"/>
        </w:rPr>
        <w:t>–</w:t>
      </w:r>
      <w:proofErr w:type="spellStart"/>
      <w:r>
        <w:rPr>
          <w:rFonts w:asciiTheme="majorBidi" w:hAnsiTheme="majorBidi" w:cstheme="majorBidi"/>
          <w:szCs w:val="24"/>
        </w:rPr>
        <w:t>Management</w:t>
      </w:r>
      <w:proofErr w:type="spellEnd"/>
      <w:r>
        <w:rPr>
          <w:rFonts w:asciiTheme="majorBidi" w:hAnsiTheme="majorBidi" w:cstheme="majorBidi"/>
          <w:szCs w:val="24"/>
        </w:rPr>
        <w:t xml:space="preserve"> </w:t>
      </w:r>
      <w:proofErr w:type="spellStart"/>
      <w:r>
        <w:rPr>
          <w:rFonts w:asciiTheme="majorBidi" w:hAnsiTheme="majorBidi" w:cstheme="majorBidi"/>
          <w:szCs w:val="24"/>
        </w:rPr>
        <w:t>and</w:t>
      </w:r>
      <w:proofErr w:type="spellEnd"/>
      <w:r>
        <w:rPr>
          <w:rFonts w:asciiTheme="majorBidi" w:hAnsiTheme="majorBidi" w:cstheme="majorBidi"/>
          <w:szCs w:val="24"/>
        </w:rPr>
        <w:t xml:space="preserve"> </w:t>
      </w:r>
      <w:proofErr w:type="spellStart"/>
      <w:r>
        <w:rPr>
          <w:rFonts w:asciiTheme="majorBidi" w:hAnsiTheme="majorBidi" w:cstheme="majorBidi"/>
          <w:szCs w:val="24"/>
        </w:rPr>
        <w:t>Audit</w:t>
      </w:r>
      <w:proofErr w:type="spellEnd"/>
      <w:r>
        <w:rPr>
          <w:rFonts w:asciiTheme="majorBidi" w:hAnsiTheme="majorBidi" w:cstheme="majorBidi"/>
          <w:szCs w:val="24"/>
        </w:rPr>
        <w:t xml:space="preserve"> </w:t>
      </w:r>
      <w:proofErr w:type="spellStart"/>
      <w:r>
        <w:rPr>
          <w:rFonts w:asciiTheme="majorBidi" w:hAnsiTheme="majorBidi" w:cstheme="majorBidi"/>
          <w:szCs w:val="24"/>
        </w:rPr>
        <w:t>Scheme</w:t>
      </w:r>
      <w:proofErr w:type="spellEnd"/>
      <w:r>
        <w:rPr>
          <w:rFonts w:asciiTheme="majorBidi" w:hAnsiTheme="majorBidi" w:cstheme="majorBidi"/>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szCs w:val="24"/>
        </w:rPr>
        <w:t>arba kitus rangovo pateiktus lygiaverčius įrodymus</w:t>
      </w:r>
      <w:r>
        <w:rPr>
          <w:rFonts w:asciiTheme="majorBidi" w:hAnsiTheme="majorBidi" w:cstheme="majorBidi"/>
          <w:szCs w:val="24"/>
        </w:rPr>
        <w:t>.</w:t>
      </w:r>
    </w:p>
    <w:p w14:paraId="4BA2F32A" w14:textId="71EE6524" w:rsidR="00D00FD1" w:rsidRDefault="00573999" w:rsidP="00D00FD1">
      <w:pPr>
        <w:ind w:firstLine="567"/>
        <w:jc w:val="both"/>
        <w:rPr>
          <w:rFonts w:asciiTheme="majorBidi" w:hAnsiTheme="majorBidi" w:cstheme="majorBidi"/>
          <w:b/>
          <w:bCs/>
          <w:szCs w:val="24"/>
          <w:shd w:val="clear" w:color="auto" w:fill="FFFFFF"/>
        </w:rPr>
      </w:pPr>
      <w:r>
        <w:rPr>
          <w:rFonts w:asciiTheme="majorBidi" w:hAnsiTheme="majorBidi" w:cstheme="majorBidi"/>
          <w:szCs w:val="24"/>
        </w:rPr>
        <w:t>6.2.2</w:t>
      </w:r>
      <w:r w:rsidR="00D00FD1">
        <w:rPr>
          <w:rFonts w:asciiTheme="majorBidi" w:hAnsiTheme="majorBidi" w:cstheme="majorBidi"/>
          <w:szCs w:val="24"/>
        </w:rPr>
        <w:t>4</w:t>
      </w:r>
      <w:r>
        <w:rPr>
          <w:rFonts w:asciiTheme="majorBidi" w:hAnsiTheme="majorBidi" w:cstheme="majorBidi"/>
          <w:szCs w:val="24"/>
        </w:rPr>
        <w:t>.</w:t>
      </w:r>
      <w:r w:rsidR="00D00FD1">
        <w:rPr>
          <w:rFonts w:asciiTheme="majorBidi" w:hAnsiTheme="majorBidi" w:cstheme="majorBidi"/>
          <w:szCs w:val="24"/>
        </w:rPr>
        <w:t xml:space="preserve"> </w:t>
      </w:r>
      <w:r>
        <w:rPr>
          <w:rFonts w:asciiTheme="majorBidi" w:hAnsiTheme="majorBidi" w:cstheme="majorBidi"/>
          <w:szCs w:val="24"/>
        </w:rPr>
        <w:t>Užsakovui paprašius, 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6CA73567" w14:textId="336A1085" w:rsidR="00573999" w:rsidRDefault="00D00FD1" w:rsidP="00213521">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Pr>
          <w:rFonts w:asciiTheme="majorBidi" w:hAnsiTheme="majorBidi" w:cstheme="majorBidi"/>
          <w:szCs w:val="24"/>
          <w:shd w:val="clear" w:color="auto" w:fill="FFFFFF"/>
        </w:rPr>
        <w:t>5</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 xml:space="preserve">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Sutarties 3.1. punkte numatytą terminą, Rangovas apmoka papildomas </w:t>
      </w:r>
      <w:r w:rsidRPr="00D00FD1">
        <w:rPr>
          <w:rFonts w:asciiTheme="majorBidi" w:hAnsiTheme="majorBidi" w:cstheme="majorBidi"/>
          <w:szCs w:val="24"/>
          <w:shd w:val="clear" w:color="auto" w:fill="FFFFFF"/>
        </w:rPr>
        <w:lastRenderedPageBreak/>
        <w:t>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esminiu Sutarties pažeidimu.</w:t>
      </w:r>
    </w:p>
    <w:p w14:paraId="70B37D56" w14:textId="77777777" w:rsidR="00213521" w:rsidRPr="00213521" w:rsidRDefault="00213521" w:rsidP="00213521">
      <w:pPr>
        <w:ind w:firstLine="567"/>
        <w:jc w:val="both"/>
        <w:rPr>
          <w:rFonts w:asciiTheme="majorBidi" w:hAnsiTheme="majorBidi" w:cstheme="majorBidi"/>
          <w:szCs w:val="24"/>
          <w:shd w:val="clear" w:color="auto" w:fill="FFFFFF"/>
        </w:rPr>
      </w:pPr>
    </w:p>
    <w:p w14:paraId="65B8B364" w14:textId="4F881633"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85E95BF"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0,03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579ACFCB"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B444A2B" w14:textId="6A594596"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Sutarties </w:t>
      </w:r>
      <w:r w:rsidR="00573999">
        <w:rPr>
          <w:rFonts w:cs="Times New Roman"/>
          <w:szCs w:val="24"/>
        </w:rPr>
        <w:t>1 priedą „Veiklos sąrašas“, moka Užsakovui 0,03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4FBA83F" w14:textId="379A3DD6" w:rsidR="00573999" w:rsidRDefault="00213521" w:rsidP="00573999">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357238F4" w14:textId="77777777" w:rsidR="00573999" w:rsidRPr="00353E4E" w:rsidRDefault="00573999" w:rsidP="00573999">
      <w:pPr>
        <w:jc w:val="both"/>
        <w:rPr>
          <w:rFonts w:cs="Times New Roman"/>
          <w:color w:val="00B0F0"/>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573999">
      <w:pPr>
        <w:ind w:firstLine="720"/>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33B5BCA3"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.3.2. Atskirų darbų (ar jų dalies) pakeitimas kitais darbais, Rangovui pateikus nevykdytinų </w:t>
      </w:r>
      <w:r w:rsidR="00573999">
        <w:rPr>
          <w:rFonts w:cs="Times New Roman"/>
          <w:szCs w:val="24"/>
        </w:rPr>
        <w:lastRenderedPageBreak/>
        <w:t>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573999">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2F747EA0" w:rsidR="00573999" w:rsidRDefault="00BC5A99" w:rsidP="00573999">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07B56077" w:rsidR="0032587A" w:rsidRDefault="00BF77EB" w:rsidP="0032587A">
      <w:pPr>
        <w:tabs>
          <w:tab w:val="left" w:pos="0"/>
        </w:tabs>
        <w:ind w:firstLine="567"/>
        <w:jc w:val="both"/>
        <w:rPr>
          <w:rFonts w:cs="Times New Roman"/>
          <w:szCs w:val="24"/>
        </w:rPr>
      </w:pPr>
      <w:r w:rsidRPr="00190F24">
        <w:rPr>
          <w:rFonts w:cs="Times New Roman"/>
          <w:szCs w:val="24"/>
        </w:rPr>
        <w:t>9</w:t>
      </w:r>
      <w:r w:rsidR="00573999" w:rsidRPr="00190F24">
        <w:rPr>
          <w:rFonts w:cs="Times New Roman"/>
          <w:szCs w:val="24"/>
        </w:rPr>
        <w:t xml:space="preserve">.1. Rangovas ne vėliau kaip per 10 (dešimt) darbo dienų nuo Sutarties pasirašymo dienos </w:t>
      </w:r>
      <w:r w:rsidR="00573999" w:rsidRPr="00190F24">
        <w:rPr>
          <w:szCs w:val="24"/>
        </w:rPr>
        <w:t>privalo Užsakovui pateikti Sutarties įvykdymo užtikrinimą: užstatą</w:t>
      </w:r>
      <w:r w:rsidR="00573999" w:rsidRPr="00190F24">
        <w:rPr>
          <w:rFonts w:cs="Times New Roman"/>
          <w:szCs w:val="24"/>
        </w:rPr>
        <w:t xml:space="preserve"> </w:t>
      </w:r>
      <w:r w:rsidR="0032587A" w:rsidRPr="00190F24">
        <w:rPr>
          <w:rFonts w:cs="Times New Roman"/>
          <w:szCs w:val="24"/>
        </w:rPr>
        <w:t>lygų</w:t>
      </w:r>
      <w:r w:rsidR="00573999" w:rsidRPr="00190F24">
        <w:rPr>
          <w:rFonts w:cs="Times New Roman"/>
          <w:szCs w:val="24"/>
        </w:rPr>
        <w:t xml:space="preserve"> </w:t>
      </w:r>
      <w:r w:rsidR="00573999">
        <w:rPr>
          <w:rFonts w:cs="Times New Roman"/>
          <w:szCs w:val="24"/>
        </w:rPr>
        <w:t>– 3 procentai  bendros Sutarties kainos be PVM, nurodytos Sutarties 2.1. punkte. Jei Rangovas per šį laikotarpį Sutarties įvykdymo užtikrinimo nepateikia, laikoma, kad Rangovas atsisakė sudaryti Sutartį.</w:t>
      </w:r>
    </w:p>
    <w:p w14:paraId="43C5F02C" w14:textId="1AAB1DC7" w:rsidR="005A1E40" w:rsidRP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.2.</w:t>
      </w:r>
      <w:r w:rsidR="005A1E40">
        <w:rPr>
          <w:rFonts w:cs="Times New Roman"/>
          <w:szCs w:val="24"/>
        </w:rPr>
        <w:t xml:space="preserve"> </w:t>
      </w:r>
      <w:r w:rsidR="00353E4E" w:rsidRPr="00190F24">
        <w:rPr>
          <w:rFonts w:cs="Times New Roman"/>
          <w:szCs w:val="24"/>
        </w:rPr>
        <w:t xml:space="preserve">Užstatas pervedamas į </w:t>
      </w:r>
      <w:r w:rsidR="005A1E40" w:rsidRPr="00190F24">
        <w:rPr>
          <w:rFonts w:cs="Times New Roman"/>
          <w:szCs w:val="24"/>
        </w:rPr>
        <w:t xml:space="preserve">Kėdainių </w:t>
      </w:r>
      <w:r w:rsidR="005A1E40" w:rsidRPr="005A1E40">
        <w:rPr>
          <w:rFonts w:cs="Times New Roman"/>
          <w:szCs w:val="24"/>
        </w:rPr>
        <w:t>rajono savivaldybės administracijos (įm. kodas 188768545) sąskaitą LT50 7044 0600 0619 7013 AB SEB banke, banko kodas 70440.</w:t>
      </w:r>
    </w:p>
    <w:p w14:paraId="1B9BAA11" w14:textId="6092E2F8" w:rsidR="005A1E40" w:rsidRPr="00190F24" w:rsidRDefault="00BF77EB" w:rsidP="005A1E40">
      <w:pPr>
        <w:tabs>
          <w:tab w:val="left" w:pos="0"/>
        </w:tabs>
        <w:ind w:firstLine="567"/>
        <w:jc w:val="both"/>
        <w:rPr>
          <w:rFonts w:cs="Times New Roman"/>
          <w:szCs w:val="24"/>
        </w:rPr>
      </w:pPr>
      <w:r w:rsidRPr="00190F24">
        <w:rPr>
          <w:rFonts w:cs="Times New Roman"/>
          <w:szCs w:val="24"/>
        </w:rPr>
        <w:t>9</w:t>
      </w:r>
      <w:r w:rsidR="005A1E40" w:rsidRPr="00190F24">
        <w:rPr>
          <w:rFonts w:cs="Times New Roman"/>
          <w:szCs w:val="24"/>
        </w:rPr>
        <w:t>.3. Sutarties įvykdymo užtikrinimo sumos sumokėjimas neturi būti siejamas su visišku Užsakovo patirtų nuostolių atlyginimu ir neatleidžia Rangovo nuo pareigos juos atlyginti visa apimtimi.</w:t>
      </w:r>
    </w:p>
    <w:p w14:paraId="561D4A6E" w14:textId="4BCA222F" w:rsid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.4.</w:t>
      </w:r>
      <w:r w:rsidR="005A1E40">
        <w:rPr>
          <w:rFonts w:cs="Times New Roman"/>
          <w:szCs w:val="24"/>
        </w:rPr>
        <w:t xml:space="preserve"> </w:t>
      </w:r>
      <w:r w:rsidR="005A1E40" w:rsidRPr="005A1E40">
        <w:rPr>
          <w:rFonts w:cs="Times New Roman"/>
          <w:szCs w:val="24"/>
        </w:rPr>
        <w:t>Sutarties įvykdymo užtikrinimas grąžinamas kartu su galutiniu mokėjimu.</w:t>
      </w:r>
    </w:p>
    <w:p w14:paraId="6658ED1D" w14:textId="7C7726C4" w:rsidR="00573999" w:rsidRDefault="00573999" w:rsidP="00573999">
      <w:pPr>
        <w:tabs>
          <w:tab w:val="left" w:pos="0"/>
        </w:tabs>
        <w:ind w:firstLine="567"/>
        <w:jc w:val="both"/>
        <w:rPr>
          <w:rFonts w:cs="Times New Roman"/>
          <w:szCs w:val="24"/>
        </w:rPr>
      </w:pPr>
    </w:p>
    <w:p w14:paraId="418EF7DD" w14:textId="77777777" w:rsidR="00573999" w:rsidRDefault="00573999" w:rsidP="00573999">
      <w:pPr>
        <w:tabs>
          <w:tab w:val="left" w:pos="0"/>
        </w:tabs>
        <w:ind w:firstLine="567"/>
        <w:jc w:val="both"/>
        <w:rPr>
          <w:rFonts w:cs="Times New Roman"/>
          <w:szCs w:val="24"/>
        </w:rPr>
      </w:pPr>
    </w:p>
    <w:p w14:paraId="559C9C02" w14:textId="30F4B1D9" w:rsidR="00573999" w:rsidRDefault="00BC5A99" w:rsidP="00573999">
      <w:pPr>
        <w:pStyle w:val="SSutSkyrius"/>
        <w:spacing w:before="0" w:after="0"/>
        <w:jc w:val="center"/>
        <w:rPr>
          <w:color w:val="auto"/>
          <w:sz w:val="24"/>
        </w:rPr>
      </w:pPr>
      <w:r>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377591F2" w:rsidR="00573999" w:rsidRDefault="00BC5A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8EF05ED" w:rsidR="00573999" w:rsidRDefault="00F24B12" w:rsidP="00573999">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77777777" w:rsidR="00BC5A99" w:rsidRPr="00FD7790" w:rsidRDefault="00BC5A99" w:rsidP="00BC5A99">
      <w:pPr>
        <w:tabs>
          <w:tab w:val="left" w:pos="567"/>
          <w:tab w:val="left" w:pos="851"/>
          <w:tab w:val="left" w:pos="992"/>
          <w:tab w:val="left" w:pos="1134"/>
        </w:tabs>
        <w:spacing w:line="276" w:lineRule="auto"/>
        <w:jc w:val="both"/>
        <w:rPr>
          <w:rFonts w:cs="Times New Roman"/>
          <w:szCs w:val="24"/>
        </w:rPr>
      </w:pPr>
      <w:r w:rsidRPr="00FD7790">
        <w:rPr>
          <w:rFonts w:cs="Times New Roman"/>
          <w:szCs w:val="24"/>
        </w:rPr>
        <w:lastRenderedPageBreak/>
        <w:t xml:space="preserve">         11.1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6A2B2D36" w:rsidR="00BC5A99" w:rsidRDefault="006011B7" w:rsidP="006011B7">
      <w:pPr>
        <w:numPr>
          <w:ilvl w:val="12"/>
          <w:numId w:val="0"/>
        </w:numPr>
        <w:ind w:firstLine="567"/>
        <w:jc w:val="both"/>
        <w:rPr>
          <w:rFonts w:cs="Times New Roman"/>
          <w:szCs w:val="24"/>
        </w:rPr>
      </w:pPr>
      <w:r w:rsidRPr="0052681C">
        <w:rPr>
          <w:rFonts w:cs="Times New Roman"/>
          <w:szCs w:val="24"/>
        </w:rPr>
        <w:t>1</w:t>
      </w:r>
      <w:r w:rsidR="00BC5A99">
        <w:rPr>
          <w:rFonts w:cs="Times New Roman"/>
          <w:szCs w:val="24"/>
        </w:rPr>
        <w:t>1</w:t>
      </w:r>
      <w:r w:rsidRPr="0052681C">
        <w:rPr>
          <w:rFonts w:cs="Times New Roman"/>
          <w:szCs w:val="24"/>
        </w:rPr>
        <w:t>.</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6.2.2</w:t>
      </w:r>
      <w:r>
        <w:rPr>
          <w:rFonts w:cs="Times New Roman"/>
          <w:szCs w:val="24"/>
        </w:rPr>
        <w:t>4</w:t>
      </w:r>
      <w:r w:rsidRPr="00BF716B">
        <w:rPr>
          <w:rFonts w:cs="Times New Roman"/>
          <w:szCs w:val="24"/>
        </w:rPr>
        <w:t>.</w:t>
      </w:r>
      <w:r>
        <w:rPr>
          <w:rFonts w:cs="Times New Roman"/>
          <w:szCs w:val="24"/>
        </w:rPr>
        <w:t>,6.2.25</w:t>
      </w:r>
      <w:r w:rsidRPr="00BF716B">
        <w:rPr>
          <w:rFonts w:cs="Times New Roman"/>
          <w:szCs w:val="24"/>
        </w:rPr>
        <w:t xml:space="preserve"> papunkčiuose</w:t>
      </w:r>
      <w:r w:rsidRPr="00F963D8">
        <w:rPr>
          <w:rFonts w:cs="Times New Roman"/>
          <w:szCs w:val="24"/>
        </w:rPr>
        <w:t xml:space="preserve">, </w:t>
      </w:r>
      <w:r w:rsidR="00F963D8" w:rsidRPr="00F963D8">
        <w:rPr>
          <w:rFonts w:cs="Times New Roman"/>
          <w:szCs w:val="24"/>
        </w:rPr>
        <w:t>7</w:t>
      </w:r>
      <w:r w:rsidRPr="00F963D8">
        <w:rPr>
          <w:rFonts w:cs="Times New Roman"/>
          <w:szCs w:val="24"/>
        </w:rPr>
        <w:t>.2.5.</w:t>
      </w:r>
      <w:r w:rsidR="00383B54">
        <w:rPr>
          <w:rFonts w:cs="Times New Roman"/>
          <w:szCs w:val="24"/>
        </w:rPr>
        <w:t xml:space="preserve"> </w:t>
      </w:r>
      <w:r w:rsidRPr="00BF716B">
        <w:rPr>
          <w:rFonts w:cs="Times New Roman"/>
          <w:szCs w:val="24"/>
        </w:rPr>
        <w:t>papunktyje</w:t>
      </w:r>
      <w:r>
        <w:rPr>
          <w:rFonts w:cs="Times New Roman"/>
          <w:szCs w:val="24"/>
        </w:rPr>
        <w:t xml:space="preserve"> ir </w:t>
      </w:r>
      <w:r w:rsidR="0090602F" w:rsidRPr="00301CFC">
        <w:rPr>
          <w:rFonts w:cs="Times New Roman"/>
          <w:szCs w:val="24"/>
        </w:rPr>
        <w:t>1</w:t>
      </w:r>
      <w:r w:rsidR="00301CFC" w:rsidRPr="00301CFC">
        <w:rPr>
          <w:rFonts w:cs="Times New Roman"/>
          <w:szCs w:val="24"/>
        </w:rPr>
        <w:t>3</w:t>
      </w:r>
      <w:r w:rsidR="0090602F" w:rsidRPr="00301CFC">
        <w:rPr>
          <w:rFonts w:cs="Times New Roman"/>
          <w:szCs w:val="24"/>
        </w:rPr>
        <w:t>.19</w:t>
      </w:r>
      <w:r w:rsidRPr="00301CFC">
        <w:rPr>
          <w:rFonts w:cs="Times New Roman"/>
          <w:szCs w:val="24"/>
        </w:rPr>
        <w:t xml:space="preserve"> punkte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ABCAD50"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 Užsakovas turi teisę nesikreipdamas į teismą vienašališkai nutraukti Sutartį (įspėjęs apie tai Rangovą prieš 14 kalendorinių dienų) ir pasinaudoti Sutarties įvykdymo užtikrinimu jeigu:</w:t>
      </w:r>
    </w:p>
    <w:p w14:paraId="2D630991"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 xml:space="preserve">11.5.1. Rangovas nesilaiko Sutarties 3.1 punkte nustatytų terminų, išskyrus atvejus, kai Darbų vykdyti neleidžia oro ir kitos nuo Rangovo nepriklausančios sąlygos ir tai Užsakovui suteikia pagrindą manyti, jog Darbai nebus užbaigti laiku; </w:t>
      </w:r>
    </w:p>
    <w:p w14:paraId="4E71FFBC"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6AD9627D"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11.5.3. Rangovas savo iniciatyva, nesant Užsakovo pritarimo, sustabdo Darbus daugiau kaip 20 kalendorinių dienų;</w:t>
      </w:r>
    </w:p>
    <w:p w14:paraId="7946AD90"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11.5.4. Rangovas nepajėgia vykdyti Sutarties įsipareigojimų ir nepateikia svarių įrodymų dėl Darbų vykdymo ateityje;</w:t>
      </w:r>
    </w:p>
    <w:p w14:paraId="1851AB85"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11.5.5.  dėl nenugalimos jėgos Darbai atidedami neribotam laikui;</w:t>
      </w:r>
    </w:p>
    <w:p w14:paraId="10591D5B"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11.5.6. Sutartis buvo pakeista pažeidžiant Viešųjų pirkimų įstatymo 89 straipsnį;</w:t>
      </w:r>
    </w:p>
    <w:p w14:paraId="5F566D2B"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11.5.7. paaiškėjo, kad Rangovas, turėjo būti pašalintas iš pirkimo procedūros pagal Viešųjų pirkimų įstatymo 46 straipsnio 1 dalį;</w:t>
      </w:r>
    </w:p>
    <w:p w14:paraId="4213775F" w14:textId="10EDCEB0" w:rsidR="0085675B" w:rsidRPr="005C3EE9" w:rsidRDefault="0085675B" w:rsidP="0085675B">
      <w:pPr>
        <w:numPr>
          <w:ilvl w:val="12"/>
          <w:numId w:val="0"/>
        </w:numPr>
        <w:ind w:firstLine="567"/>
        <w:jc w:val="both"/>
        <w:rPr>
          <w:rFonts w:cs="Times New Roman"/>
          <w:szCs w:val="24"/>
        </w:rPr>
      </w:pPr>
      <w:r w:rsidRPr="005C3EE9">
        <w:rPr>
          <w:rFonts w:cs="Times New Roman"/>
          <w:szCs w:val="24"/>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3F55AC4" w14:textId="77777777" w:rsidR="0085675B" w:rsidRPr="005C3EE9" w:rsidRDefault="0085675B" w:rsidP="0085675B">
      <w:pPr>
        <w:numPr>
          <w:ilvl w:val="12"/>
          <w:numId w:val="0"/>
        </w:numPr>
        <w:ind w:firstLine="567"/>
        <w:jc w:val="both"/>
        <w:rPr>
          <w:rFonts w:cs="Times New Roman"/>
          <w:szCs w:val="24"/>
        </w:rPr>
      </w:pPr>
      <w:r w:rsidRPr="005C3EE9">
        <w:rPr>
          <w:rFonts w:cs="Times New Roman"/>
          <w:szCs w:val="24"/>
        </w:rPr>
        <w:t>11.5.9. paaiškėjo Viešųjų pirkimų įstatymo 37 straipsnio 9 dalyje, 45 straipsnio 21 dalyje ir (ar) 47 straipsnio 9 dalyje nurodytos aplinkybės.</w:t>
      </w:r>
    </w:p>
    <w:p w14:paraId="0C9BB28C" w14:textId="77777777" w:rsidR="00646864" w:rsidRPr="005C3EE9" w:rsidRDefault="0085675B" w:rsidP="00646864">
      <w:pPr>
        <w:numPr>
          <w:ilvl w:val="12"/>
          <w:numId w:val="0"/>
        </w:numPr>
        <w:ind w:firstLine="567"/>
        <w:jc w:val="both"/>
        <w:rPr>
          <w:rFonts w:cs="Times New Roman"/>
          <w:szCs w:val="24"/>
        </w:rPr>
      </w:pPr>
      <w:r w:rsidRPr="005C3EE9">
        <w:rPr>
          <w:rFonts w:cs="Times New Roman"/>
          <w:szCs w:val="24"/>
        </w:rPr>
        <w:t>11.5.10. Rangovas nevykdo kitų pagrįstų raštiškų Užsakovo atstovų reikalavimų dėl šioje Sutartyje numatytų įsipareigojimų vykdymo;</w:t>
      </w:r>
    </w:p>
    <w:p w14:paraId="26E7F85A" w14:textId="1BFD55DF" w:rsidR="00BC5A99" w:rsidRPr="00646864" w:rsidRDefault="00BC5A99" w:rsidP="00646864">
      <w:pPr>
        <w:numPr>
          <w:ilvl w:val="12"/>
          <w:numId w:val="0"/>
        </w:numPr>
        <w:ind w:firstLine="567"/>
        <w:jc w:val="both"/>
        <w:rPr>
          <w:rFonts w:cs="Times New Roman"/>
          <w:szCs w:val="24"/>
        </w:rPr>
      </w:pPr>
      <w:r w:rsidRPr="005C3EE9">
        <w:rPr>
          <w:rFonts w:cs="Times New Roman"/>
          <w:szCs w:val="24"/>
        </w:rPr>
        <w:t>11.5.1</w:t>
      </w:r>
      <w:r w:rsidR="00646864" w:rsidRPr="005C3EE9">
        <w:rPr>
          <w:rFonts w:cs="Times New Roman"/>
          <w:szCs w:val="24"/>
        </w:rPr>
        <w:t>1</w:t>
      </w:r>
      <w:r w:rsidRPr="005C3EE9">
        <w:rPr>
          <w:rFonts w:cs="Times New Roman"/>
          <w:szCs w:val="24"/>
        </w:rPr>
        <w:t>. jeigu Rangovas laiku nepradeda Darbų</w:t>
      </w:r>
      <w:r w:rsidR="00646864" w:rsidRPr="005C3EE9">
        <w:rPr>
          <w:rFonts w:cs="Times New Roman"/>
          <w:szCs w:val="24"/>
        </w:rPr>
        <w:t>.</w:t>
      </w:r>
    </w:p>
    <w:p w14:paraId="096C6E34" w14:textId="77777777" w:rsidR="00BC5A99" w:rsidRDefault="00BC5A99" w:rsidP="00BC5A99">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Default="00BC5A99" w:rsidP="00BC5A99">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25157141" w14:textId="526DB9C6"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  Rangovas turi teisę vienašališkai, nesikreipdamas į teismą, nutraukti Sutartį ir apie tai raštu prieš 14 kalendorinių dienų pranešti Užsakovui.</w:t>
      </w:r>
    </w:p>
    <w:p w14:paraId="42A68415" w14:textId="0A7D6496"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.1. jeigu Užsakovas nepajėgia vykdyti Sutarties įsipareigojimų ir nepateikia realių garantijų apie galimybę juos vykdyti;</w:t>
      </w:r>
    </w:p>
    <w:p w14:paraId="0925FFAF" w14:textId="1BA110C0"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.2.  jeigu dėl nenugalimos jėgos Darbai atidedami neribotam laikui.</w:t>
      </w:r>
    </w:p>
    <w:p w14:paraId="11CE9F30" w14:textId="2D44F204"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9</w:t>
      </w:r>
      <w:r>
        <w:rPr>
          <w:rFonts w:cs="Times New Roman"/>
          <w:szCs w:val="24"/>
        </w:rPr>
        <w:t>.  Šalis, negalinti vykdyti Sutarties įsipareigojimų, privalo nedelsiant, ne vėliau kaip per 1 darbo dieną, raštu pranešti apie tai kitai Šaliai.</w:t>
      </w:r>
    </w:p>
    <w:p w14:paraId="3EBDBA45" w14:textId="6D829BCC"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w:t>
      </w:r>
      <w:r w:rsidR="0085675B">
        <w:rPr>
          <w:rFonts w:cs="Times New Roman"/>
          <w:szCs w:val="24"/>
        </w:rPr>
        <w:t>0</w:t>
      </w:r>
      <w:r>
        <w:rPr>
          <w:rFonts w:cs="Times New Roman"/>
          <w:szCs w:val="24"/>
        </w:rPr>
        <w:t xml:space="preserve">. </w:t>
      </w:r>
      <w:r w:rsidRPr="00275504">
        <w:rPr>
          <w:rFonts w:cs="Times New Roman"/>
          <w:szCs w:val="24"/>
        </w:rPr>
        <w:t xml:space="preserve"> Jeigu Rangovas nutraukia Darbus, vėluoja atlikti bet kokią Darbų grupę pagal </w:t>
      </w:r>
      <w:r w:rsidRPr="00275504">
        <w:rPr>
          <w:rFonts w:cs="Times New Roman"/>
          <w:szCs w:val="24"/>
        </w:rPr>
        <w:lastRenderedPageBreak/>
        <w:t xml:space="preserve">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F9FCE00" w14:textId="7A0A400E"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85675B">
        <w:rPr>
          <w:rFonts w:cs="Times New Roman"/>
          <w:szCs w:val="24"/>
        </w:rPr>
        <w:t>1</w:t>
      </w:r>
      <w:r>
        <w:rPr>
          <w:rFonts w:cs="Times New Roman"/>
          <w:szCs w:val="24"/>
        </w:rPr>
        <w:t>.</w:t>
      </w:r>
      <w:r w:rsidRPr="00275504">
        <w:rPr>
          <w:rFonts w:cs="Times New Roman"/>
          <w:szCs w:val="24"/>
        </w:rPr>
        <w:t xml:space="preserve"> Sutarties nutraukimas atleidžia Užsakovą ir Rangovą nuo sutarties vykdymo.</w:t>
      </w:r>
    </w:p>
    <w:p w14:paraId="00AE7CD1" w14:textId="4E1AFA49"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85675B">
        <w:rPr>
          <w:rFonts w:cs="Times New Roman"/>
          <w:szCs w:val="24"/>
        </w:rPr>
        <w:t>2</w:t>
      </w:r>
      <w:r>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3F0540E3"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w:t>
      </w:r>
      <w:r w:rsidR="0085675B">
        <w:rPr>
          <w:rFonts w:cs="Times New Roman"/>
          <w:szCs w:val="24"/>
        </w:rPr>
        <w:t>3</w:t>
      </w:r>
      <w:r>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0A80F2E0" w:rsidR="00BC5A99" w:rsidRDefault="00BC5A99" w:rsidP="00BC5A99">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w:t>
      </w:r>
      <w:r w:rsidR="0085675B">
        <w:rPr>
          <w:rFonts w:eastAsia="Arial"/>
        </w:rPr>
        <w:t>4</w:t>
      </w:r>
      <w:r>
        <w:rPr>
          <w:rFonts w:eastAsia="Arial"/>
        </w:rPr>
        <w:t>.  Šioje Sutartyje numatytos teisių gynybos priemonės neapriboja Šalių teisės pasinaudoti kitomis teisėtomis teisių gynybos priemonėmis.</w:t>
      </w:r>
    </w:p>
    <w:p w14:paraId="63360F3F" w14:textId="77777777" w:rsidR="00573999" w:rsidRDefault="00573999" w:rsidP="00BC5A99">
      <w:pPr>
        <w:numPr>
          <w:ilvl w:val="12"/>
          <w:numId w:val="0"/>
        </w:numPr>
        <w:jc w:val="both"/>
        <w:rPr>
          <w:rFonts w:cs="Times New Roman"/>
          <w:szCs w:val="24"/>
        </w:rPr>
      </w:pPr>
    </w:p>
    <w:p w14:paraId="2BF3CE49" w14:textId="0C3C9F61"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t>XII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71033655" w:rsidR="00F24B12" w:rsidRDefault="00F24B12" w:rsidP="00F24B12">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F24B12">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F24B12">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77777777" w:rsidR="00F24B12" w:rsidRDefault="00F24B12" w:rsidP="00F24B12">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F24B12">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77777777"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19A0E47" w:rsidR="00573999" w:rsidRDefault="00F24B12" w:rsidP="00573999">
      <w:pPr>
        <w:pStyle w:val="SSutSkyrius"/>
        <w:spacing w:before="0" w:after="0"/>
        <w:jc w:val="center"/>
        <w:rPr>
          <w:color w:val="auto"/>
          <w:sz w:val="24"/>
        </w:rPr>
      </w:pPr>
      <w:r>
        <w:rPr>
          <w:bCs/>
          <w:color w:val="auto"/>
          <w:sz w:val="24"/>
        </w:rPr>
        <w:t>XIII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77777777" w:rsidR="00F24B12" w:rsidRDefault="00F24B12" w:rsidP="00F24B12">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w:t>
      </w:r>
      <w:r>
        <w:rPr>
          <w:rFonts w:eastAsia="Arial"/>
          <w:color w:val="000000"/>
          <w:szCs w:val="24"/>
          <w:shd w:val="clear" w:color="auto" w:fill="FFFFFF"/>
        </w:rPr>
        <w:lastRenderedPageBreak/>
        <w:t xml:space="preserve">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77777777" w:rsidR="00F24B12" w:rsidRPr="003E1D47" w:rsidRDefault="00F24B12" w:rsidP="00F24B12">
      <w:pPr>
        <w:ind w:firstLine="567"/>
        <w:rPr>
          <w:rFonts w:eastAsiaTheme="minorHAnsi" w:cs="Calibri"/>
          <w:lang w:eastAsia="en-US"/>
        </w:rPr>
      </w:pPr>
      <w:r w:rsidRPr="003E1D47">
        <w:t>13.2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77777777"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34C9007"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lastRenderedPageBreak/>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4" w:name="_Hlk192168188"/>
    </w:p>
    <w:p w14:paraId="471C2F12" w14:textId="77777777"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5" w:name="_Hlk192233043"/>
      <w:r w:rsidRPr="00F16010">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(dešimt) darbo dienų iki numatomo partnerio keitimo arba atsisakymo pateikti Užsakovui argumentuotą rašytinį prašymą ir šiuos dokumentus: </w:t>
      </w:r>
    </w:p>
    <w:p w14:paraId="48A3B944"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13.13.1. prašymą pakeisti Rangovo sudėtį ir įrodymus, pagrindžiančius bent vieną partnerio atsisakymo ar keitimo aplinkybę, nurodytą Sutartyje; </w:t>
      </w:r>
    </w:p>
    <w:p w14:paraId="4C0744F0"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77777777"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6" w:name="_Hlk192168883"/>
      <w:r w:rsidRPr="00F16010">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4"/>
    <w:bookmarkEnd w:id="5"/>
    <w:bookmarkEnd w:id="6"/>
    <w:p w14:paraId="4CFD9FEA" w14:textId="77777777" w:rsidR="00F24B12" w:rsidRDefault="00F24B12" w:rsidP="00F24B12">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77777777" w:rsidR="00F24B12" w:rsidRPr="00E60AED" w:rsidRDefault="00F24B12" w:rsidP="00F24B12">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1B321F1E" w:rsidR="00573999" w:rsidRDefault="00573999" w:rsidP="00573999">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1E44B3">
        <w:rPr>
          <w:rFonts w:eastAsia="Calibri" w:cs="Times New Roman"/>
          <w:szCs w:val="24"/>
          <w:lang w:eastAsia="en-US"/>
        </w:rPr>
        <w:t>Saulius Jacius</w:t>
      </w:r>
      <w:r>
        <w:rPr>
          <w:rFonts w:eastAsia="Calibri" w:cs="Times New Roman"/>
          <w:szCs w:val="24"/>
          <w:lang w:eastAsia="en-US"/>
        </w:rPr>
        <w:t xml:space="preserve">, </w:t>
      </w:r>
      <w:r w:rsidR="001E44B3">
        <w:rPr>
          <w:rFonts w:eastAsia="Calibri" w:cs="Times New Roman"/>
          <w:szCs w:val="24"/>
          <w:lang w:eastAsia="en-US"/>
        </w:rPr>
        <w:t>Žemės ūkio skyriaus</w:t>
      </w:r>
      <w:r>
        <w:rPr>
          <w:rFonts w:eastAsia="Calibri" w:cs="Times New Roman"/>
          <w:szCs w:val="24"/>
          <w:lang w:eastAsia="en-US"/>
        </w:rPr>
        <w:t xml:space="preserve"> vyr. specialistas, tel. +370 347 </w:t>
      </w:r>
      <w:r w:rsidR="001E44B3">
        <w:rPr>
          <w:rFonts w:eastAsia="Calibri" w:cs="Times New Roman"/>
          <w:szCs w:val="24"/>
          <w:lang w:eastAsia="en-US"/>
        </w:rPr>
        <w:t>20510</w:t>
      </w:r>
      <w:r>
        <w:rPr>
          <w:rFonts w:eastAsia="Calibri" w:cs="Times New Roman"/>
          <w:szCs w:val="24"/>
          <w:lang w:eastAsia="en-US"/>
        </w:rPr>
        <w:t xml:space="preserve">, el. p. </w:t>
      </w:r>
      <w:proofErr w:type="spellStart"/>
      <w:r w:rsidR="001E44B3" w:rsidRPr="001E44B3">
        <w:rPr>
          <w:rFonts w:eastAsia="Calibri" w:cs="Times New Roman"/>
          <w:szCs w:val="24"/>
          <w:lang w:eastAsia="en-US"/>
        </w:rPr>
        <w:t>saulius.jacius@kedainiai.lt</w:t>
      </w:r>
      <w:proofErr w:type="spellEnd"/>
      <w:r>
        <w:rPr>
          <w:rFonts w:eastAsia="Calibri" w:cs="Times New Roman"/>
          <w:szCs w:val="24"/>
          <w:lang w:eastAsia="en-US"/>
        </w:rPr>
        <w:t xml:space="preserve">. </w:t>
      </w:r>
    </w:p>
    <w:p w14:paraId="44802E73" w14:textId="7A48B271" w:rsidR="00573999" w:rsidRDefault="00573999" w:rsidP="00573999">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5F8FCB28" w:rsidR="00573999" w:rsidRDefault="00573999" w:rsidP="00E3019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65106EEE" w:rsidR="000E0B0C" w:rsidRPr="00E3019B" w:rsidRDefault="000E0B0C" w:rsidP="00E3019B">
      <w:pPr>
        <w:ind w:firstLine="567"/>
        <w:jc w:val="both"/>
        <w:rPr>
          <w:rFonts w:cs="Times New Roman"/>
          <w:szCs w:val="24"/>
        </w:rPr>
      </w:pPr>
      <w:r w:rsidRPr="000E0B0C">
        <w:rPr>
          <w:rFonts w:cs="Times New Roman"/>
          <w:szCs w:val="24"/>
        </w:rPr>
        <w:t>1</w:t>
      </w:r>
      <w:r w:rsidR="00F963D8">
        <w:rPr>
          <w:rFonts w:cs="Times New Roman"/>
          <w:szCs w:val="24"/>
        </w:rPr>
        <w:t>3</w:t>
      </w:r>
      <w:r w:rsidRPr="000E0B0C">
        <w:rPr>
          <w:rFonts w:cs="Times New Roman"/>
          <w:szCs w:val="24"/>
        </w:rPr>
        <w:t>.</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 xml:space="preserve">Rangovo pateikti pasiūlymo duomenys atitikties nustatytiems ekonominio </w:t>
      </w:r>
      <w:r w:rsidRPr="000E0B0C">
        <w:rPr>
          <w:rFonts w:cs="Times New Roman"/>
          <w:szCs w:val="24"/>
        </w:rPr>
        <w:lastRenderedPageBreak/>
        <w:t>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283D6469" w14:textId="4DC9FF07" w:rsidR="00573999" w:rsidRPr="00E3019B" w:rsidRDefault="00573999" w:rsidP="00E3019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735C41">
        <w:rPr>
          <w:rStyle w:val="FontStyle27"/>
          <w:sz w:val="24"/>
          <w:szCs w:val="24"/>
        </w:rPr>
        <w:t>20</w:t>
      </w:r>
      <w:r w:rsidRPr="00E3019B">
        <w:rPr>
          <w:rStyle w:val="FontStyle27"/>
          <w:sz w:val="24"/>
          <w:szCs w:val="24"/>
        </w:rPr>
        <w:t xml:space="preserve">. </w:t>
      </w:r>
      <w:r w:rsidR="00471C5B" w:rsidRPr="00471C5B">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r w:rsidRPr="00E3019B">
        <w:rPr>
          <w:rStyle w:val="FontStyle27"/>
          <w:sz w:val="24"/>
          <w:szCs w:val="24"/>
        </w:rPr>
        <w:t>.</w:t>
      </w:r>
    </w:p>
    <w:p w14:paraId="5641CD49" w14:textId="7E57E9F5" w:rsidR="00573999" w:rsidRDefault="00573999" w:rsidP="00573999">
      <w:pPr>
        <w:ind w:firstLine="567"/>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21</w:t>
      </w:r>
      <w:r>
        <w:rPr>
          <w:rFonts w:cs="Times New Roman"/>
          <w:szCs w:val="24"/>
        </w:rPr>
        <w:t>. Sutarties priedai:</w:t>
      </w:r>
    </w:p>
    <w:p w14:paraId="356D4BC0" w14:textId="4EE60897" w:rsidR="00573999" w:rsidRDefault="00573999" w:rsidP="00573999">
      <w:pPr>
        <w:widowControl/>
        <w:ind w:left="567"/>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7815CA91" w:rsidR="00573999" w:rsidRDefault="00573999" w:rsidP="00573999">
      <w:pPr>
        <w:widowControl/>
        <w:ind w:left="567"/>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Veiklų sąrašas, 2 priedas, 1 lapas.</w:t>
      </w:r>
    </w:p>
    <w:p w14:paraId="54F4E362" w14:textId="346C0C7D" w:rsidR="000E0B0C" w:rsidRPr="000E0B0C" w:rsidRDefault="000E0B0C" w:rsidP="000E0B0C">
      <w:pPr>
        <w:widowControl/>
        <w:ind w:left="567"/>
        <w:rPr>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04F211DC" w:rsidR="000E0B0C" w:rsidRDefault="000E0B0C" w:rsidP="000E0B0C">
      <w:pPr>
        <w:widowControl/>
        <w:ind w:left="567"/>
        <w:rPr>
          <w:rFonts w:eastAsia="Calibri" w:cs="Times New Roman"/>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0426831C" w14:textId="77777777" w:rsidR="00573999" w:rsidRDefault="00573999" w:rsidP="00573999">
      <w:pPr>
        <w:rPr>
          <w:lang w:eastAsia="lt-LT"/>
        </w:rPr>
      </w:pPr>
    </w:p>
    <w:p w14:paraId="3EC4ECC0" w14:textId="77777777" w:rsidR="000E0B0C" w:rsidRDefault="000E0B0C" w:rsidP="00573999">
      <w:pPr>
        <w:rPr>
          <w:lang w:eastAsia="lt-LT"/>
        </w:rPr>
      </w:pPr>
    </w:p>
    <w:p w14:paraId="3E42F4DB" w14:textId="77777777" w:rsidR="000E0B0C" w:rsidRDefault="000E0B0C" w:rsidP="00573999">
      <w:pPr>
        <w:rPr>
          <w:lang w:eastAsia="lt-LT"/>
        </w:rPr>
      </w:pPr>
    </w:p>
    <w:p w14:paraId="1C35AB79" w14:textId="77777777" w:rsidR="000E0B0C" w:rsidRDefault="000E0B0C" w:rsidP="00573999">
      <w:pPr>
        <w:rPr>
          <w:lang w:eastAsia="lt-LT"/>
        </w:rPr>
      </w:pPr>
    </w:p>
    <w:p w14:paraId="675069F4" w14:textId="77777777" w:rsidR="000E0B0C" w:rsidRDefault="000E0B0C" w:rsidP="00573999">
      <w:pPr>
        <w:rPr>
          <w:lang w:eastAsia="lt-LT"/>
        </w:rPr>
      </w:pPr>
    </w:p>
    <w:p w14:paraId="28C041F4" w14:textId="77777777" w:rsidR="000E0B0C" w:rsidRDefault="000E0B0C"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77777777"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Gintautas Muznikas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Pr="00F963D8" w:rsidRDefault="00F963D8" w:rsidP="00F963D8">
      <w:pPr>
        <w:ind w:left="142"/>
        <w:jc w:val="both"/>
        <w:rPr>
          <w:rFonts w:ascii="Calibri" w:eastAsia="Calibri" w:hAnsi="Calibri" w:cs="Times New Roman"/>
          <w:sz w:val="20"/>
          <w:lang w:eastAsia="en-US"/>
        </w:rPr>
      </w:pPr>
    </w:p>
    <w:p w14:paraId="2DACE1B1" w14:textId="77777777" w:rsidR="000E0B0C" w:rsidRDefault="000E0B0C"/>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 xml:space="preserve">Atliktų Darbų grupės (etapo) dalis (%) nuo </w:t>
            </w:r>
            <w:r w:rsidRPr="00B5268A">
              <w:rPr>
                <w:bCs/>
                <w:lang w:eastAsia="lt-LT"/>
              </w:rPr>
              <w:lastRenderedPageBreak/>
              <w:t>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lastRenderedPageBreak/>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 xml:space="preserve">Atliktų Darbų grupės (etapo) per atsiskaitomą laikotarpį </w:t>
            </w:r>
            <w:r w:rsidRPr="00B5268A">
              <w:rPr>
                <w:bCs/>
                <w:lang w:eastAsia="lt-LT"/>
              </w:rPr>
              <w:lastRenderedPageBreak/>
              <w:t>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lastRenderedPageBreak/>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0E0B0C">
          <w:footnotePr>
            <w:numFmt w:val="chicago"/>
          </w:footnotePr>
          <w:pgSz w:w="11906" w:h="16838"/>
          <w:pgMar w:top="567"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F213" w14:textId="77777777" w:rsidR="008244FD" w:rsidRDefault="008244FD" w:rsidP="000E0B0C">
      <w:r>
        <w:separator/>
      </w:r>
    </w:p>
  </w:endnote>
  <w:endnote w:type="continuationSeparator" w:id="0">
    <w:p w14:paraId="32E26ADB" w14:textId="77777777" w:rsidR="008244FD" w:rsidRDefault="008244FD"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1988" w14:textId="77777777" w:rsidR="008244FD" w:rsidRDefault="008244FD" w:rsidP="000E0B0C">
      <w:r>
        <w:separator/>
      </w:r>
    </w:p>
  </w:footnote>
  <w:footnote w:type="continuationSeparator" w:id="0">
    <w:p w14:paraId="1782D344" w14:textId="77777777" w:rsidR="008244FD" w:rsidRDefault="008244FD"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333C1"/>
    <w:rsid w:val="000369BD"/>
    <w:rsid w:val="0004109A"/>
    <w:rsid w:val="00062096"/>
    <w:rsid w:val="000D472A"/>
    <w:rsid w:val="000E0B0C"/>
    <w:rsid w:val="000F02AE"/>
    <w:rsid w:val="000F1717"/>
    <w:rsid w:val="001147BE"/>
    <w:rsid w:val="0013200C"/>
    <w:rsid w:val="001338A5"/>
    <w:rsid w:val="001703B8"/>
    <w:rsid w:val="00181DA5"/>
    <w:rsid w:val="00190F24"/>
    <w:rsid w:val="001A5E4A"/>
    <w:rsid w:val="001B7CDF"/>
    <w:rsid w:val="001E3485"/>
    <w:rsid w:val="001E3B9A"/>
    <w:rsid w:val="001E44B3"/>
    <w:rsid w:val="001F158A"/>
    <w:rsid w:val="001F4F2B"/>
    <w:rsid w:val="00213521"/>
    <w:rsid w:val="002145A3"/>
    <w:rsid w:val="002203DB"/>
    <w:rsid w:val="0022355F"/>
    <w:rsid w:val="00247486"/>
    <w:rsid w:val="00256E96"/>
    <w:rsid w:val="00274656"/>
    <w:rsid w:val="002B1A23"/>
    <w:rsid w:val="002B5E15"/>
    <w:rsid w:val="002D4280"/>
    <w:rsid w:val="002D5D28"/>
    <w:rsid w:val="00300569"/>
    <w:rsid w:val="00301CFC"/>
    <w:rsid w:val="00313F48"/>
    <w:rsid w:val="0032587A"/>
    <w:rsid w:val="00326BA3"/>
    <w:rsid w:val="0035229D"/>
    <w:rsid w:val="00353E4E"/>
    <w:rsid w:val="0037411F"/>
    <w:rsid w:val="00380F7F"/>
    <w:rsid w:val="00383B54"/>
    <w:rsid w:val="0039723B"/>
    <w:rsid w:val="003B6276"/>
    <w:rsid w:val="003F7F5C"/>
    <w:rsid w:val="0040351D"/>
    <w:rsid w:val="00412D65"/>
    <w:rsid w:val="00471C5B"/>
    <w:rsid w:val="00481618"/>
    <w:rsid w:val="004C7E6C"/>
    <w:rsid w:val="004D2EBC"/>
    <w:rsid w:val="004D68B0"/>
    <w:rsid w:val="004E53C6"/>
    <w:rsid w:val="004F6601"/>
    <w:rsid w:val="00501848"/>
    <w:rsid w:val="00530FFB"/>
    <w:rsid w:val="005435CC"/>
    <w:rsid w:val="00561A51"/>
    <w:rsid w:val="00573999"/>
    <w:rsid w:val="005751F3"/>
    <w:rsid w:val="005A1E40"/>
    <w:rsid w:val="005A7B1F"/>
    <w:rsid w:val="005C3EE9"/>
    <w:rsid w:val="005C5920"/>
    <w:rsid w:val="005E4F39"/>
    <w:rsid w:val="005F61CC"/>
    <w:rsid w:val="006011B7"/>
    <w:rsid w:val="00616AD1"/>
    <w:rsid w:val="00621550"/>
    <w:rsid w:val="00627686"/>
    <w:rsid w:val="00630041"/>
    <w:rsid w:val="00646864"/>
    <w:rsid w:val="00667E90"/>
    <w:rsid w:val="006B11B2"/>
    <w:rsid w:val="006C4150"/>
    <w:rsid w:val="00727CC8"/>
    <w:rsid w:val="00735C41"/>
    <w:rsid w:val="00781DAF"/>
    <w:rsid w:val="007A0A6B"/>
    <w:rsid w:val="007E111F"/>
    <w:rsid w:val="007F5087"/>
    <w:rsid w:val="008244FD"/>
    <w:rsid w:val="00836979"/>
    <w:rsid w:val="0085675B"/>
    <w:rsid w:val="0088171A"/>
    <w:rsid w:val="008A1DEE"/>
    <w:rsid w:val="008C6D1D"/>
    <w:rsid w:val="0090602F"/>
    <w:rsid w:val="00913B3D"/>
    <w:rsid w:val="00915EC5"/>
    <w:rsid w:val="009360D4"/>
    <w:rsid w:val="00946734"/>
    <w:rsid w:val="009747CA"/>
    <w:rsid w:val="009C7B21"/>
    <w:rsid w:val="009F1D5A"/>
    <w:rsid w:val="00A12330"/>
    <w:rsid w:val="00A45BCC"/>
    <w:rsid w:val="00A50B25"/>
    <w:rsid w:val="00A57FE8"/>
    <w:rsid w:val="00A63208"/>
    <w:rsid w:val="00A64DF1"/>
    <w:rsid w:val="00A65085"/>
    <w:rsid w:val="00A74731"/>
    <w:rsid w:val="00A81CBE"/>
    <w:rsid w:val="00AE7433"/>
    <w:rsid w:val="00B507A2"/>
    <w:rsid w:val="00B5232B"/>
    <w:rsid w:val="00B562BE"/>
    <w:rsid w:val="00B65AED"/>
    <w:rsid w:val="00B8056E"/>
    <w:rsid w:val="00B903FD"/>
    <w:rsid w:val="00BB3720"/>
    <w:rsid w:val="00BB629A"/>
    <w:rsid w:val="00BC5A99"/>
    <w:rsid w:val="00BF716B"/>
    <w:rsid w:val="00BF77EB"/>
    <w:rsid w:val="00C0664B"/>
    <w:rsid w:val="00C125D0"/>
    <w:rsid w:val="00C2112E"/>
    <w:rsid w:val="00C61C3E"/>
    <w:rsid w:val="00C63765"/>
    <w:rsid w:val="00CA78EB"/>
    <w:rsid w:val="00CE1789"/>
    <w:rsid w:val="00CF4C7A"/>
    <w:rsid w:val="00D00FD1"/>
    <w:rsid w:val="00D062C3"/>
    <w:rsid w:val="00D50A1E"/>
    <w:rsid w:val="00D56A81"/>
    <w:rsid w:val="00D72636"/>
    <w:rsid w:val="00D922A6"/>
    <w:rsid w:val="00DA44AA"/>
    <w:rsid w:val="00DC5CC6"/>
    <w:rsid w:val="00DD21B5"/>
    <w:rsid w:val="00E25E16"/>
    <w:rsid w:val="00E3019B"/>
    <w:rsid w:val="00E408F6"/>
    <w:rsid w:val="00E429D9"/>
    <w:rsid w:val="00E51C3C"/>
    <w:rsid w:val="00ED1D75"/>
    <w:rsid w:val="00ED4484"/>
    <w:rsid w:val="00EF66AC"/>
    <w:rsid w:val="00F2194E"/>
    <w:rsid w:val="00F24B12"/>
    <w:rsid w:val="00F36BC7"/>
    <w:rsid w:val="00F65743"/>
    <w:rsid w:val="00F71C7B"/>
    <w:rsid w:val="00F963D8"/>
    <w:rsid w:val="00F97BE2"/>
    <w:rsid w:val="00FB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282608691">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 w:id="20295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32941</Words>
  <Characters>18777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cp:revision>
  <cp:lastPrinted>2025-04-02T08:26:00Z</cp:lastPrinted>
  <dcterms:created xsi:type="dcterms:W3CDTF">2025-05-12T10:31:00Z</dcterms:created>
  <dcterms:modified xsi:type="dcterms:W3CDTF">2025-05-12T10:31:00Z</dcterms:modified>
</cp:coreProperties>
</file>