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118177FD">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831004">
      <w:pPr>
        <w:pBdr>
          <w:top w:val="single" w:sz="6" w:space="1" w:color="auto"/>
          <w:left w:val="single" w:sz="6" w:space="0" w:color="auto"/>
          <w:bottom w:val="single" w:sz="6" w:space="1" w:color="auto"/>
          <w:right w:val="single" w:sz="6" w:space="0" w:color="auto"/>
        </w:pBdr>
        <w:spacing w:after="0" w:line="240" w:lineRule="auto"/>
        <w:rPr>
          <w:rFonts w:eastAsia="Times New Roman" w:cstheme="minorHAnsi"/>
          <w:b/>
          <w:bCs/>
          <w:lang w:val="en-US" w:eastAsia="uk-UA"/>
        </w:rPr>
      </w:pPr>
    </w:p>
    <w:p w14:paraId="51BCA23F" w14:textId="1BF53AAD" w:rsidR="00AC68FB" w:rsidRDefault="00753A38"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GB" w:eastAsia="uk-UA"/>
        </w:rPr>
      </w:pPr>
      <w:r w:rsidRPr="00753A38">
        <w:rPr>
          <w:rFonts w:eastAsia="Times New Roman"/>
          <w:b/>
          <w:bCs/>
          <w:lang w:val="en-GB" w:eastAsia="uk-UA"/>
        </w:rPr>
        <w:t>MOBILE LIGHTING TOWERS</w:t>
      </w:r>
      <w:r w:rsidR="00DA74EC">
        <w:rPr>
          <w:rFonts w:eastAsia="Times New Roman"/>
          <w:b/>
          <w:bCs/>
          <w:lang w:val="en-GB" w:eastAsia="uk-UA"/>
        </w:rPr>
        <w:t xml:space="preserve"> </w:t>
      </w:r>
    </w:p>
    <w:p w14:paraId="179ACFAC" w14:textId="086862EF" w:rsidR="00753A38" w:rsidRDefault="00DA74EC"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GB" w:eastAsia="uk-UA"/>
        </w:rPr>
      </w:pPr>
      <w:r w:rsidRPr="00DA74EC">
        <w:rPr>
          <w:rFonts w:eastAsia="Times New Roman"/>
          <w:b/>
          <w:bCs/>
          <w:lang w:val="en-GB" w:eastAsia="uk-UA"/>
        </w:rPr>
        <w:t>in support of the Armed Forces of Moldova</w:t>
      </w:r>
    </w:p>
    <w:p w14:paraId="2FA1B03F" w14:textId="77777777" w:rsidR="00831004" w:rsidRPr="00F157FC" w:rsidRDefault="00831004"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831004" w:rsidRDefault="00CC0880" w:rsidP="00CC0880">
      <w:pPr>
        <w:tabs>
          <w:tab w:val="left" w:pos="3730"/>
        </w:tabs>
        <w:rPr>
          <w:rFonts w:eastAsia="Times New Roman" w:cstheme="minorHAnsi"/>
          <w:lang w:val="en-GB" w:eastAsia="uk-UA"/>
        </w:rPr>
      </w:pPr>
    </w:p>
    <w:p w14:paraId="1A37D892" w14:textId="77777777" w:rsidR="00527A5D" w:rsidRPr="007F26FA" w:rsidRDefault="00527A5D" w:rsidP="0EB4C282">
      <w:pPr>
        <w:keepNext/>
        <w:pageBreakBefore/>
        <w:numPr>
          <w:ilvl w:val="0"/>
          <w:numId w:val="2"/>
        </w:numPr>
        <w:tabs>
          <w:tab w:val="left" w:pos="426"/>
        </w:tabs>
        <w:spacing w:after="0" w:line="240" w:lineRule="auto"/>
        <w:ind w:left="0" w:hanging="12"/>
        <w:jc w:val="center"/>
        <w:outlineLvl w:val="0"/>
        <w:rPr>
          <w:rFonts w:eastAsia="Times New Roman"/>
          <w:b/>
          <w:bCs/>
          <w:lang w:val="en-US" w:eastAsia="uk-UA"/>
        </w:rPr>
      </w:pPr>
      <w:bookmarkStart w:id="0"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7623F43A" w:rsidR="00527A5D" w:rsidRPr="004D71FB" w:rsidRDefault="00527A5D" w:rsidP="0EB4C282">
      <w:pPr>
        <w:numPr>
          <w:ilvl w:val="1"/>
          <w:numId w:val="4"/>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EB4C282">
        <w:rPr>
          <w:rFonts w:eastAsia="Times New Roman"/>
          <w:lang w:val="en-US" w:eastAsia="uk-UA"/>
        </w:rPr>
        <w:t xml:space="preserve">procure </w:t>
      </w:r>
      <w:r w:rsidR="006B549D" w:rsidRPr="006B549D">
        <w:rPr>
          <w:rFonts w:eastAsia="Times New Roman"/>
          <w:shd w:val="clear" w:color="auto" w:fill="E7E6E6" w:themeFill="background2"/>
          <w:lang w:val="en-GB" w:eastAsia="uk-UA"/>
        </w:rPr>
        <w:t xml:space="preserve">MOBILE LIGHTING TOWERS </w:t>
      </w:r>
      <w:r w:rsidR="00D23413" w:rsidRPr="0EB4C282">
        <w:rPr>
          <w:rFonts w:eastAsia="Times New Roman"/>
          <w:lang w:val="en-US" w:eastAsia="uk-UA"/>
        </w:rPr>
        <w:t>(</w:t>
      </w:r>
      <w:r w:rsidR="00EA78B4" w:rsidRPr="0EB4C282">
        <w:rPr>
          <w:rFonts w:eastAsia="Times New Roman"/>
          <w:lang w:val="en-US" w:eastAsia="uk-UA"/>
        </w:rPr>
        <w:t>Goods)</w:t>
      </w:r>
      <w:r w:rsidR="003836CB" w:rsidRPr="0EB4C282">
        <w:rPr>
          <w:rFonts w:eastAsia="Times New Roman"/>
          <w:lang w:val="en-US" w:eastAsia="uk-UA"/>
        </w:rPr>
        <w:t xml:space="preserve"> in support of </w:t>
      </w:r>
      <w:r w:rsidR="00AC68FB" w:rsidRPr="00AC68FB">
        <w:rPr>
          <w:rFonts w:eastAsia="Times New Roman"/>
          <w:lang w:eastAsia="uk-UA"/>
        </w:rPr>
        <w:t>the Armed Forces of Moldova</w:t>
      </w:r>
      <w:r w:rsidR="00AC68FB">
        <w:rPr>
          <w:rFonts w:eastAsia="Times New Roman"/>
          <w:lang w:eastAsia="uk-UA"/>
        </w:rPr>
        <w:t>.</w:t>
      </w:r>
      <w:r w:rsidR="006B549D">
        <w:rPr>
          <w:rFonts w:eastAsia="Times New Roman"/>
          <w:lang w:eastAsia="uk-UA"/>
        </w:rPr>
        <w:t xml:space="preserve"> </w:t>
      </w:r>
    </w:p>
    <w:p w14:paraId="3B104CAE" w14:textId="7C369948" w:rsidR="003836CB" w:rsidRPr="00D31A7C" w:rsidRDefault="0EB4C282"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9851A9">
        <w:rPr>
          <w:rFonts w:eastAsia="Times New Roman"/>
          <w:lang w:val="en-GB" w:eastAsia="uk-UA"/>
        </w:rPr>
        <w:t xml:space="preserve">The Procurement is carried out by means of the Central Public Procurement Information System, web page </w:t>
      </w:r>
      <w:bookmarkStart w:id="1" w:name="_Hlk184045289"/>
      <w:r w:rsidR="006760F4" w:rsidRPr="006760F4">
        <w:rPr>
          <w:u w:val="single"/>
        </w:rPr>
        <w:fldChar w:fldCharType="begin"/>
      </w:r>
      <w:r w:rsidR="006760F4" w:rsidRPr="006760F4">
        <w:rPr>
          <w:u w:val="single"/>
        </w:rPr>
        <w:instrText>HYPERLINK "https://viesiejipirkimai.lt/"</w:instrText>
      </w:r>
      <w:r w:rsidR="006760F4" w:rsidRPr="006760F4">
        <w:rPr>
          <w:u w:val="single"/>
        </w:rPr>
      </w:r>
      <w:r w:rsidR="006760F4" w:rsidRPr="006760F4">
        <w:rPr>
          <w:u w:val="single"/>
        </w:rPr>
        <w:fldChar w:fldCharType="separate"/>
      </w:r>
      <w:r w:rsidR="006760F4" w:rsidRPr="006760F4">
        <w:rPr>
          <w:rStyle w:val="Hyperlink"/>
        </w:rPr>
        <w:t>https://viesiejipirkimai.lt</w:t>
      </w:r>
      <w:r w:rsidR="006760F4" w:rsidRPr="006760F4">
        <w:fldChar w:fldCharType="end"/>
      </w:r>
      <w:bookmarkEnd w:id="1"/>
      <w:r w:rsidR="00EA488B">
        <w:t xml:space="preserve"> </w:t>
      </w:r>
      <w:hyperlink w:history="1"/>
      <w:r w:rsidRPr="00D31A7C">
        <w:rPr>
          <w:rFonts w:eastAsia="Times New Roman"/>
          <w:lang w:val="en-GB" w:eastAsia="uk-UA"/>
        </w:rPr>
        <w:t>(</w:t>
      </w:r>
      <w:r w:rsidRPr="00D31A7C">
        <w:rPr>
          <w:rFonts w:eastAsia="Times New Roman"/>
          <w:lang w:val="en-US" w:eastAsia="uk-UA"/>
        </w:rPr>
        <w:t xml:space="preserve">hereinafter - </w:t>
      </w:r>
      <w:r w:rsidRPr="00D31A7C">
        <w:rPr>
          <w:rFonts w:eastAsia="Times New Roman"/>
          <w:lang w:val="en-GB" w:eastAsia="uk-UA"/>
        </w:rPr>
        <w:t xml:space="preserve">CPP IS). </w:t>
      </w:r>
    </w:p>
    <w:p w14:paraId="7B5A74AB" w14:textId="3CAA6200" w:rsidR="003836CB" w:rsidRPr="009851A9" w:rsidRDefault="0EB4C282"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31A7C">
        <w:rPr>
          <w:rFonts w:eastAsia="Times New Roman"/>
          <w:lang w:val="en-US" w:eastAsia="uk-UA"/>
        </w:rPr>
        <w:t xml:space="preserve">The Procurement Conditions and their clarifications and supplements are published in the CPP IS at </w:t>
      </w:r>
      <w:hyperlink r:id="rId12" w:history="1">
        <w:r w:rsidR="006760F4" w:rsidRPr="006760F4">
          <w:rPr>
            <w:rStyle w:val="Hyperlink"/>
          </w:rPr>
          <w:t>https://viesiejipirkimai.lt</w:t>
        </w:r>
      </w:hyperlink>
      <w:r w:rsidRPr="009851A9">
        <w:rPr>
          <w:rFonts w:eastAsia="Times New Roman"/>
          <w:lang w:val="en-US" w:eastAsia="uk-UA"/>
        </w:rPr>
        <w:t>. The Suppliers should closely monitor the clarifications of and additions to the Procurement Documents that are uploaded to the CPP IS.</w:t>
      </w:r>
      <w:r w:rsidR="006760F4">
        <w:rPr>
          <w:rFonts w:eastAsia="Times New Roman"/>
          <w:lang w:val="en-US" w:eastAsia="uk-UA"/>
        </w:rPr>
        <w:t xml:space="preserve"> </w:t>
      </w:r>
    </w:p>
    <w:p w14:paraId="583AAC92" w14:textId="6F7E5B8F" w:rsidR="003836CB" w:rsidRPr="009851A9" w:rsidRDefault="003836CB"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9851A9">
        <w:rPr>
          <w:rFonts w:eastAsia="Times New Roman"/>
          <w:lang w:val="en-US" w:eastAsia="uk-UA"/>
        </w:rPr>
        <w:t xml:space="preserve">Only the Suppliers registered with the CPP IS can participate in the Procurement. The Suppliers may register with the CPP IS at </w:t>
      </w:r>
      <w:hyperlink r:id="rId13" w:history="1">
        <w:r w:rsidRPr="009851A9">
          <w:rPr>
            <w:rStyle w:val="Hyperlink"/>
            <w:rFonts w:eastAsia="Times New Roman"/>
            <w:lang w:val="en-US" w:eastAsia="uk-UA"/>
          </w:rPr>
          <w:t>https://pirkimai.eviesiejipirkimai.lt/</w:t>
        </w:r>
      </w:hyperlink>
      <w:r w:rsidRPr="009851A9">
        <w:rPr>
          <w:rFonts w:eastAsia="Times New Roman"/>
          <w:lang w:val="en-US" w:eastAsia="uk-UA"/>
        </w:rPr>
        <w:t xml:space="preserve">. Information on how to register with the CPP IS can be found </w:t>
      </w:r>
      <w:bookmarkStart w:id="2" w:name="_Hlk184045305"/>
      <w:r w:rsidR="006760F4" w:rsidRPr="006760F4">
        <w:rPr>
          <w:rFonts w:eastAsia="Times New Roman"/>
          <w:bCs/>
          <w:lang w:val="en-GB" w:eastAsia="uk-UA"/>
        </w:rPr>
        <w:t xml:space="preserve">here: </w:t>
      </w:r>
      <w:hyperlink r:id="rId14" w:history="1">
        <w:r w:rsidR="006760F4" w:rsidRPr="006760F4">
          <w:rPr>
            <w:rStyle w:val="Hyperlink"/>
            <w:rFonts w:eastAsia="Times New Roman"/>
            <w:lang w:eastAsia="uk-UA"/>
          </w:rPr>
          <w:t>Tiekėjams - Viešųjų pirkimų tarnyba</w:t>
        </w:r>
      </w:hyperlink>
      <w:bookmarkEnd w:id="2"/>
      <w:r w:rsidRPr="00D31A7C">
        <w:rPr>
          <w:rStyle w:val="FootnoteReference"/>
          <w:rFonts w:cstheme="minorBidi"/>
          <w:lang w:val="en-GB"/>
        </w:rPr>
        <w:footnoteReference w:id="2"/>
      </w:r>
      <w:r w:rsidRPr="009851A9">
        <w:rPr>
          <w:lang w:val="en-GB"/>
        </w:rPr>
        <w:t xml:space="preserve">. </w:t>
      </w:r>
    </w:p>
    <w:p w14:paraId="5DFB3EF8" w14:textId="77777777" w:rsidR="003836CB" w:rsidRPr="003836CB" w:rsidRDefault="0EB4C282"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3" w:name="_Hlk165638915"/>
      <w:bookmarkEnd w:id="3"/>
    </w:p>
    <w:p w14:paraId="0AAB9972" w14:textId="77777777"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EB4C282">
      <w:pPr>
        <w:widowControl w:val="0"/>
        <w:numPr>
          <w:ilvl w:val="1"/>
          <w:numId w:val="4"/>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EB4C282">
      <w:pPr>
        <w:widowControl w:val="0"/>
        <w:numPr>
          <w:ilvl w:val="1"/>
          <w:numId w:val="4"/>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EB4C282">
      <w:pPr>
        <w:widowControl w:val="0"/>
        <w:numPr>
          <w:ilvl w:val="1"/>
          <w:numId w:val="4"/>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1FCD3993"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
    <w:p w14:paraId="35EC1187" w14:textId="2A1E0F1E"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3C694A93" w14:textId="6C2CBD36" w:rsidR="00527A5D" w:rsidRPr="007F26FA" w:rsidRDefault="00527A5D" w:rsidP="0EB4C282">
      <w:pPr>
        <w:numPr>
          <w:ilvl w:val="1"/>
          <w:numId w:val="4"/>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EB4C282">
      <w:pPr>
        <w:numPr>
          <w:ilvl w:val="1"/>
          <w:numId w:val="4"/>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EB4C282">
      <w:pPr>
        <w:numPr>
          <w:ilvl w:val="1"/>
          <w:numId w:val="4"/>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50DE4100"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skaidrumas@cpva.lt to the Agency’s Working Group which is set to analyze the probability of corruption occurrences. Remaining information - </w:t>
      </w:r>
      <w:hyperlink r:id="rId16">
        <w:r w:rsidRPr="0EB4C282">
          <w:rPr>
            <w:rStyle w:val="Hyperlink"/>
            <w:rFonts w:eastAsia="Times New Roman"/>
            <w:lang w:val="en-US" w:eastAsia="lt-LT"/>
          </w:rPr>
          <w:t>https://www.cpva.lt/en/corruption-prevention/460</w:t>
        </w:r>
      </w:hyperlink>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EB4C282">
      <w:pPr>
        <w:numPr>
          <w:ilvl w:val="0"/>
          <w:numId w:val="2"/>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7F26FA" w:rsidRDefault="0EB4C282" w:rsidP="0EB4C282">
      <w:pPr>
        <w:pStyle w:val="ListParagraph"/>
        <w:numPr>
          <w:ilvl w:val="1"/>
          <w:numId w:val="5"/>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prohibited. </w:t>
      </w:r>
    </w:p>
    <w:p w14:paraId="0B7E041C" w14:textId="5357E4FA" w:rsidR="00527A5D"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Requirements for the Goods and their quantities are provided in the Technical Specification </w:t>
      </w:r>
      <w:r w:rsidRPr="0EB4C282">
        <w:rPr>
          <w:rFonts w:eastAsia="Times New Roman"/>
          <w:color w:val="222222"/>
          <w:lang w:val="en-US" w:eastAsia="uk-UA"/>
        </w:rPr>
        <w:t>(Annex 1)</w:t>
      </w:r>
      <w:r w:rsidRPr="0EB4C282">
        <w:rPr>
          <w:rFonts w:eastAsia="Times New Roman"/>
          <w:lang w:val="en-US" w:eastAsia="uk-UA"/>
        </w:rPr>
        <w:t>.</w:t>
      </w:r>
    </w:p>
    <w:p w14:paraId="7C70573F" w14:textId="3754306D" w:rsidR="00527A5D" w:rsidRPr="007F26FA" w:rsidRDefault="00527A5D"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Term for fulfillment of the contractual obligations </w:t>
      </w:r>
      <w:r w:rsidR="00441506" w:rsidRPr="0EB4C282">
        <w:rPr>
          <w:rFonts w:eastAsia="Times New Roman"/>
          <w:lang w:val="en-US" w:eastAsia="uk-UA"/>
        </w:rPr>
        <w:t>–</w:t>
      </w:r>
      <w:r w:rsidR="00657469" w:rsidRPr="0EB4C282">
        <w:rPr>
          <w:rFonts w:eastAsia="Times New Roman"/>
          <w:b/>
          <w:bCs/>
          <w:shd w:val="clear" w:color="auto" w:fill="E7E6E6" w:themeFill="background2"/>
          <w:lang w:val="en-US" w:eastAsia="uk-UA"/>
        </w:rPr>
        <w:t xml:space="preserve"> </w:t>
      </w:r>
      <w:r w:rsidR="000A29BB">
        <w:rPr>
          <w:rFonts w:eastAsia="Times New Roman"/>
          <w:b/>
          <w:bCs/>
          <w:shd w:val="clear" w:color="auto" w:fill="E7E6E6" w:themeFill="background2"/>
          <w:lang w:val="en-US" w:eastAsia="uk-UA"/>
        </w:rPr>
        <w:t xml:space="preserve">90 </w:t>
      </w:r>
      <w:r w:rsidR="000A29BB" w:rsidRPr="000A29BB">
        <w:rPr>
          <w:rFonts w:eastAsia="Times New Roman"/>
          <w:b/>
          <w:bCs/>
          <w:shd w:val="clear" w:color="auto" w:fill="E7E6E6" w:themeFill="background2"/>
          <w:lang w:val="en-US" w:eastAsia="uk-UA"/>
        </w:rPr>
        <w:t>days</w:t>
      </w:r>
      <w:r w:rsidR="00BF2FD1" w:rsidRPr="0EB4C282">
        <w:rPr>
          <w:rFonts w:eastAsia="Times New Roman"/>
          <w:b/>
          <w:bCs/>
          <w:lang w:val="en-US" w:eastAsia="uk-UA"/>
        </w:rPr>
        <w:t xml:space="preserve"> </w:t>
      </w:r>
      <w:r w:rsidRPr="0EB4C282">
        <w:rPr>
          <w:rFonts w:eastAsia="Times New Roman"/>
          <w:b/>
          <w:bCs/>
          <w:lang w:val="en-US" w:eastAsia="uk-UA"/>
        </w:rPr>
        <w:t xml:space="preserve">from the signing of the </w:t>
      </w:r>
      <w:r w:rsidR="00F21F2C" w:rsidRPr="0EB4C282">
        <w:rPr>
          <w:rFonts w:eastAsia="Times New Roman"/>
          <w:b/>
          <w:bCs/>
          <w:lang w:val="en-US" w:eastAsia="uk-UA"/>
        </w:rPr>
        <w:t>C</w:t>
      </w:r>
      <w:r w:rsidRPr="0EB4C282">
        <w:rPr>
          <w:rFonts w:eastAsia="Times New Roman"/>
          <w:b/>
          <w:bCs/>
          <w:lang w:val="en-US" w:eastAsia="uk-UA"/>
        </w:rPr>
        <w:t>ontract</w:t>
      </w:r>
      <w:r w:rsidR="00D07B97" w:rsidRPr="0EB4C282">
        <w:rPr>
          <w:rFonts w:eastAsia="Times New Roman"/>
          <w:lang w:val="en-US" w:eastAsia="uk-UA"/>
        </w:rPr>
        <w:t xml:space="preserve">, </w:t>
      </w:r>
      <w:r w:rsidR="00D07B97" w:rsidRPr="0EB4C282">
        <w:rPr>
          <w:rFonts w:eastAsia="Times New Roman"/>
          <w:b/>
          <w:bCs/>
          <w:lang w:val="en-US"/>
        </w:rPr>
        <w:t>without any extension options.</w:t>
      </w:r>
    </w:p>
    <w:p w14:paraId="11D05AB8" w14:textId="5DCA91ED" w:rsidR="00683835" w:rsidRPr="00AC68FB" w:rsidRDefault="00527A5D" w:rsidP="00AC68FB">
      <w:pPr>
        <w:numPr>
          <w:ilvl w:val="1"/>
          <w:numId w:val="5"/>
        </w:numPr>
        <w:tabs>
          <w:tab w:val="left" w:pos="426"/>
        </w:tabs>
        <w:spacing w:after="0" w:line="240" w:lineRule="auto"/>
        <w:ind w:left="0" w:firstLine="0"/>
        <w:jc w:val="both"/>
        <w:rPr>
          <w:rFonts w:eastAsia="Times New Roman"/>
          <w:shd w:val="clear" w:color="auto" w:fill="E7E6E6" w:themeFill="background2"/>
          <w:lang w:val="en-US" w:eastAsia="uk-UA"/>
        </w:rPr>
      </w:pPr>
      <w:r w:rsidRPr="0EB4C282">
        <w:rPr>
          <w:rFonts w:eastAsia="Times New Roman"/>
          <w:lang w:val="en-US" w:eastAsia="uk-UA"/>
        </w:rPr>
        <w:t>The place of acceptance of the Goods</w:t>
      </w:r>
      <w:r w:rsidR="00793FD2" w:rsidRPr="0EB4C282">
        <w:rPr>
          <w:rFonts w:eastAsia="Times New Roman"/>
          <w:lang w:val="en-US" w:eastAsia="uk-UA"/>
        </w:rPr>
        <w:t xml:space="preserve"> </w:t>
      </w:r>
      <w:r w:rsidR="00F157FC" w:rsidRPr="0EB4C282">
        <w:rPr>
          <w:rFonts w:eastAsia="Times New Roman"/>
          <w:lang w:val="en-US" w:eastAsia="uk-UA"/>
        </w:rPr>
        <w:t xml:space="preserve">- </w:t>
      </w:r>
      <w:r w:rsidR="0027212B" w:rsidRPr="0027212B">
        <w:rPr>
          <w:rFonts w:eastAsia="Times New Roman"/>
          <w:b/>
          <w:bCs/>
          <w:shd w:val="clear" w:color="auto" w:fill="E7E6E6" w:themeFill="background2"/>
          <w:lang w:eastAsia="uk-UA"/>
        </w:rPr>
        <w:t>Chișinău, Republic of Moldova</w:t>
      </w:r>
      <w:r w:rsidR="00F53BF6" w:rsidRPr="00AC68FB">
        <w:rPr>
          <w:rFonts w:eastAsia="Times New Roman"/>
          <w:b/>
          <w:bCs/>
          <w:lang w:val="en-US" w:eastAsia="uk-UA"/>
        </w:rPr>
        <w:t xml:space="preserve">. </w:t>
      </w:r>
      <w:r w:rsidR="00F53BF6" w:rsidRPr="00AC68FB">
        <w:rPr>
          <w:rFonts w:eastAsia="Times New Roman"/>
          <w:lang w:val="en-US" w:eastAsia="uk-UA"/>
        </w:rPr>
        <w:t>The exact delivery addresses will be communicated to the Supplier at the time</w:t>
      </w:r>
      <w:r w:rsidR="00F74E48" w:rsidRPr="00AC68FB">
        <w:rPr>
          <w:rFonts w:eastAsia="Times New Roman"/>
          <w:b/>
          <w:bCs/>
          <w:lang w:val="en-US" w:eastAsia="uk-UA"/>
        </w:rPr>
        <w:t xml:space="preserve"> </w:t>
      </w:r>
      <w:r w:rsidR="00F74E48" w:rsidRPr="00AC68FB">
        <w:rPr>
          <w:rFonts w:eastAsia="Times New Roman"/>
          <w:lang w:val="en-US" w:eastAsia="uk-UA"/>
        </w:rPr>
        <w:t>of</w:t>
      </w:r>
      <w:r w:rsidR="00F74E48" w:rsidRPr="00AC68FB">
        <w:rPr>
          <w:rFonts w:eastAsia="Times New Roman"/>
          <w:b/>
          <w:bCs/>
          <w:lang w:val="en-US" w:eastAsia="uk-UA"/>
        </w:rPr>
        <w:t xml:space="preserve"> </w:t>
      </w:r>
      <w:r w:rsidR="00F53BF6" w:rsidRPr="00AC68FB">
        <w:rPr>
          <w:rFonts w:eastAsia="Times New Roman"/>
          <w:lang w:val="en-US" w:eastAsia="uk-UA"/>
        </w:rPr>
        <w:t>Contract execution</w:t>
      </w:r>
      <w:r w:rsidR="00434D1F" w:rsidRPr="00AC68FB">
        <w:rPr>
          <w:rFonts w:eastAsia="Times New Roman"/>
          <w:lang w:val="en-US" w:eastAsia="uk-UA"/>
        </w:rPr>
        <w:t>.</w:t>
      </w:r>
      <w:r w:rsidR="00683835" w:rsidRPr="00AC68FB">
        <w:rPr>
          <w:rFonts w:eastAsia="Times New Roman"/>
          <w:lang w:val="en-US" w:eastAsia="uk-UA"/>
        </w:rPr>
        <w:t xml:space="preserve"> </w:t>
      </w:r>
    </w:p>
    <w:p w14:paraId="0C541112" w14:textId="15484058" w:rsidR="00527A5D" w:rsidRPr="00657469" w:rsidRDefault="0EB4C282" w:rsidP="0EB4C282">
      <w:pPr>
        <w:numPr>
          <w:ilvl w:val="1"/>
          <w:numId w:val="5"/>
        </w:numPr>
        <w:tabs>
          <w:tab w:val="left" w:pos="567"/>
        </w:tabs>
        <w:spacing w:after="0" w:line="240" w:lineRule="auto"/>
        <w:ind w:left="0" w:firstLine="0"/>
        <w:jc w:val="both"/>
        <w:rPr>
          <w:rFonts w:eastAsia="Times New Roman"/>
          <w:b/>
          <w:bCs/>
          <w:lang w:val="en-US" w:eastAsia="uk-UA"/>
        </w:rPr>
      </w:pPr>
      <w:r w:rsidRPr="0EB4C282">
        <w:rPr>
          <w:rFonts w:eastAsia="Times New Roman"/>
          <w:lang w:val="en-US" w:eastAsia="uk-UA"/>
        </w:rPr>
        <w:t>Advance payment is not applicable.</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EB4C282">
      <w:pPr>
        <w:pStyle w:val="ListParagraph"/>
        <w:keepNext/>
        <w:numPr>
          <w:ilvl w:val="0"/>
          <w:numId w:val="2"/>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EB4C282">
      <w:pPr>
        <w:pStyle w:val="ListParagraph"/>
        <w:numPr>
          <w:ilvl w:val="1"/>
          <w:numId w:val="10"/>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EB4C282">
      <w:pPr>
        <w:pStyle w:val="ListParagraph"/>
        <w:numPr>
          <w:ilvl w:val="1"/>
          <w:numId w:val="10"/>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3.2.1. the Contracting Authority will invite the supplier to tender by sending the tender documents to the supplier;</w:t>
      </w:r>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3.2.2.the Contracting Authority, having evaluated the tenders, shall determine the ranking of tenders and decide on the winning tender - the cheapest supplier provider;</w:t>
      </w:r>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3.2.3. the Contracting Authority will check the qualification referred to in point 9.1 of the Procurement Documents only for the supplier who will be recognized as the winner, and its price will be the lowest;</w:t>
      </w:r>
    </w:p>
    <w:p w14:paraId="50D7E237" w14:textId="21ECAF0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3.2.4. the Contracting Authority shall sign a contract with the successful tenderer.</w:t>
      </w:r>
    </w:p>
    <w:p w14:paraId="6DB8D065" w14:textId="76F32FC8"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w:t>
      </w:r>
      <w:r w:rsidR="00A86527" w:rsidRPr="0EB4C282">
        <w:rPr>
          <w:rFonts w:eastAsia="Times New Roman"/>
          <w:lang w:val="en-US" w:eastAsia="uk-UA"/>
        </w:rPr>
        <w:t>3</w:t>
      </w:r>
      <w:r w:rsidR="00DE6427" w:rsidRPr="007B1F38">
        <w:rPr>
          <w:rFonts w:eastAsia="Times New Roman"/>
          <w:lang w:val="en-US" w:eastAsia="uk-UA"/>
        </w:rPr>
        <w:t>.</w:t>
      </w:r>
      <w:r w:rsidRPr="007B1F38">
        <w:rPr>
          <w:rFonts w:eastAsia="Times New Roman"/>
          <w:lang w:val="en-US" w:eastAsia="uk-UA"/>
        </w:rPr>
        <w:t xml:space="preserve"> </w:t>
      </w:r>
      <w:r w:rsidR="005B5BA3" w:rsidRPr="009851A9">
        <w:rPr>
          <w:rFonts w:eastAsia="Times New Roman"/>
          <w:b/>
          <w:bCs/>
          <w:u w:val="single"/>
          <w:lang w:val="en-US" w:eastAsia="uk-UA"/>
        </w:rPr>
        <w:t>The approved budget of the Procurement is 132 300,00 Eur with VAT. This amount is not to be regarded as an excessive and unacceptable amount of funds for the contracting authority. Please note that the price of the supplier's tender may exceed the maximum amount of funds available for the procurement as set out in this point but may not exceed the price recorded in the Commission's internal documents as being excessive and unacceptable to the contracting authority.</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EB4C282">
      <w:pPr>
        <w:keepNext/>
        <w:numPr>
          <w:ilvl w:val="0"/>
          <w:numId w:val="2"/>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The deadline for submission of the Tender Form (date and time) will be indicated in the notice of procurement published in the CPP IS;</w:t>
      </w:r>
      <w:r w:rsidRPr="0EB4C282">
        <w:rPr>
          <w:rFonts w:eastAsia="Times New Roman"/>
          <w:b/>
          <w:bCs/>
          <w:u w:val="single"/>
          <w:lang w:val="en-US"/>
        </w:rPr>
        <w:t xml:space="preserve"> </w:t>
      </w:r>
    </w:p>
    <w:p w14:paraId="27C0B829" w14:textId="570D515F" w:rsidR="00982575" w:rsidRPr="009851A9"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Declaration of Honour on Grounds for Exclusion</w:t>
      </w:r>
      <w:r w:rsidRPr="0EB4C282">
        <w:rPr>
          <w:rFonts w:eastAsia="Arial Unicode MS"/>
          <w:u w:val="single"/>
          <w:lang w:val="en-US"/>
        </w:rPr>
        <w:t xml:space="preserve"> </w:t>
      </w:r>
      <w:r w:rsidRPr="0EB4C282">
        <w:rPr>
          <w:rFonts w:eastAsia="Arial Unicode MS"/>
          <w:b/>
          <w:bCs/>
          <w:u w:val="single"/>
          <w:lang w:val="en-US"/>
        </w:rPr>
        <w:t>(Annex 3)</w:t>
      </w:r>
      <w:r w:rsidRPr="0EB4C282">
        <w:rPr>
          <w:rFonts w:eastAsia="Arial Unicode MS"/>
          <w:u w:val="single"/>
          <w:lang w:val="en-US"/>
        </w:rPr>
        <w:t>.</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resulted failure to submit or late receipt of the Tender. Tenders submitted too late shall not be accepted. </w:t>
      </w:r>
    </w:p>
    <w:p w14:paraId="1C2C26DD" w14:textId="167427C5" w:rsidR="0094653C" w:rsidRPr="007F26FA" w:rsidRDefault="0EB4C282" w:rsidP="0EB4C282">
      <w:pPr>
        <w:spacing w:after="0" w:line="240" w:lineRule="auto"/>
        <w:jc w:val="both"/>
        <w:rPr>
          <w:rFonts w:eastAsia="Times New Roman"/>
          <w:lang w:val="en-US"/>
        </w:rPr>
      </w:pPr>
      <w:r w:rsidRPr="0EB4C282">
        <w:rPr>
          <w:rFonts w:eastAsia="Times New Roman"/>
          <w:lang w:val="en-US"/>
        </w:rPr>
        <w:lastRenderedPageBreak/>
        <w:t>4.3. The price of the Goods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The price quoted for the Goods in the tender shall be inclusive of all taxes and all costs, including delivery costs, costs of exporting the Goods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258D18D1" w14:textId="4BC108D9"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Pr="0EB4C282">
        <w:rPr>
          <w:rFonts w:eastAsia="Times New Roman"/>
          <w:lang w:val="en-GB"/>
        </w:rPr>
        <w:t>If the purchased Goods will be exported to</w:t>
      </w:r>
      <w:r w:rsidRPr="0EB4C282">
        <w:rPr>
          <w:rFonts w:eastAsia="Times New Roman"/>
          <w:i/>
          <w:iCs/>
          <w:lang w:val="en-GB"/>
        </w:rPr>
        <w:t xml:space="preserve"> </w:t>
      </w:r>
      <w:sdt>
        <w:sdtPr>
          <w:rPr>
            <w:rFonts w:eastAsia="Times New Roman" w:cstheme="minorHAnsi"/>
            <w:i/>
            <w:iCs/>
            <w:lang w:val="en-GB"/>
          </w:rPr>
          <w:alias w:val="Select"/>
          <w:tag w:val="Select"/>
          <w:id w:val="230970399"/>
          <w:placeholder>
            <w:docPart w:val="172A5CA9532C457AA043042E024C7CBD"/>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27212B">
            <w:rPr>
              <w:rFonts w:eastAsia="Times New Roman" w:cstheme="minorHAnsi"/>
              <w:i/>
              <w:iCs/>
              <w:lang w:val="en-GB"/>
            </w:rPr>
            <w:t>Republic of Moldova</w:t>
          </w:r>
        </w:sdtContent>
      </w:sdt>
      <w:r w:rsidRPr="0EB4C282">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EB087C4"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Pr="0EB4C282">
        <w:rPr>
          <w:rFonts w:eastAsia="Times New Roman"/>
          <w:lang w:val="en-GB"/>
        </w:rPr>
        <w:t xml:space="preserve">If the Goods to be purchased will be imported into </w:t>
      </w:r>
      <w:sdt>
        <w:sdtPr>
          <w:rPr>
            <w:rFonts w:eastAsia="Times New Roman" w:cstheme="minorHAnsi"/>
            <w:i/>
            <w:iCs/>
            <w:lang w:val="en-GB"/>
          </w:rPr>
          <w:alias w:val="Select"/>
          <w:tag w:val="Select"/>
          <w:id w:val="1117729645"/>
          <w:placeholder>
            <w:docPart w:val="1D27A806F0C5472182F019957C043870"/>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27212B">
            <w:rPr>
              <w:rFonts w:eastAsia="Times New Roman" w:cstheme="minorHAnsi"/>
              <w:i/>
              <w:iCs/>
              <w:lang w:val="en-GB"/>
            </w:rPr>
            <w:t>Republic of Moldova</w:t>
          </w:r>
        </w:sdtContent>
      </w:sdt>
      <w:r w:rsidRPr="0EB4C282">
        <w:rPr>
          <w:rFonts w:eastAsia="Times New Roman"/>
          <w:lang w:val="en-GB"/>
        </w:rPr>
        <w:t>, all import procedures and import-related documents are handled and signed by the Beneficiary. All taxes and costs related to the import shall be the responsibility of the Beneficiary.</w:t>
      </w:r>
      <w:r w:rsidR="004270C6" w:rsidRPr="0EB4C282">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048D1411"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4.8. The Supplier who intends to use a subcontractor for the performance of the Contract in Tender Form (Annex 2) must indicate this subcontractor and the part of the Contract for which it is intended to be used (if known). Also, must be provided documents proving the availability to use subcontractor capabilities.</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EB4C282">
      <w:pPr>
        <w:keepNext/>
        <w:numPr>
          <w:ilvl w:val="0"/>
          <w:numId w:val="2"/>
        </w:numPr>
        <w:spacing w:after="0" w:line="240" w:lineRule="auto"/>
        <w:ind w:left="709" w:hanging="425"/>
        <w:jc w:val="center"/>
        <w:outlineLvl w:val="0"/>
        <w:rPr>
          <w:rFonts w:eastAsia="Times New Roman"/>
          <w:b/>
          <w:bCs/>
          <w:lang w:val="en-US" w:eastAsia="uk-UA"/>
        </w:rPr>
      </w:pPr>
      <w:bookmarkStart w:id="4" w:name="_Toc353179166"/>
      <w:r w:rsidRPr="0EB4C282">
        <w:rPr>
          <w:rFonts w:eastAsia="Times New Roman"/>
          <w:b/>
          <w:bCs/>
          <w:kern w:val="32"/>
          <w:lang w:val="en-US" w:eastAsia="uk-UA"/>
        </w:rPr>
        <w:t>EXPLANATION AND REVISION OF THE PROCUREMENT DOCUMENTATION</w:t>
      </w:r>
      <w:bookmarkEnd w:id="4"/>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the CPP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5.3. Before the deadline for submission of tenders, the Commission is entitled to explain (clarify) the Procurement Documentation on its own initiative. Explanations must be published 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0AEBE59D" w14:textId="77777777" w:rsidR="003E651D" w:rsidRPr="003E651D" w:rsidRDefault="003E651D" w:rsidP="003E651D">
      <w:pPr>
        <w:keepNext/>
        <w:numPr>
          <w:ilvl w:val="0"/>
          <w:numId w:val="2"/>
        </w:numPr>
        <w:spacing w:after="0" w:line="240" w:lineRule="auto"/>
        <w:ind w:left="426" w:hanging="426"/>
        <w:contextualSpacing/>
        <w:jc w:val="center"/>
        <w:outlineLvl w:val="0"/>
        <w:rPr>
          <w:rFonts w:eastAsia="Times New Roman"/>
          <w:b/>
          <w:bCs/>
          <w:spacing w:val="-2"/>
          <w:lang w:val="en-GB" w:eastAsia="uk-UA"/>
        </w:rPr>
      </w:pPr>
      <w:bookmarkStart w:id="5" w:name="_Toc506979276"/>
      <w:r w:rsidRPr="003E651D">
        <w:rPr>
          <w:rFonts w:eastAsia="Times New Roman"/>
          <w:b/>
          <w:bCs/>
          <w:spacing w:val="-2"/>
          <w:lang w:val="en-GB" w:eastAsia="uk-UA"/>
        </w:rPr>
        <w:t>CRITERIA AND PROCEDURE FOR EVALUATING TENDERS</w:t>
      </w:r>
    </w:p>
    <w:bookmarkEnd w:id="5"/>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74C7AF61" w14:textId="22DFD65A" w:rsidR="00B826E0" w:rsidRPr="00B826E0" w:rsidRDefault="00B826E0" w:rsidP="00B826E0">
      <w:pPr>
        <w:spacing w:line="240" w:lineRule="auto"/>
        <w:jc w:val="both"/>
        <w:rPr>
          <w:rFonts w:ascii="Calibri" w:eastAsia="Times New Roman" w:hAnsi="Calibri" w:cs="Calibri"/>
          <w:color w:val="000000"/>
          <w:spacing w:val="-8"/>
          <w:lang w:val="en-GB"/>
        </w:rPr>
      </w:pPr>
      <w:r w:rsidRPr="00B826E0">
        <w:rPr>
          <w:rFonts w:ascii="Calibri" w:eastAsia="Times New Roman" w:hAnsi="Calibri" w:cs="Calibri"/>
          <w:color w:val="000000"/>
          <w:spacing w:val="-8"/>
          <w:lang w:val="en-GB"/>
        </w:rPr>
        <w:t>6.1. The most economically advantageous tender is selected based on price-quality ratio.</w:t>
      </w:r>
    </w:p>
    <w:p w14:paraId="2BA0256F" w14:textId="77777777" w:rsidR="00B826E0" w:rsidRPr="00B826E0" w:rsidRDefault="00B826E0" w:rsidP="00B826E0">
      <w:pPr>
        <w:spacing w:after="0" w:line="240" w:lineRule="auto"/>
        <w:jc w:val="both"/>
        <w:rPr>
          <w:rFonts w:ascii="Calibri" w:eastAsia="Times New Roman" w:hAnsi="Calibri" w:cs="Calibri"/>
          <w:color w:val="000000"/>
          <w:spacing w:val="-8"/>
          <w:lang w:val="en-GB"/>
        </w:rPr>
      </w:pPr>
      <w:r w:rsidRPr="00B826E0">
        <w:rPr>
          <w:rFonts w:ascii="Calibri" w:eastAsia="Times New Roman" w:hAnsi="Calibri" w:cs="Calibri"/>
          <w:color w:val="000000"/>
          <w:spacing w:val="-8"/>
          <w:lang w:val="en-GB"/>
        </w:rPr>
        <w:t xml:space="preserve">6.2. </w:t>
      </w:r>
      <w:r w:rsidRPr="00B826E0">
        <w:rPr>
          <w:rFonts w:ascii="Calibri" w:eastAsia="Calibri" w:hAnsi="Calibri" w:cs="Calibri"/>
          <w:spacing w:val="-8"/>
          <w:lang w:val="en-GB" w:eastAsia="lt-LT"/>
        </w:rPr>
        <w:t>The most economically advantageous tender will be selected based on the following criteria and parameters:</w:t>
      </w:r>
    </w:p>
    <w:p w14:paraId="39C8DD47" w14:textId="77777777" w:rsidR="00B826E0" w:rsidRPr="00B826E0" w:rsidRDefault="00B826E0" w:rsidP="00B826E0">
      <w:pPr>
        <w:spacing w:after="0" w:line="240" w:lineRule="auto"/>
        <w:jc w:val="both"/>
        <w:rPr>
          <w:rFonts w:ascii="Calibri" w:eastAsia="Times New Roman" w:hAnsi="Calibri" w:cs="Calibri"/>
          <w:color w:val="000000"/>
          <w:spacing w:val="-8"/>
          <w:lang w:val="en-GB"/>
        </w:rPr>
      </w:pPr>
    </w:p>
    <w:tbl>
      <w:tblPr>
        <w:tblW w:w="5372" w:type="pct"/>
        <w:tblInd w:w="-577" w:type="dxa"/>
        <w:tblCellMar>
          <w:left w:w="0" w:type="dxa"/>
          <w:right w:w="0" w:type="dxa"/>
        </w:tblCellMar>
        <w:tblLook w:val="04A0" w:firstRow="1" w:lastRow="0" w:firstColumn="1" w:lastColumn="0" w:noHBand="0" w:noVBand="1"/>
      </w:tblPr>
      <w:tblGrid>
        <w:gridCol w:w="6286"/>
        <w:gridCol w:w="3920"/>
      </w:tblGrid>
      <w:tr w:rsidR="00B826E0" w:rsidRPr="00B826E0" w14:paraId="26CE4270" w14:textId="77777777" w:rsidTr="00D31A7C">
        <w:trPr>
          <w:cantSplit/>
          <w:tblHeader/>
        </w:trPr>
        <w:tc>
          <w:tcPr>
            <w:tcW w:w="6286"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69DDD158" w14:textId="77777777" w:rsidR="00B826E0" w:rsidRPr="00B826E0" w:rsidRDefault="00B826E0" w:rsidP="00B826E0">
            <w:pPr>
              <w:spacing w:after="0" w:line="240" w:lineRule="auto"/>
              <w:jc w:val="center"/>
              <w:rPr>
                <w:rFonts w:ascii="Calibri" w:eastAsia="Times New Roman" w:hAnsi="Calibri" w:cs="Calibri"/>
                <w:b/>
                <w:bCs/>
                <w:lang w:val="en-GB"/>
              </w:rPr>
            </w:pPr>
            <w:r w:rsidRPr="00B826E0">
              <w:rPr>
                <w:rFonts w:ascii="Calibri" w:eastAsia="Times New Roman" w:hAnsi="Calibri" w:cs="Calibri"/>
                <w:b/>
                <w:bCs/>
                <w:lang w:val="en-GB"/>
              </w:rPr>
              <w:t>Evaluation criteria</w:t>
            </w:r>
          </w:p>
        </w:tc>
        <w:tc>
          <w:tcPr>
            <w:tcW w:w="3920"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7DB51407" w14:textId="77777777" w:rsidR="00B826E0" w:rsidRPr="00B826E0" w:rsidRDefault="00B826E0" w:rsidP="00B826E0">
            <w:pPr>
              <w:spacing w:after="0" w:line="240" w:lineRule="auto"/>
              <w:ind w:hanging="7"/>
              <w:jc w:val="center"/>
              <w:rPr>
                <w:rFonts w:ascii="Calibri" w:eastAsia="Times New Roman" w:hAnsi="Calibri" w:cs="Calibri"/>
                <w:b/>
                <w:bCs/>
                <w:lang w:val="en-GB"/>
              </w:rPr>
            </w:pPr>
            <w:r w:rsidRPr="00B826E0">
              <w:rPr>
                <w:rFonts w:ascii="Calibri" w:eastAsia="Times New Roman" w:hAnsi="Calibri" w:cs="Calibri"/>
                <w:b/>
                <w:bCs/>
                <w:lang w:val="en-GB"/>
              </w:rPr>
              <w:t>Comparative weighting in the cost-effectiveness assessment</w:t>
            </w:r>
          </w:p>
        </w:tc>
      </w:tr>
      <w:tr w:rsidR="00B826E0" w:rsidRPr="00B826E0" w14:paraId="52C7309A" w14:textId="77777777" w:rsidTr="00D31A7C">
        <w:trPr>
          <w:cantSplit/>
        </w:trPr>
        <w:tc>
          <w:tcPr>
            <w:tcW w:w="62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D779C2" w14:textId="77777777" w:rsidR="00B826E0" w:rsidRPr="00B826E0" w:rsidRDefault="00B826E0" w:rsidP="00B826E0">
            <w:pPr>
              <w:spacing w:after="0" w:line="240" w:lineRule="auto"/>
              <w:jc w:val="both"/>
              <w:rPr>
                <w:rFonts w:ascii="Calibri" w:eastAsia="Times New Roman" w:hAnsi="Calibri" w:cs="Calibri"/>
                <w:b/>
                <w:bCs/>
                <w:lang w:val="en-GB"/>
              </w:rPr>
            </w:pPr>
            <w:r w:rsidRPr="00B826E0">
              <w:rPr>
                <w:rFonts w:ascii="Calibri" w:eastAsia="Times New Roman" w:hAnsi="Calibri" w:cs="Calibri"/>
                <w:b/>
                <w:bCs/>
                <w:lang w:val="en-GB"/>
              </w:rPr>
              <w:t>First criterion: price (C)</w:t>
            </w:r>
          </w:p>
        </w:tc>
        <w:tc>
          <w:tcPr>
            <w:tcW w:w="39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6F4B9" w14:textId="65448AF8" w:rsidR="00B826E0" w:rsidRPr="00B826E0" w:rsidRDefault="00B826E0" w:rsidP="00B826E0">
            <w:pPr>
              <w:spacing w:after="0" w:line="240" w:lineRule="auto"/>
              <w:jc w:val="center"/>
              <w:rPr>
                <w:rFonts w:ascii="Calibri" w:eastAsia="Times New Roman" w:hAnsi="Calibri" w:cs="Calibri"/>
                <w:lang w:val="en-GB"/>
              </w:rPr>
            </w:pPr>
            <w:r w:rsidRPr="00B826E0">
              <w:rPr>
                <w:rFonts w:ascii="Calibri" w:eastAsia="Times New Roman" w:hAnsi="Calibri" w:cs="Calibri"/>
                <w:lang w:val="en-GB"/>
              </w:rPr>
              <w:t xml:space="preserve">X= </w:t>
            </w:r>
            <w:r>
              <w:rPr>
                <w:rFonts w:ascii="Calibri" w:eastAsia="Times New Roman" w:hAnsi="Calibri" w:cs="Calibri"/>
                <w:lang w:val="en-GB"/>
              </w:rPr>
              <w:t>6</w:t>
            </w:r>
            <w:r w:rsidRPr="00B826E0">
              <w:rPr>
                <w:rFonts w:ascii="Calibri" w:eastAsia="Times New Roman" w:hAnsi="Calibri" w:cs="Calibri"/>
                <w:lang w:val="en-GB"/>
              </w:rPr>
              <w:t>0</w:t>
            </w:r>
          </w:p>
        </w:tc>
      </w:tr>
      <w:tr w:rsidR="00B826E0" w:rsidRPr="00B826E0" w14:paraId="2995B9C3" w14:textId="77777777" w:rsidTr="00D31A7C">
        <w:tc>
          <w:tcPr>
            <w:tcW w:w="62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06427" w14:textId="77777777" w:rsidR="00B826E0" w:rsidRPr="00B826E0" w:rsidRDefault="00B826E0" w:rsidP="00B826E0">
            <w:pPr>
              <w:spacing w:after="0" w:line="240" w:lineRule="auto"/>
              <w:rPr>
                <w:rFonts w:ascii="Calibri" w:eastAsia="Times New Roman" w:hAnsi="Calibri" w:cs="Calibri"/>
                <w:b/>
                <w:bCs/>
                <w:lang w:val="en-GB"/>
              </w:rPr>
            </w:pPr>
            <w:r w:rsidRPr="00B826E0">
              <w:rPr>
                <w:rFonts w:ascii="Calibri" w:eastAsia="Times New Roman" w:hAnsi="Calibri" w:cs="Calibri"/>
                <w:b/>
                <w:bCs/>
                <w:lang w:val="en-GB"/>
              </w:rPr>
              <w:t>Criterion 2: Delivery time (T)</w:t>
            </w:r>
          </w:p>
          <w:p w14:paraId="2A2F0EB3" w14:textId="77777777" w:rsidR="00B826E0" w:rsidRPr="00B826E0" w:rsidRDefault="00B826E0" w:rsidP="00B826E0">
            <w:pPr>
              <w:spacing w:after="0" w:line="240" w:lineRule="auto"/>
              <w:rPr>
                <w:rFonts w:ascii="Calibri" w:eastAsia="Times New Roman" w:hAnsi="Calibri" w:cs="Calibri"/>
                <w:b/>
                <w:bCs/>
                <w:i/>
                <w:iCs/>
                <w:lang w:val="en-GB"/>
              </w:rPr>
            </w:pPr>
            <w:r w:rsidRPr="00B826E0">
              <w:rPr>
                <w:rFonts w:ascii="Calibri" w:eastAsia="Times New Roman" w:hAnsi="Calibri" w:cs="Calibri"/>
                <w:b/>
                <w:bCs/>
                <w:i/>
                <w:iCs/>
                <w:lang w:val="en-GB"/>
              </w:rPr>
              <w:t>(max. 5 points)</w:t>
            </w:r>
          </w:p>
        </w:tc>
        <w:tc>
          <w:tcPr>
            <w:tcW w:w="39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53BD65" w14:textId="7C3EC296" w:rsidR="00B826E0" w:rsidRPr="00B826E0" w:rsidRDefault="00B826E0" w:rsidP="00B826E0">
            <w:pPr>
              <w:spacing w:after="0" w:line="240" w:lineRule="auto"/>
              <w:jc w:val="center"/>
              <w:rPr>
                <w:rFonts w:ascii="Calibri" w:eastAsia="Times New Roman" w:hAnsi="Calibri" w:cs="Calibri"/>
                <w:lang w:val="en-GB"/>
              </w:rPr>
            </w:pPr>
            <w:r w:rsidRPr="00B826E0">
              <w:rPr>
                <w:rFonts w:ascii="Calibri" w:eastAsia="Times New Roman" w:hAnsi="Calibri" w:cs="Calibri"/>
                <w:lang w:val="en-GB"/>
              </w:rPr>
              <w:t xml:space="preserve">Y= </w:t>
            </w:r>
            <w:r>
              <w:rPr>
                <w:rFonts w:ascii="Calibri" w:eastAsia="Times New Roman" w:hAnsi="Calibri" w:cs="Calibri"/>
                <w:lang w:val="en-GB"/>
              </w:rPr>
              <w:t>4</w:t>
            </w:r>
            <w:r w:rsidRPr="00B826E0">
              <w:rPr>
                <w:rFonts w:ascii="Calibri" w:eastAsia="Times New Roman" w:hAnsi="Calibri" w:cs="Calibri"/>
                <w:lang w:val="en-GB"/>
              </w:rPr>
              <w:t>0</w:t>
            </w:r>
          </w:p>
        </w:tc>
      </w:tr>
    </w:tbl>
    <w:p w14:paraId="70044128" w14:textId="77777777" w:rsidR="00B826E0" w:rsidRPr="00B826E0" w:rsidRDefault="00B826E0" w:rsidP="00B826E0">
      <w:pPr>
        <w:spacing w:after="0" w:line="240" w:lineRule="auto"/>
        <w:ind w:left="-567"/>
        <w:jc w:val="both"/>
        <w:rPr>
          <w:rFonts w:ascii="Calibri" w:eastAsia="Calibri" w:hAnsi="Calibri" w:cs="Calibri"/>
          <w:b/>
          <w:spacing w:val="-8"/>
          <w:lang w:val="en-GB" w:eastAsia="lt-LT"/>
        </w:rPr>
      </w:pPr>
    </w:p>
    <w:p w14:paraId="6E449B22"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 xml:space="preserve">6.3. The </w:t>
      </w:r>
      <w:r w:rsidRPr="00B826E0">
        <w:rPr>
          <w:rFonts w:ascii="Calibri" w:eastAsia="Times New Roman" w:hAnsi="Calibri" w:cs="Calibri"/>
          <w:color w:val="000000"/>
          <w:spacing w:val="-8"/>
          <w:lang w:val="en-GB"/>
        </w:rPr>
        <w:t>price-quality ratio</w:t>
      </w:r>
      <w:r w:rsidRPr="00B826E0">
        <w:rPr>
          <w:rFonts w:ascii="Calibri" w:eastAsia="Calibri" w:hAnsi="Calibri" w:cs="Calibri"/>
          <w:spacing w:val="-8"/>
          <w:lang w:val="en-GB" w:eastAsia="lt-LT"/>
        </w:rPr>
        <w:t xml:space="preserve"> (S) is calculated by adding the supplier's bid price (C) and the other criteria (T)</w:t>
      </w:r>
    </w:p>
    <w:p w14:paraId="59004E14"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7BC0304D"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1709EE6A" w14:textId="55A19F8E"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 xml:space="preserve">6.4. The scores for the first criterion (C) shall be calculated according to the following formula, where (Cp) is the price of the tender to be evaluated, (Cmax) is the maximum amount of funds available for this procurement  EUR </w:t>
      </w:r>
      <w:r w:rsidRPr="00B826E0">
        <w:rPr>
          <w:rFonts w:ascii="Calibri" w:eastAsia="Calibri" w:hAnsi="Calibri" w:cs="Calibri"/>
          <w:b/>
          <w:bCs/>
          <w:spacing w:val="-8"/>
          <w:u w:val="single"/>
          <w:lang w:val="en-US" w:eastAsia="lt-LT"/>
        </w:rPr>
        <w:t xml:space="preserve">132 300,00 </w:t>
      </w:r>
      <w:r w:rsidRPr="00B826E0">
        <w:rPr>
          <w:rFonts w:ascii="Calibri" w:eastAsia="Calibri" w:hAnsi="Calibri" w:cs="Calibri"/>
          <w:spacing w:val="-8"/>
          <w:lang w:val="en-GB" w:eastAsia="lt-LT"/>
        </w:rPr>
        <w:t>incl. VAT, which will be considered by the contracting authority to be not excessive and acceptable, and where tenders in excess of the above mentioned price are to be rejected, (X) is the comparative weight of the price</w:t>
      </w:r>
    </w:p>
    <w:p w14:paraId="730C1679" w14:textId="77777777" w:rsidR="00B826E0" w:rsidRPr="00B826E0" w:rsidRDefault="00B826E0" w:rsidP="00B826E0">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31C7021D"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3AA8EA94"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6.5. The score for the second criterion (T) shall be calculated by multiplying the ratio between the criterion value (Tp) of the evaluated proposal and the maximum possible value (Tmax) of the criterion (i.e. 5 points) by the comparative weighting of the evaluated criterion (Y):</w:t>
      </w:r>
    </w:p>
    <w:p w14:paraId="7D3BF3A6" w14:textId="77777777" w:rsidR="00B826E0" w:rsidRPr="00B826E0" w:rsidRDefault="00B826E0" w:rsidP="00B826E0">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B826E0">
        <w:rPr>
          <w:rFonts w:ascii="Calibri" w:eastAsia="Calibri" w:hAnsi="Calibri" w:cs="Calibri"/>
          <w:i/>
          <w:spacing w:val="-8"/>
          <w:lang w:val="en-GB" w:eastAsia="lt-LT"/>
        </w:rPr>
        <w:t>.</w:t>
      </w:r>
    </w:p>
    <w:p w14:paraId="7FFF16DF"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781D54AE"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6.8. Rounded to two decimal places.</w:t>
      </w:r>
    </w:p>
    <w:p w14:paraId="1846982A"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 Rules for the award of points under evaluation criterion T "Delivery time":</w:t>
      </w:r>
    </w:p>
    <w:p w14:paraId="67484DF6" w14:textId="77777777" w:rsidR="00B826E0" w:rsidRPr="00B826E0" w:rsidRDefault="00B826E0" w:rsidP="00B826E0">
      <w:pPr>
        <w:tabs>
          <w:tab w:val="left" w:pos="567"/>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6.9.1.</w:t>
      </w:r>
      <w:r w:rsidRPr="00B826E0">
        <w:rPr>
          <w:rFonts w:ascii="Calibri" w:eastAsia="Calibri" w:hAnsi="Calibri" w:cs="Calibri"/>
          <w:spacing w:val="-8"/>
          <w:lang w:val="en-GB" w:eastAsia="lt-LT"/>
        </w:rPr>
        <w:tab/>
        <w:t>The Commission evaluates the tender under criterion T "Time for delivery" by assigning a score according to the requirements set out;</w:t>
      </w:r>
    </w:p>
    <w:p w14:paraId="5BE3B3E0" w14:textId="77777777" w:rsidR="00B826E0" w:rsidRPr="00B826E0" w:rsidRDefault="00B826E0" w:rsidP="00B826E0">
      <w:pPr>
        <w:tabs>
          <w:tab w:val="left" w:pos="567"/>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6.9.2.</w:t>
      </w:r>
      <w:r w:rsidRPr="00B826E0">
        <w:rPr>
          <w:rFonts w:ascii="Calibri" w:eastAsia="Calibri" w:hAnsi="Calibri" w:cs="Calibri"/>
          <w:spacing w:val="-8"/>
          <w:lang w:val="en-GB" w:eastAsia="lt-LT"/>
        </w:rPr>
        <w:tab/>
        <w:t>The maximum number of points for criterion T "Delivery time" shall be 5 points.</w:t>
      </w:r>
    </w:p>
    <w:p w14:paraId="49788C97" w14:textId="77777777" w:rsidR="00B826E0" w:rsidRPr="00B826E0" w:rsidRDefault="00B826E0" w:rsidP="00B826E0">
      <w:pPr>
        <w:tabs>
          <w:tab w:val="left" w:pos="851"/>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6.9.3. For quality criterion T "Delivery time", points are awarded according to the delivery time proposed by the supplier. The following scoring scale shall be used for the evaluation of the criterion (T):</w:t>
      </w:r>
    </w:p>
    <w:tbl>
      <w:tblPr>
        <w:tblStyle w:val="TableGrid5"/>
        <w:tblW w:w="0" w:type="auto"/>
        <w:tblInd w:w="-567" w:type="dxa"/>
        <w:tblLook w:val="04A0" w:firstRow="1" w:lastRow="0" w:firstColumn="1" w:lastColumn="0" w:noHBand="0" w:noVBand="1"/>
      </w:tblPr>
      <w:tblGrid>
        <w:gridCol w:w="3194"/>
        <w:gridCol w:w="6882"/>
      </w:tblGrid>
      <w:tr w:rsidR="00B826E0" w:rsidRPr="00B826E0" w14:paraId="1F05B60D" w14:textId="77777777" w:rsidTr="008C0F5F">
        <w:tc>
          <w:tcPr>
            <w:tcW w:w="3320" w:type="dxa"/>
          </w:tcPr>
          <w:p w14:paraId="30B64C22"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0 points</w:t>
            </w:r>
          </w:p>
        </w:tc>
        <w:tc>
          <w:tcPr>
            <w:tcW w:w="7165" w:type="dxa"/>
          </w:tcPr>
          <w:p w14:paraId="5C936E92" w14:textId="3E039572"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does not propose or proposes a delivery period less than </w:t>
            </w:r>
            <w:r>
              <w:rPr>
                <w:rFonts w:ascii="Calibri" w:hAnsi="Calibri" w:cs="Calibri"/>
                <w:spacing w:val="-8"/>
                <w:lang w:val="en-GB"/>
              </w:rPr>
              <w:t>5</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Conditions.</w:t>
            </w:r>
          </w:p>
        </w:tc>
      </w:tr>
      <w:tr w:rsidR="00B826E0" w:rsidRPr="00B826E0" w14:paraId="1C7E15FD" w14:textId="77777777" w:rsidTr="008C0F5F">
        <w:tc>
          <w:tcPr>
            <w:tcW w:w="3320" w:type="dxa"/>
          </w:tcPr>
          <w:p w14:paraId="3925D07D"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1 point</w:t>
            </w:r>
          </w:p>
        </w:tc>
        <w:tc>
          <w:tcPr>
            <w:tcW w:w="7165" w:type="dxa"/>
          </w:tcPr>
          <w:p w14:paraId="7ABC14FD" w14:textId="1577F981"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5</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1EDB52C5" w14:textId="77777777" w:rsidTr="008C0F5F">
        <w:tc>
          <w:tcPr>
            <w:tcW w:w="3320" w:type="dxa"/>
          </w:tcPr>
          <w:p w14:paraId="2C1E49ED"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2 points</w:t>
            </w:r>
          </w:p>
        </w:tc>
        <w:tc>
          <w:tcPr>
            <w:tcW w:w="7165" w:type="dxa"/>
          </w:tcPr>
          <w:p w14:paraId="2106D9B9" w14:textId="18505FBC"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7</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02FAAA41" w14:textId="77777777" w:rsidTr="008C0F5F">
        <w:tc>
          <w:tcPr>
            <w:tcW w:w="3320" w:type="dxa"/>
          </w:tcPr>
          <w:p w14:paraId="5F030AC2"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3 points</w:t>
            </w:r>
          </w:p>
        </w:tc>
        <w:tc>
          <w:tcPr>
            <w:tcW w:w="7165" w:type="dxa"/>
          </w:tcPr>
          <w:p w14:paraId="12C0A15A" w14:textId="01E1B9C9"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14</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0700DC8F" w14:textId="77777777" w:rsidTr="008C0F5F">
        <w:tc>
          <w:tcPr>
            <w:tcW w:w="3320" w:type="dxa"/>
          </w:tcPr>
          <w:p w14:paraId="656227B3"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4 points</w:t>
            </w:r>
          </w:p>
        </w:tc>
        <w:tc>
          <w:tcPr>
            <w:tcW w:w="7165" w:type="dxa"/>
          </w:tcPr>
          <w:p w14:paraId="0199DEB1" w14:textId="5F463326"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 xml:space="preserve">21 </w:t>
            </w:r>
            <w:r w:rsidRPr="00B826E0">
              <w:rPr>
                <w:rFonts w:ascii="Calibri" w:hAnsi="Calibri" w:cs="Calibri"/>
                <w:spacing w:val="-8"/>
                <w:lang w:val="en-GB"/>
              </w:rPr>
              <w:t xml:space="preserve">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60F1D5E1" w14:textId="77777777" w:rsidTr="008C0F5F">
        <w:tc>
          <w:tcPr>
            <w:tcW w:w="3320" w:type="dxa"/>
          </w:tcPr>
          <w:p w14:paraId="471A0C87"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5 points</w:t>
            </w:r>
          </w:p>
        </w:tc>
        <w:tc>
          <w:tcPr>
            <w:tcW w:w="7165" w:type="dxa"/>
          </w:tcPr>
          <w:p w14:paraId="4D5F6D53" w14:textId="4F49BC8A"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30</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eastAsia="Times New Roman" w:hAnsi="Calibri" w:cs="Calibri"/>
                <w:color w:val="000000"/>
                <w:spacing w:val="-8"/>
                <w:lang w:val="en-GB"/>
              </w:rPr>
              <w:t>Conditions.</w:t>
            </w:r>
          </w:p>
        </w:tc>
      </w:tr>
    </w:tbl>
    <w:p w14:paraId="38A6F294" w14:textId="04206C8A" w:rsidR="00B826E0" w:rsidRPr="00B826E0" w:rsidRDefault="00B826E0" w:rsidP="00B826E0">
      <w:pPr>
        <w:spacing w:after="0" w:line="240" w:lineRule="auto"/>
        <w:ind w:left="-567"/>
        <w:jc w:val="both"/>
        <w:rPr>
          <w:rFonts w:ascii="Calibri" w:eastAsia="Calibri" w:hAnsi="Calibri" w:cs="Calibri"/>
          <w:i/>
          <w:spacing w:val="-8"/>
          <w:lang w:val="en-GB" w:eastAsia="lt-LT"/>
        </w:rPr>
      </w:pPr>
      <w:r w:rsidRPr="00B826E0">
        <w:rPr>
          <w:rFonts w:ascii="Calibri" w:eastAsia="Calibri" w:hAnsi="Calibri" w:cs="Calibri"/>
          <w:i/>
          <w:spacing w:val="-8"/>
          <w:lang w:val="en-GB" w:eastAsia="lt-LT"/>
        </w:rPr>
        <w:t xml:space="preserve">Note: the proposed delivery time is to be evaluated in whole numbers to the nearest day (e.g. if the proposed delivery time is 1.5 days shorter than the maximum delivery time stipulated in </w:t>
      </w:r>
      <w:r w:rsidRPr="0054422C">
        <w:rPr>
          <w:rFonts w:ascii="Calibri" w:eastAsia="Calibri" w:hAnsi="Calibri" w:cs="Calibri"/>
          <w:i/>
          <w:spacing w:val="-8"/>
          <w:lang w:val="en-GB" w:eastAsia="lt-LT"/>
        </w:rPr>
        <w:t xml:space="preserve">clause </w:t>
      </w:r>
      <w:r w:rsidR="0054422C" w:rsidRPr="00D31A7C">
        <w:rPr>
          <w:rFonts w:ascii="Calibri" w:eastAsia="Calibri" w:hAnsi="Calibri" w:cs="Calibri"/>
          <w:i/>
          <w:spacing w:val="-8"/>
          <w:lang w:val="en-GB" w:eastAsia="lt-LT"/>
        </w:rPr>
        <w:t>2.1</w:t>
      </w:r>
      <w:r w:rsidRPr="0054422C">
        <w:rPr>
          <w:rFonts w:ascii="Calibri" w:eastAsia="Calibri" w:hAnsi="Calibri" w:cs="Calibri"/>
          <w:i/>
          <w:spacing w:val="-8"/>
          <w:lang w:val="en-GB" w:eastAsia="lt-LT"/>
        </w:rPr>
        <w:t xml:space="preserve"> of the Conditions of Contract, the</w:t>
      </w:r>
      <w:r w:rsidRPr="00B826E0">
        <w:rPr>
          <w:rFonts w:ascii="Calibri" w:eastAsia="Calibri" w:hAnsi="Calibri" w:cs="Calibri"/>
          <w:i/>
          <w:spacing w:val="-8"/>
          <w:lang w:val="en-GB" w:eastAsia="lt-LT"/>
        </w:rPr>
        <w:t xml:space="preserve"> evaluation of this value would be based on the integers in the proposal, i.e. for a 1 day delivery time).</w:t>
      </w:r>
    </w:p>
    <w:p w14:paraId="77B4E96F" w14:textId="4148AD37" w:rsidR="00B826E0" w:rsidRPr="00B826E0" w:rsidRDefault="00B826E0" w:rsidP="00B826E0">
      <w:pPr>
        <w:spacing w:after="0" w:line="240" w:lineRule="auto"/>
        <w:ind w:left="-567" w:firstLine="567"/>
        <w:jc w:val="both"/>
        <w:rPr>
          <w:rFonts w:ascii="Calibri" w:eastAsia="Calibri" w:hAnsi="Calibri" w:cs="Calibri"/>
          <w:i/>
          <w:spacing w:val="-8"/>
          <w:lang w:val="en-GB" w:eastAsia="lt-LT"/>
        </w:rPr>
      </w:pPr>
      <w:r w:rsidRPr="00B826E0">
        <w:rPr>
          <w:rFonts w:ascii="Calibri" w:eastAsia="Calibri" w:hAnsi="Calibri" w:cs="Calibri"/>
          <w:iCs/>
          <w:spacing w:val="-8"/>
          <w:lang w:val="en-GB" w:eastAsia="lt-LT"/>
        </w:rPr>
        <w:t xml:space="preserve">6.10. The Supplier shall provide information on the Supplier's proposed delivery time in the Tender Form (Annex </w:t>
      </w:r>
      <w:r>
        <w:rPr>
          <w:rFonts w:ascii="Calibri" w:eastAsia="Calibri" w:hAnsi="Calibri" w:cs="Calibri"/>
          <w:iCs/>
          <w:spacing w:val="-8"/>
          <w:lang w:val="en-GB" w:eastAsia="lt-LT"/>
        </w:rPr>
        <w:t>2</w:t>
      </w:r>
      <w:r w:rsidRPr="00B826E0">
        <w:rPr>
          <w:rFonts w:ascii="Calibri" w:eastAsia="Calibri" w:hAnsi="Calibri" w:cs="Calibri"/>
          <w:iCs/>
          <w:spacing w:val="-8"/>
          <w:lang w:val="en-GB" w:eastAsia="lt-LT"/>
        </w:rPr>
        <w:t xml:space="preserve"> to the </w:t>
      </w:r>
      <w:r w:rsidRPr="00B826E0">
        <w:rPr>
          <w:rFonts w:ascii="Calibri" w:eastAsia="Calibri" w:hAnsi="Calibri" w:cs="Calibri"/>
          <w:spacing w:val="-8"/>
          <w:lang w:val="en-GB" w:eastAsia="lt-LT"/>
        </w:rPr>
        <w:t xml:space="preserve">Procurement </w:t>
      </w:r>
      <w:r w:rsidRPr="00B826E0">
        <w:rPr>
          <w:rFonts w:ascii="Calibri" w:eastAsia="Calibri" w:hAnsi="Calibri" w:cs="Calibri"/>
          <w:iCs/>
          <w:spacing w:val="-8"/>
          <w:lang w:val="en-GB" w:eastAsia="lt-LT"/>
        </w:rPr>
        <w:t>Conditions).</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EB4C282">
      <w:pPr>
        <w:keepNext/>
        <w:numPr>
          <w:ilvl w:val="0"/>
          <w:numId w:val="2"/>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lastRenderedPageBreak/>
        <w:t>8.2. Information on the results of the open procedure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The procurer must 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bookmarkStart w:id="6" w:name="_Toc353179162"/>
      <w:r w:rsidRPr="0EB4C282">
        <w:rPr>
          <w:rFonts w:eastAsia="Times New Roman"/>
          <w:b/>
          <w:bCs/>
          <w:lang w:val="en-US" w:eastAsia="uk-UA"/>
        </w:rPr>
        <w:t>QUALIFICATION REQUIREMENTS FOR THE SUPPLIERS</w:t>
      </w:r>
    </w:p>
    <w:bookmarkEnd w:id="6"/>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3402"/>
        <w:gridCol w:w="2976"/>
      </w:tblGrid>
      <w:tr w:rsidR="003A1812" w:rsidRPr="007F26FA" w14:paraId="6D676599" w14:textId="77777777" w:rsidTr="0EB4C282">
        <w:trPr>
          <w:trHeight w:val="144"/>
          <w:tblHeader/>
        </w:trPr>
        <w:tc>
          <w:tcPr>
            <w:tcW w:w="851" w:type="dxa"/>
          </w:tcPr>
          <w:p w14:paraId="4647BF18" w14:textId="77777777" w:rsidR="003A1812" w:rsidRPr="007F26FA" w:rsidRDefault="0EB4C282" w:rsidP="0EB4C282">
            <w:pPr>
              <w:spacing w:after="0" w:line="240" w:lineRule="auto"/>
              <w:ind w:right="-119"/>
              <w:jc w:val="center"/>
              <w:rPr>
                <w:rFonts w:eastAsia="Times New Roman"/>
                <w:b/>
                <w:bCs/>
                <w:lang w:val="en-US" w:eastAsia="uk-UA"/>
              </w:rPr>
            </w:pPr>
            <w:r w:rsidRPr="0EB4C282">
              <w:rPr>
                <w:rFonts w:eastAsia="Times New Roman"/>
                <w:b/>
                <w:bCs/>
                <w:lang w:val="en-US" w:eastAsia="uk-UA"/>
              </w:rPr>
              <w:t>Item No.</w:t>
            </w:r>
          </w:p>
        </w:tc>
        <w:tc>
          <w:tcPr>
            <w:tcW w:w="2410" w:type="dxa"/>
          </w:tcPr>
          <w:p w14:paraId="497AD123" w14:textId="77777777" w:rsidR="003A1812" w:rsidRPr="007F26FA" w:rsidRDefault="0EB4C282" w:rsidP="0EB4C282">
            <w:pPr>
              <w:spacing w:after="0" w:line="240" w:lineRule="auto"/>
              <w:ind w:right="-108"/>
              <w:jc w:val="center"/>
              <w:rPr>
                <w:rFonts w:eastAsia="Times New Roman"/>
                <w:b/>
                <w:bCs/>
                <w:lang w:val="en-US" w:eastAsia="uk-UA"/>
              </w:rPr>
            </w:pPr>
            <w:r w:rsidRPr="0EB4C282">
              <w:rPr>
                <w:rFonts w:eastAsia="Times New Roman"/>
                <w:b/>
                <w:bCs/>
                <w:lang w:val="en-US" w:eastAsia="uk-UA"/>
              </w:rPr>
              <w:t>Qualification Requirements</w:t>
            </w:r>
          </w:p>
        </w:tc>
        <w:tc>
          <w:tcPr>
            <w:tcW w:w="3402" w:type="dxa"/>
          </w:tcPr>
          <w:p w14:paraId="36274CFE" w14:textId="77777777" w:rsidR="003A1812" w:rsidRDefault="003A1812" w:rsidP="0EB4C282">
            <w:pPr>
              <w:spacing w:after="0" w:line="240" w:lineRule="auto"/>
              <w:jc w:val="center"/>
              <w:rPr>
                <w:rFonts w:eastAsia="Calibri"/>
                <w:b/>
                <w:bCs/>
                <w:color w:val="000000" w:themeColor="text1"/>
                <w:lang w:val="en-GB"/>
              </w:rPr>
            </w:pPr>
            <w:r w:rsidRPr="0EB4C282">
              <w:rPr>
                <w:rFonts w:eastAsia="Calibri"/>
                <w:b/>
                <w:bCs/>
                <w:color w:val="000000" w:themeColor="text1"/>
                <w:spacing w:val="-8"/>
                <w:lang w:val="en-GB"/>
              </w:rPr>
              <w:t>Documents proving compliance</w:t>
            </w:r>
          </w:p>
          <w:p w14:paraId="2E341C61" w14:textId="77777777" w:rsidR="00626623" w:rsidRPr="007F26FA" w:rsidRDefault="00626623" w:rsidP="003A1812">
            <w:pPr>
              <w:spacing w:after="0" w:line="240" w:lineRule="auto"/>
              <w:jc w:val="center"/>
              <w:rPr>
                <w:rFonts w:eastAsia="Calibri" w:cstheme="minorHAnsi"/>
                <w:b/>
                <w:color w:val="000000" w:themeColor="text1"/>
                <w:spacing w:val="-8"/>
                <w:lang w:val="en-GB"/>
              </w:rPr>
            </w:pPr>
          </w:p>
          <w:p w14:paraId="199B3822" w14:textId="08EDEC67" w:rsidR="003A1812" w:rsidRPr="007F26FA" w:rsidRDefault="003A1812" w:rsidP="0EB4C282">
            <w:pPr>
              <w:spacing w:after="0" w:line="240" w:lineRule="auto"/>
              <w:ind w:right="-108"/>
              <w:jc w:val="center"/>
              <w:rPr>
                <w:rFonts w:eastAsia="Times New Roman"/>
                <w:b/>
                <w:bCs/>
                <w:color w:val="000000" w:themeColor="text1"/>
                <w:lang w:val="en-US" w:eastAsia="uk-UA"/>
              </w:rPr>
            </w:pPr>
            <w:r w:rsidRPr="0EB4C282">
              <w:rPr>
                <w:rFonts w:eastAsia="Calibri"/>
                <w:color w:val="000000" w:themeColor="text1"/>
                <w:spacing w:val="-8"/>
                <w:lang w:val="en-GB"/>
              </w:rPr>
              <w:t>(</w:t>
            </w:r>
            <w:r w:rsidRPr="0EB4C282">
              <w:rPr>
                <w:rFonts w:eastAsia="Calibri"/>
                <w:color w:val="000000" w:themeColor="text1"/>
                <w:spacing w:val="-8"/>
                <w:u w:val="single"/>
                <w:lang w:val="en-GB"/>
              </w:rPr>
              <w:t xml:space="preserve">to be provided on request to the </w:t>
            </w:r>
            <w:r w:rsidR="003A4CAD" w:rsidRPr="0EB4C282">
              <w:rPr>
                <w:rFonts w:eastAsia="Calibri"/>
                <w:color w:val="000000" w:themeColor="text1"/>
                <w:spacing w:val="-8"/>
                <w:u w:val="single"/>
                <w:lang w:val="en-GB"/>
              </w:rPr>
              <w:t>procurer</w:t>
            </w:r>
            <w:r w:rsidRPr="0EB4C282">
              <w:rPr>
                <w:rFonts w:eastAsia="Calibri"/>
                <w:color w:val="000000" w:themeColor="text1"/>
                <w:spacing w:val="-8"/>
                <w:lang w:val="en-GB"/>
              </w:rPr>
              <w:t>)</w:t>
            </w:r>
          </w:p>
        </w:tc>
        <w:tc>
          <w:tcPr>
            <w:tcW w:w="2976" w:type="dxa"/>
          </w:tcPr>
          <w:p w14:paraId="07B60841" w14:textId="5C1F1A32" w:rsidR="003A1812" w:rsidRPr="007F26FA" w:rsidRDefault="0EB4C282" w:rsidP="0EB4C282">
            <w:pPr>
              <w:spacing w:after="0" w:line="240" w:lineRule="auto"/>
              <w:ind w:right="-108"/>
              <w:jc w:val="center"/>
              <w:rPr>
                <w:rFonts w:eastAsia="Times New Roman"/>
                <w:b/>
                <w:bCs/>
                <w:color w:val="000000" w:themeColor="text1"/>
                <w:lang w:val="en-US" w:eastAsia="uk-UA"/>
              </w:rPr>
            </w:pPr>
            <w:r w:rsidRPr="0EB4C282">
              <w:rPr>
                <w:rFonts w:eastAsia="Times New Roman"/>
                <w:b/>
                <w:bCs/>
                <w:color w:val="000000" w:themeColor="text1"/>
                <w:lang w:val="en-GB" w:eastAsia="uk-UA"/>
              </w:rPr>
              <w:t>Entity that must meet the qualification requirement</w:t>
            </w:r>
          </w:p>
        </w:tc>
      </w:tr>
      <w:tr w:rsidR="006003CE" w:rsidRPr="007F26FA" w14:paraId="6A298D38" w14:textId="77777777" w:rsidTr="0EB4C282">
        <w:trPr>
          <w:trHeight w:val="904"/>
        </w:trPr>
        <w:tc>
          <w:tcPr>
            <w:tcW w:w="851" w:type="dxa"/>
            <w:shd w:val="clear" w:color="auto" w:fill="E7E6E6" w:themeFill="background2"/>
          </w:tcPr>
          <w:p w14:paraId="32B1A36E" w14:textId="732887AF" w:rsidR="006003CE" w:rsidRPr="006003CE"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9.1.1.</w:t>
            </w:r>
          </w:p>
        </w:tc>
        <w:tc>
          <w:tcPr>
            <w:tcW w:w="2410" w:type="dxa"/>
            <w:shd w:val="clear" w:color="auto" w:fill="auto"/>
          </w:tcPr>
          <w:p w14:paraId="0131D36A" w14:textId="729677DE" w:rsidR="006003CE" w:rsidRPr="009D1D69" w:rsidRDefault="006003CE" w:rsidP="0EB4C282">
            <w:pPr>
              <w:widowControl w:val="0"/>
              <w:tabs>
                <w:tab w:val="left" w:pos="1276"/>
              </w:tabs>
              <w:spacing w:line="240" w:lineRule="auto"/>
              <w:jc w:val="both"/>
              <w:outlineLvl w:val="1"/>
              <w:rPr>
                <w:rFonts w:ascii="Calibri" w:eastAsia="Times New Roman" w:hAnsi="Calibri" w:cs="Calibri"/>
                <w:b/>
                <w:bCs/>
                <w:highlight w:val="yellow"/>
                <w:lang w:val="en-GB"/>
              </w:rPr>
            </w:pPr>
            <w:r w:rsidRPr="0EB4C282">
              <w:rPr>
                <w:rFonts w:ascii="Calibri" w:eastAsia="Times New Roman" w:hAnsi="Calibri" w:cs="Calibri"/>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6003CE">
              <w:rPr>
                <w:rFonts w:ascii="Calibri" w:eastAsia="Calibri" w:hAnsi="Calibri" w:cs="Calibri"/>
                <w:b/>
                <w:bCs/>
                <w:color w:val="000000" w:themeColor="text1"/>
                <w:spacing w:val="-8"/>
                <w:lang w:val="en-GB"/>
              </w:rPr>
              <w:t>proper</w:t>
            </w:r>
            <w:r w:rsidRPr="006003CE">
              <w:rPr>
                <w:rFonts w:ascii="Calibri" w:eastAsia="Calibri" w:hAnsi="Calibri" w:cs="Calibri"/>
                <w:color w:val="000000" w:themeColor="text1"/>
                <w:spacing w:val="-8"/>
                <w:lang w:val="en-GB"/>
              </w:rPr>
              <w:t xml:space="preserve"> </w:t>
            </w:r>
            <w:r w:rsidRPr="007D427C">
              <w:rPr>
                <w:rFonts w:ascii="Calibri" w:eastAsia="Calibri" w:hAnsi="Calibri" w:cs="Calibri"/>
                <w:color w:val="000000" w:themeColor="text1"/>
                <w:spacing w:val="-8"/>
                <w:lang w:val="en-GB"/>
              </w:rPr>
              <w:t xml:space="preserve">performed </w:t>
            </w:r>
            <w:r w:rsidRPr="0EB4C282">
              <w:rPr>
                <w:rFonts w:ascii="Calibri" w:eastAsia="Times New Roman" w:hAnsi="Calibri" w:cs="Calibri"/>
                <w:lang w:val="en-GB"/>
              </w:rPr>
              <w:t xml:space="preserve">contracts, self-produced and/or </w:t>
            </w:r>
            <w:r w:rsidRPr="00C570A6">
              <w:rPr>
                <w:rFonts w:ascii="Calibri" w:eastAsia="Times New Roman" w:hAnsi="Calibri" w:cs="Calibri"/>
                <w:lang w:val="en-GB"/>
              </w:rPr>
              <w:t>self-sold</w:t>
            </w:r>
            <w:r w:rsidR="007D427C" w:rsidRPr="00C570A6">
              <w:rPr>
                <w:rFonts w:ascii="Calibri" w:eastAsia="Times New Roman" w:hAnsi="Calibri" w:cs="Calibri"/>
                <w:i/>
                <w:iCs/>
                <w:lang w:val="en-GB"/>
              </w:rPr>
              <w:t>:</w:t>
            </w:r>
            <w:r w:rsidR="007D427C" w:rsidRPr="00C570A6">
              <w:rPr>
                <w:rFonts w:ascii="Calibri" w:eastAsia="Times New Roman" w:hAnsi="Calibri" w:cs="Calibri"/>
                <w:b/>
                <w:bCs/>
                <w:lang w:val="en-US"/>
              </w:rPr>
              <w:t xml:space="preserve"> </w:t>
            </w:r>
            <w:r w:rsidR="006758B1" w:rsidRPr="006758B1">
              <w:rPr>
                <w:rFonts w:ascii="Calibri" w:eastAsia="Times New Roman" w:hAnsi="Calibri" w:cs="Calibri"/>
                <w:b/>
                <w:bCs/>
              </w:rPr>
              <w:t>Mobile lighting or electrical power generating equipment</w:t>
            </w:r>
            <w:r w:rsidR="006758B1">
              <w:rPr>
                <w:rFonts w:ascii="Calibri" w:eastAsia="Times New Roman" w:hAnsi="Calibri" w:cs="Calibri"/>
                <w:b/>
                <w:bCs/>
                <w:lang w:val="en-US"/>
              </w:rPr>
              <w:t xml:space="preserve">  </w:t>
            </w:r>
            <w:r w:rsidR="0EB4C282" w:rsidRPr="00FD20A3">
              <w:rPr>
                <w:rFonts w:ascii="Calibri" w:eastAsia="Times New Roman" w:hAnsi="Calibri" w:cs="Calibri"/>
                <w:lang w:val="en-GB"/>
              </w:rPr>
              <w:t xml:space="preserve">for a total value of at least </w:t>
            </w:r>
            <w:r w:rsidR="006B549D">
              <w:rPr>
                <w:rFonts w:ascii="Calibri" w:eastAsia="Times New Roman" w:hAnsi="Calibri" w:cs="Calibri"/>
                <w:lang w:val="en-GB"/>
              </w:rPr>
              <w:t>4</w:t>
            </w:r>
            <w:r w:rsidR="00083536">
              <w:rPr>
                <w:rFonts w:ascii="Calibri" w:eastAsia="Times New Roman" w:hAnsi="Calibri" w:cs="Calibri"/>
                <w:lang w:val="en-GB"/>
              </w:rPr>
              <w:t>0</w:t>
            </w:r>
            <w:r w:rsidR="0EB4C282" w:rsidRPr="00FD20A3">
              <w:rPr>
                <w:rFonts w:ascii="Calibri" w:eastAsia="Times New Roman" w:hAnsi="Calibri" w:cs="Calibri"/>
                <w:lang w:val="en-GB"/>
              </w:rPr>
              <w:t xml:space="preserve"> 000</w:t>
            </w:r>
            <w:r w:rsidR="0EB4C282" w:rsidRPr="0EB4C282">
              <w:rPr>
                <w:rFonts w:ascii="Calibri" w:eastAsia="Times New Roman" w:hAnsi="Calibri" w:cs="Calibri"/>
                <w:lang w:val="en-GB"/>
              </w:rPr>
              <w:t xml:space="preserve"> EUR excluding VAT (the total value of the implemented part, if implementation is in progress).</w:t>
            </w:r>
          </w:p>
          <w:p w14:paraId="6F884CDE" w14:textId="77777777" w:rsidR="006003CE" w:rsidRPr="006003CE" w:rsidRDefault="006003CE" w:rsidP="0EB4C282">
            <w:pPr>
              <w:widowControl w:val="0"/>
              <w:tabs>
                <w:tab w:val="left" w:pos="1276"/>
              </w:tabs>
              <w:spacing w:line="240" w:lineRule="auto"/>
              <w:jc w:val="both"/>
              <w:outlineLvl w:val="1"/>
              <w:rPr>
                <w:rFonts w:eastAsia="Calibri"/>
              </w:rPr>
            </w:pPr>
            <w:r w:rsidRPr="0EB4C282">
              <w:rPr>
                <w:rFonts w:eastAsia="Calibri"/>
                <w:spacing w:val="-8"/>
              </w:rPr>
              <w:t xml:space="preserve">Sale is understood as the performance of the contractual obligations of one party (seller) under the contract of purchase-sale agreement, as defined in Article 6.305(1) of the Civil Code of the Republic of </w:t>
            </w:r>
            <w:r w:rsidRPr="0EB4C282">
              <w:rPr>
                <w:rFonts w:eastAsia="Calibri"/>
                <w:spacing w:val="-8"/>
              </w:rPr>
              <w:lastRenderedPageBreak/>
              <w:t>Lithuania (CC).</w:t>
            </w:r>
            <w:r w:rsidRPr="0EB4C282">
              <w:rPr>
                <w:rFonts w:eastAsia="Calibri"/>
                <w:spacing w:val="-8"/>
                <w:vertAlign w:val="superscript"/>
              </w:rPr>
              <w:footnoteReference w:id="3"/>
            </w:r>
            <w:r w:rsidRPr="0EB4C282">
              <w:rPr>
                <w:rFonts w:eastAsia="Calibri"/>
                <w:spacing w:val="-8"/>
              </w:rPr>
              <w:t xml:space="preserve">  If, according to a specific contract of sale, the seller's duties include the delivery and / or installation of goods, the value of these services is included in the total value. </w:t>
            </w:r>
          </w:p>
          <w:p w14:paraId="63D78EBF" w14:textId="634FF65C" w:rsidR="006003CE" w:rsidRPr="006003CE" w:rsidRDefault="006003CE" w:rsidP="006003CE">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3402" w:type="dxa"/>
            <w:shd w:val="clear" w:color="auto" w:fill="E7E6E6" w:themeFill="background2"/>
          </w:tcPr>
          <w:p w14:paraId="1B3AC15F" w14:textId="73007CA5" w:rsidR="006003CE" w:rsidRPr="006003CE" w:rsidRDefault="0EB4C282" w:rsidP="0EB4C282">
            <w:pPr>
              <w:spacing w:after="120" w:line="240" w:lineRule="auto"/>
              <w:ind w:right="33"/>
              <w:jc w:val="both"/>
              <w:rPr>
                <w:rFonts w:eastAsia="Times New Roman"/>
                <w:b/>
                <w:bCs/>
                <w:lang w:val="en-GB" w:eastAsia="uk-UA"/>
              </w:rPr>
            </w:pPr>
            <w:r w:rsidRPr="0EB4C282">
              <w:rPr>
                <w:rFonts w:eastAsia="Times New Roman"/>
                <w:b/>
                <w:bCs/>
                <w:lang w:val="en-GB" w:eastAsia="uk-UA"/>
              </w:rPr>
              <w:lastRenderedPageBreak/>
              <w:t>The Supplier who, on the basis of the results of the evaluation, may be declared successful will be required to submit, at the request of the Contracting Authority:</w:t>
            </w:r>
          </w:p>
          <w:p w14:paraId="3819281D" w14:textId="72DB3673"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with the form set out in </w:t>
            </w:r>
            <w:r w:rsidRPr="0EB4C282">
              <w:rPr>
                <w:rFonts w:eastAsia="Times New Roman"/>
                <w:i/>
                <w:iCs/>
                <w:lang w:val="en-GB" w:eastAsia="uk-UA"/>
              </w:rPr>
              <w:t>Annex 6 to the Tender Conditions, "List of Supplier Goods ".</w:t>
            </w:r>
          </w:p>
          <w:p w14:paraId="3824A8C4" w14:textId="639474BD"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2) certificates from the customers of the contracts in the supplier's list on the </w:t>
            </w:r>
            <w:r w:rsidRPr="0EB4C282">
              <w:rPr>
                <w:rFonts w:eastAsia="Times New Roman"/>
                <w:b/>
                <w:bCs/>
                <w:lang w:val="en-GB" w:eastAsia="uk-UA"/>
              </w:rPr>
              <w:t>proper</w:t>
            </w:r>
            <w:r w:rsidRPr="0EB4C282">
              <w:rPr>
                <w:rFonts w:eastAsia="Times New Roman"/>
                <w:lang w:val="en-GB" w:eastAsia="uk-UA"/>
              </w:rPr>
              <w:t xml:space="preserve"> performance of the contract or other documents of the customer and/or supplier proving the proper performance of the contract. In the event that the supplier does not provide the customer's documents in support of the proper performance of the contract, he must at the same time provide an explanation of how those documents prove the proper performance of the contract. </w:t>
            </w:r>
          </w:p>
          <w:p w14:paraId="716B44F0" w14:textId="2E541F8C"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It is considered that the proper performance of the contract is justified if the supporting </w:t>
            </w:r>
            <w:r w:rsidRPr="0EB4C282">
              <w:rPr>
                <w:rFonts w:eastAsia="Times New Roman"/>
                <w:lang w:val="en-GB" w:eastAsia="uk-UA"/>
              </w:rPr>
              <w:lastRenderedPageBreak/>
              <w:t>documents (certificates, etc.) indicate the properly performed contractual obligations.</w:t>
            </w:r>
          </w:p>
          <w:p w14:paraId="3B408DF2" w14:textId="77777777" w:rsidR="006003CE" w:rsidRPr="006003CE" w:rsidRDefault="006003CE" w:rsidP="006003CE">
            <w:pPr>
              <w:spacing w:after="120" w:line="240" w:lineRule="auto"/>
              <w:ind w:right="33"/>
              <w:jc w:val="both"/>
              <w:rPr>
                <w:rFonts w:eastAsia="Times New Roman" w:cstheme="minorHAnsi"/>
                <w:lang w:val="en-GB" w:eastAsia="uk-UA"/>
              </w:rPr>
            </w:pPr>
          </w:p>
          <w:p w14:paraId="36923FFA" w14:textId="77777777"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The contracting authority may, on a separate request, ask for copies or extracts of executed contracts and documents describing the subject-matter of the project (e.g. terms of reference, handover certificates) in order to verify or clarify the information provided.</w:t>
            </w:r>
          </w:p>
          <w:p w14:paraId="23AD231A" w14:textId="77777777"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The contracting authority reserves the right to contact the customer's contact person indicated by the supplier without prior notice in order to clarify the information concerning the goods produced and/or sold.</w:t>
            </w:r>
          </w:p>
          <w:p w14:paraId="442868A6" w14:textId="77777777" w:rsidR="006003CE" w:rsidRPr="006003CE" w:rsidRDefault="006003CE" w:rsidP="006003CE">
            <w:pPr>
              <w:spacing w:after="120" w:line="240" w:lineRule="auto"/>
              <w:ind w:right="33"/>
              <w:jc w:val="both"/>
              <w:rPr>
                <w:rFonts w:eastAsia="Times New Roman" w:cstheme="minorHAnsi"/>
                <w:lang w:val="en-GB" w:eastAsia="uk-UA"/>
              </w:rPr>
            </w:pPr>
          </w:p>
          <w:p w14:paraId="12A2AF2B" w14:textId="5D4377BA" w:rsidR="006003CE" w:rsidRPr="006003CE" w:rsidDel="003A1812" w:rsidRDefault="0EB4C282" w:rsidP="0EB4C282">
            <w:pPr>
              <w:spacing w:after="120" w:line="240" w:lineRule="auto"/>
              <w:ind w:right="33"/>
              <w:jc w:val="both"/>
              <w:rPr>
                <w:rFonts w:eastAsia="Times New Roman"/>
                <w:lang w:val="en-US" w:eastAsia="uk-UA"/>
              </w:rPr>
            </w:pPr>
            <w:r w:rsidRPr="0EB4C282">
              <w:rPr>
                <w:rFonts w:eastAsia="Times New Roman"/>
                <w:u w:val="single"/>
                <w:lang w:val="en-GB" w:eastAsia="uk-UA"/>
              </w:rPr>
              <w:t>Digital copies of the supplier's documents shall be supplied.</w:t>
            </w:r>
          </w:p>
        </w:tc>
        <w:tc>
          <w:tcPr>
            <w:tcW w:w="2976" w:type="dxa"/>
            <w:shd w:val="clear" w:color="auto" w:fill="E7E6E6" w:themeFill="background2"/>
          </w:tcPr>
          <w:p w14:paraId="056C49DE"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lastRenderedPageBreak/>
              <w:t>In the case of a group of economic operators, the requirement must be met by all the members of the group of economic operators jointly (the experience of the members of the group of economic operators shall be aggregated), taking into account the commitments made by them.</w:t>
            </w:r>
          </w:p>
          <w:p w14:paraId="265A6AD8"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75C1A5D9"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Subcontractors are not subject to this requirement.</w:t>
            </w:r>
          </w:p>
          <w:p w14:paraId="21047DAE" w14:textId="77777777" w:rsidR="006003CE" w:rsidRPr="006003CE" w:rsidRDefault="0EB4C282" w:rsidP="0EB4C282">
            <w:pPr>
              <w:spacing w:after="0" w:line="240" w:lineRule="auto"/>
              <w:jc w:val="both"/>
              <w:rPr>
                <w:rFonts w:ascii="Calibri" w:eastAsia="Times New Roman" w:hAnsi="Calibri" w:cs="Calibri"/>
                <w:lang w:val="en-GB"/>
              </w:rPr>
            </w:pPr>
            <w:r w:rsidRPr="0EB4C282">
              <w:rPr>
                <w:rFonts w:ascii="Calibri" w:eastAsia="Times New Roman" w:hAnsi="Calibri" w:cs="Calibri"/>
                <w:lang w:val="en-GB"/>
              </w:rPr>
              <w:t>The supplier is not precluded from relying on a contract which the supplier has performed not alone but jointly with other economic operators. However, in such a case, it is the goods produced and/or sold (and installed, if applicable) by the particular supplier participating in the procurement, the volume and value of those goods, and not the whole subject-matter of the contract performed, which are to be assessed.</w:t>
            </w:r>
          </w:p>
          <w:p w14:paraId="44563BD3" w14:textId="77777777" w:rsidR="006003CE" w:rsidRPr="006003CE" w:rsidRDefault="006003CE" w:rsidP="00626623">
            <w:pPr>
              <w:spacing w:after="0" w:line="276" w:lineRule="auto"/>
              <w:rPr>
                <w:rFonts w:ascii="Calibri" w:eastAsia="Calibri" w:hAnsi="Calibri" w:cs="Calibri"/>
                <w:lang w:val="en-GB"/>
              </w:rPr>
            </w:pPr>
          </w:p>
          <w:p w14:paraId="3B41EFA9" w14:textId="77777777" w:rsidR="006003CE" w:rsidRPr="006003CE" w:rsidRDefault="006003CE" w:rsidP="00626623">
            <w:pPr>
              <w:spacing w:after="0" w:line="276" w:lineRule="auto"/>
              <w:rPr>
                <w:rFonts w:ascii="Calibri" w:eastAsia="Calibri" w:hAnsi="Calibri" w:cs="Calibri"/>
                <w:lang w:val="en-GB"/>
              </w:rPr>
            </w:pPr>
          </w:p>
          <w:p w14:paraId="6B93F059" w14:textId="77777777" w:rsidR="006003CE" w:rsidRPr="006003CE" w:rsidRDefault="006003CE" w:rsidP="006003CE">
            <w:pPr>
              <w:spacing w:after="0" w:line="276" w:lineRule="auto"/>
              <w:rPr>
                <w:rFonts w:ascii="Calibri" w:eastAsia="Times New Roman" w:hAnsi="Calibri" w:cs="Calibri"/>
                <w:iCs/>
                <w:lang w:val="en-GB"/>
              </w:rPr>
            </w:pPr>
          </w:p>
          <w:p w14:paraId="10E2DC49" w14:textId="228B073F" w:rsidR="006003CE" w:rsidRPr="006003CE" w:rsidRDefault="006003CE" w:rsidP="0EB4C282">
            <w:pPr>
              <w:spacing w:after="120" w:line="240" w:lineRule="auto"/>
              <w:ind w:right="33"/>
              <w:jc w:val="both"/>
              <w:rPr>
                <w:rFonts w:eastAsia="Times New Roman"/>
                <w:i/>
                <w:iCs/>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sidR="00626623">
              <w:rPr>
                <w:rFonts w:ascii="Calibri" w:eastAsia="Calibri" w:hAnsi="Calibri" w:cs="Calibri"/>
                <w:color w:val="000000"/>
                <w:spacing w:val="-8"/>
                <w:lang w:val="en-GB"/>
              </w:rPr>
              <w:t>.</w:t>
            </w:r>
          </w:p>
        </w:tc>
      </w:tr>
    </w:tbl>
    <w:p w14:paraId="502B7287" w14:textId="0D692DC6" w:rsidR="00950C2D" w:rsidRPr="007F26FA" w:rsidRDefault="00950C2D" w:rsidP="00E30138">
      <w:pPr>
        <w:tabs>
          <w:tab w:val="left" w:pos="1134"/>
        </w:tabs>
        <w:spacing w:after="0" w:line="240" w:lineRule="auto"/>
        <w:jc w:val="center"/>
        <w:rPr>
          <w:rFonts w:eastAsia="Times New Roman" w:cstheme="minorHAnsi"/>
          <w:b/>
          <w:lang w:val="en-US"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EB4C282">
      <w:pPr>
        <w:pStyle w:val="ListParagraph"/>
        <w:numPr>
          <w:ilvl w:val="0"/>
          <w:numId w:val="2"/>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02A41E41" w:rsidR="00950C2D" w:rsidRPr="007F26FA" w:rsidRDefault="0EB4C282" w:rsidP="0EB4C282">
      <w:pPr>
        <w:pStyle w:val="ListParagraph"/>
        <w:tabs>
          <w:tab w:val="left" w:pos="426"/>
        </w:tabs>
        <w:ind w:left="0"/>
        <w:jc w:val="both"/>
        <w:rPr>
          <w:rFonts w:eastAsia="Times New Roman"/>
          <w:lang w:val="en-US"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sub-supplier must be free from the grounds for exclusion of a supplier as set out in Annex 3.</w:t>
      </w:r>
    </w:p>
    <w:p w14:paraId="639C565B" w14:textId="1A2C7CB9" w:rsidR="00950C2D" w:rsidRPr="007F26FA" w:rsidRDefault="0EB4C282" w:rsidP="0EB4C282">
      <w:pPr>
        <w:pStyle w:val="ListParagraph"/>
        <w:tabs>
          <w:tab w:val="left" w:pos="426"/>
        </w:tabs>
        <w:ind w:left="0"/>
        <w:jc w:val="both"/>
        <w:rPr>
          <w:rFonts w:eastAsia="Times New Roman"/>
          <w:lang w:val="en-US" w:eastAsia="uk-UA"/>
        </w:rPr>
      </w:pPr>
      <w:r w:rsidRPr="0EB4C282">
        <w:rPr>
          <w:rFonts w:eastAsia="Times New Roman"/>
          <w:lang w:val="en-US" w:eastAsia="uk-UA"/>
        </w:rPr>
        <w:t>10.2. The procurer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2"/>
        <w:gridCol w:w="4619"/>
      </w:tblGrid>
      <w:tr w:rsidR="00F978F8" w:rsidRPr="007F26FA" w14:paraId="220FD9FD" w14:textId="77777777" w:rsidTr="00612F1D">
        <w:tc>
          <w:tcPr>
            <w:tcW w:w="773" w:type="dxa"/>
          </w:tcPr>
          <w:p w14:paraId="4C3DD54B" w14:textId="3E9D7707" w:rsidR="00F978F8" w:rsidRPr="007F26FA" w:rsidRDefault="00F978F8" w:rsidP="0EB4C282">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No.</w:t>
            </w:r>
          </w:p>
        </w:tc>
        <w:tc>
          <w:tcPr>
            <w:tcW w:w="4122" w:type="dxa"/>
          </w:tcPr>
          <w:p w14:paraId="7B2C7157" w14:textId="77777777" w:rsidR="00F978F8" w:rsidRPr="007F26FA" w:rsidRDefault="00F978F8" w:rsidP="0EB4C282">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Requirement of compliance with national security interests</w:t>
            </w:r>
          </w:p>
        </w:tc>
        <w:tc>
          <w:tcPr>
            <w:tcW w:w="4619" w:type="dxa"/>
          </w:tcPr>
          <w:p w14:paraId="7305014D" w14:textId="77777777" w:rsidR="00F978F8" w:rsidRPr="007F26FA" w:rsidRDefault="00F978F8" w:rsidP="0EB4C282">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Documents proving compliance with the requirement</w:t>
            </w:r>
          </w:p>
        </w:tc>
      </w:tr>
      <w:tr w:rsidR="00F978F8" w:rsidRPr="007F26FA" w14:paraId="61C2DD80" w14:textId="77777777" w:rsidTr="00612F1D">
        <w:tc>
          <w:tcPr>
            <w:tcW w:w="773" w:type="dxa"/>
          </w:tcPr>
          <w:p w14:paraId="552A91DB" w14:textId="7E86303B"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11.1.1</w:t>
            </w:r>
            <w:r w:rsidR="00FA7A75">
              <w:rPr>
                <w:rFonts w:asciiTheme="minorHAnsi" w:hAnsiTheme="minorHAnsi" w:cstheme="minorBidi"/>
                <w:color w:val="000000" w:themeColor="text1"/>
                <w:spacing w:val="-8"/>
                <w:sz w:val="22"/>
                <w:szCs w:val="22"/>
                <w:lang w:val="en-GB"/>
              </w:rPr>
              <w:t>.</w:t>
            </w:r>
          </w:p>
        </w:tc>
        <w:tc>
          <w:tcPr>
            <w:tcW w:w="4122" w:type="dxa"/>
          </w:tcPr>
          <w:p w14:paraId="5D2A5B52"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612F1D">
        <w:tc>
          <w:tcPr>
            <w:tcW w:w="773" w:type="dxa"/>
          </w:tcPr>
          <w:p w14:paraId="0BB85371" w14:textId="05CF5896"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11.1.2</w:t>
            </w:r>
            <w:r w:rsidR="00FA7A75">
              <w:rPr>
                <w:rFonts w:asciiTheme="minorHAnsi" w:hAnsiTheme="minorHAnsi" w:cstheme="minorBidi"/>
                <w:color w:val="000000" w:themeColor="text1"/>
                <w:spacing w:val="-8"/>
                <w:sz w:val="22"/>
                <w:szCs w:val="22"/>
                <w:lang w:val="en-GB"/>
              </w:rPr>
              <w:t>.</w:t>
            </w:r>
          </w:p>
        </w:tc>
        <w:tc>
          <w:tcPr>
            <w:tcW w:w="4122" w:type="dxa"/>
          </w:tcPr>
          <w:p w14:paraId="02C975E6" w14:textId="77777777" w:rsidR="005F4528" w:rsidRPr="005F4528" w:rsidRDefault="005F4528" w:rsidP="0EB4C282">
            <w:pPr>
              <w:spacing w:line="276" w:lineRule="auto"/>
              <w:jc w:val="both"/>
              <w:rPr>
                <w:rFonts w:ascii="Calibri" w:hAnsi="Calibri" w:cs="Calibri"/>
                <w:b/>
                <w:bCs/>
                <w:i/>
                <w:iCs/>
                <w:color w:val="000000" w:themeColor="text1"/>
                <w:lang w:val="en-GB"/>
              </w:rPr>
            </w:pPr>
            <w:r w:rsidRPr="0EB4C282">
              <w:rPr>
                <w:rFonts w:ascii="Calibri" w:hAnsi="Calibri" w:cs="Calibri"/>
                <w:b/>
                <w:bCs/>
                <w:i/>
                <w:iCs/>
                <w:color w:val="000000"/>
                <w:spacing w:val="-8"/>
                <w:lang w:val="en-GB"/>
              </w:rPr>
              <w:t>Article 45(2</w:t>
            </w:r>
            <w:r w:rsidRPr="0EB4C282">
              <w:rPr>
                <w:rFonts w:ascii="Calibri" w:hAnsi="Calibri" w:cs="Calibri"/>
                <w:b/>
                <w:bCs/>
                <w:i/>
                <w:iCs/>
                <w:color w:val="000000"/>
                <w:spacing w:val="-8"/>
                <w:vertAlign w:val="superscript"/>
                <w:lang w:val="en-GB"/>
              </w:rPr>
              <w:t>1</w:t>
            </w:r>
            <w:r w:rsidRPr="0EB4C282">
              <w:rPr>
                <w:rFonts w:ascii="Calibri" w:hAnsi="Calibri" w:cs="Calibri"/>
                <w:b/>
                <w:bCs/>
                <w:i/>
                <w:iCs/>
                <w:color w:val="000000"/>
                <w:spacing w:val="-8"/>
                <w:lang w:val="en-GB"/>
              </w:rPr>
              <w:t xml:space="preserve">) </w:t>
            </w:r>
            <w:r w:rsidRPr="0EB4C282">
              <w:rPr>
                <w:rFonts w:ascii="Calibri" w:hAnsi="Calibri" w:cs="Calibri"/>
                <w:b/>
                <w:bCs/>
                <w:i/>
                <w:iCs/>
                <w:color w:val="000000"/>
                <w:spacing w:val="-8"/>
                <w:vertAlign w:val="superscript"/>
                <w:lang w:val="en-GB"/>
              </w:rPr>
              <w:t xml:space="preserve"> </w:t>
            </w:r>
            <w:r w:rsidRPr="0EB4C282">
              <w:rPr>
                <w:rFonts w:ascii="Calibri" w:hAnsi="Calibri" w:cs="Calibri"/>
                <w:b/>
                <w:bCs/>
                <w:i/>
                <w:iCs/>
                <w:color w:val="000000"/>
                <w:spacing w:val="-8"/>
                <w:lang w:val="en-GB"/>
              </w:rPr>
              <w:t>of the LPP</w:t>
            </w:r>
          </w:p>
          <w:p w14:paraId="10363A20"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EB4C282">
              <w:rPr>
                <w:rStyle w:val="FootnoteReference"/>
                <w:rFonts w:asciiTheme="minorHAnsi" w:hAnsiTheme="minorHAnsi" w:cstheme="minorBidi"/>
                <w:color w:val="000000" w:themeColor="text1"/>
                <w:spacing w:val="-8"/>
                <w:sz w:val="22"/>
                <w:szCs w:val="22"/>
                <w:lang w:val="en-GB"/>
              </w:rPr>
              <w:footnoteReference w:id="4"/>
            </w:r>
            <w:r w:rsidRPr="0EB4C282">
              <w:rPr>
                <w:rFonts w:asciiTheme="minorHAnsi" w:hAnsiTheme="minorHAnsi" w:cstheme="minorBid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w:t>
            </w:r>
            <w:r w:rsidRPr="0EB4C282">
              <w:rPr>
                <w:rFonts w:asciiTheme="minorHAnsi" w:hAnsiTheme="minorHAnsi" w:cstheme="minorBidi"/>
                <w:color w:val="000000" w:themeColor="text1"/>
                <w:spacing w:val="-8"/>
                <w:sz w:val="22"/>
                <w:szCs w:val="22"/>
                <w:lang w:val="en-GB"/>
              </w:rPr>
              <w:lastRenderedPageBreak/>
              <w:t>the nationality of, the States or territories referred to in the list referred to in Article 92(15) of the LPP;</w:t>
            </w:r>
          </w:p>
          <w:p w14:paraId="56A44E00" w14:textId="77777777" w:rsidR="00F978F8" w:rsidRPr="00B13C1B"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EB4C282">
              <w:rPr>
                <w:rFonts w:asciiTheme="minorHAnsi" w:hAnsiTheme="minorHAnsi" w:cstheme="minorBidi"/>
                <w:color w:val="000000" w:themeColor="text1"/>
                <w:spacing w:val="-8"/>
                <w:sz w:val="22"/>
                <w:szCs w:val="22"/>
                <w:lang w:val="en-GB"/>
              </w:rPr>
              <w:t>;</w:t>
            </w:r>
          </w:p>
          <w:p w14:paraId="5F2F4C8E" w14:textId="77777777" w:rsidR="005F4528" w:rsidRPr="005F4528" w:rsidRDefault="005F4528" w:rsidP="0EB4C282">
            <w:pPr>
              <w:spacing w:line="276" w:lineRule="auto"/>
              <w:jc w:val="both"/>
              <w:rPr>
                <w:rFonts w:ascii="Calibri" w:hAnsi="Calibri" w:cs="Calibri"/>
                <w:color w:val="000000" w:themeColor="text1"/>
                <w:lang w:val="en-GB"/>
              </w:rPr>
            </w:pPr>
            <w:r w:rsidRPr="005F4528">
              <w:rPr>
                <w:rFonts w:ascii="Calibri" w:hAnsi="Calibri" w:cs="Calibri"/>
                <w:color w:val="000000"/>
                <w:spacing w:val="-8"/>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5E0C77ED" w14:textId="3498CC69" w:rsidR="005F4528" w:rsidRPr="007F26FA" w:rsidRDefault="005F4528" w:rsidP="0EB4C282">
            <w:pPr>
              <w:jc w:val="both"/>
              <w:rPr>
                <w:rFonts w:asciiTheme="minorHAnsi" w:hAnsiTheme="minorHAnsi" w:cstheme="minorBidi"/>
                <w:color w:val="000000" w:themeColor="text1"/>
                <w:sz w:val="22"/>
                <w:szCs w:val="22"/>
                <w:lang w:val="en-GB"/>
              </w:rPr>
            </w:pPr>
            <w:r w:rsidRPr="00B13C1B">
              <w:rPr>
                <w:rFonts w:ascii="Calibri" w:hAnsi="Calibri" w:cs="Calibri"/>
                <w:color w:val="000000"/>
                <w:spacing w:val="-8"/>
                <w:sz w:val="22"/>
                <w:szCs w:val="22"/>
                <w:lang w:val="en-GB"/>
              </w:rPr>
              <w:t>5) the Contracting authority has information from the competent authorities that the entities specified in points 1 and 2 of this requirement have interests that may pose a threat to national security.</w:t>
            </w:r>
          </w:p>
        </w:tc>
        <w:tc>
          <w:tcPr>
            <w:tcW w:w="4619" w:type="dxa"/>
          </w:tcPr>
          <w:p w14:paraId="1F61AE12"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procurer may also request these documents from tenderers at any time during the procurement procedure, provided that this is necessary to ensure the proper conduct of the procurement procedure.</w:t>
            </w:r>
          </w:p>
          <w:p w14:paraId="6AE76E5C" w14:textId="77777777" w:rsidR="00F978F8"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20179">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F26FA" w14:paraId="35E096DB" w14:textId="77777777" w:rsidTr="00612F1D">
        <w:tc>
          <w:tcPr>
            <w:tcW w:w="773" w:type="dxa"/>
          </w:tcPr>
          <w:p w14:paraId="5003FDA3" w14:textId="5CD8D77A"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11.1.</w:t>
            </w:r>
            <w:r w:rsidR="00F31550" w:rsidRPr="0EB4C282">
              <w:rPr>
                <w:rFonts w:asciiTheme="minorHAnsi" w:hAnsiTheme="minorHAnsi" w:cstheme="minorBidi"/>
                <w:color w:val="000000" w:themeColor="text1"/>
                <w:spacing w:val="-8"/>
                <w:sz w:val="22"/>
                <w:szCs w:val="22"/>
                <w:lang w:val="en-GB"/>
              </w:rPr>
              <w:t>3</w:t>
            </w:r>
            <w:r w:rsidR="00FA7A75">
              <w:rPr>
                <w:rFonts w:asciiTheme="minorHAnsi" w:hAnsiTheme="minorHAnsi" w:cstheme="minorBidi"/>
                <w:color w:val="000000" w:themeColor="text1"/>
                <w:spacing w:val="-8"/>
                <w:sz w:val="22"/>
                <w:szCs w:val="22"/>
                <w:lang w:val="en-GB"/>
              </w:rPr>
              <w:t>.</w:t>
            </w:r>
          </w:p>
          <w:p w14:paraId="442635C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5F4528" w:rsidRDefault="005F4528" w:rsidP="0EB4C282">
            <w:pPr>
              <w:spacing w:line="276" w:lineRule="auto"/>
              <w:jc w:val="both"/>
              <w:rPr>
                <w:rFonts w:ascii="Calibri" w:eastAsia="Calibri" w:hAnsi="Calibri" w:cs="Calibri"/>
                <w:b/>
                <w:bCs/>
                <w:i/>
                <w:iCs/>
                <w:lang w:val="en-GB"/>
              </w:rPr>
            </w:pPr>
            <w:r w:rsidRPr="0EB4C282">
              <w:rPr>
                <w:rFonts w:ascii="Calibri" w:eastAsia="Calibri" w:hAnsi="Calibri" w:cs="Calibri"/>
                <w:b/>
                <w:bCs/>
                <w:i/>
                <w:iCs/>
                <w:lang w:val="en-GB"/>
              </w:rPr>
              <w:t>Article 5k of Regulation (EU) 2022/576</w:t>
            </w:r>
            <w:r w:rsidRPr="0EB4C282">
              <w:rPr>
                <w:rFonts w:ascii="Calibri" w:eastAsia="Calibri" w:hAnsi="Calibri" w:cs="Calibri"/>
                <w:b/>
                <w:bCs/>
                <w:i/>
                <w:iCs/>
                <w:vertAlign w:val="superscript"/>
                <w:lang w:val="en-GB"/>
              </w:rPr>
              <w:footnoteReference w:id="5"/>
            </w:r>
          </w:p>
          <w:p w14:paraId="444B75DF" w14:textId="77777777" w:rsidR="005F4528" w:rsidRPr="005F4528" w:rsidRDefault="0EB4C282" w:rsidP="0EB4C282">
            <w:pPr>
              <w:spacing w:line="276" w:lineRule="auto"/>
              <w:jc w:val="both"/>
              <w:rPr>
                <w:rFonts w:ascii="Calibri" w:eastAsia="Calibri" w:hAnsi="Calibri" w:cs="Calibri"/>
                <w:b/>
                <w:bCs/>
                <w:i/>
                <w:iCs/>
                <w:lang w:val="en-GB"/>
              </w:rPr>
            </w:pPr>
            <w:r w:rsidRPr="0EB4C282">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5F4528" w:rsidRDefault="0EB4C282" w:rsidP="0EB4C282">
            <w:pPr>
              <w:spacing w:line="276" w:lineRule="auto"/>
              <w:jc w:val="both"/>
              <w:rPr>
                <w:rFonts w:ascii="Calibri" w:eastAsia="Calibri" w:hAnsi="Calibri" w:cs="Calibri"/>
                <w:lang w:val="en-GB"/>
              </w:rPr>
            </w:pPr>
            <w:r w:rsidRPr="0EB4C282">
              <w:rPr>
                <w:rFonts w:ascii="Calibri" w:eastAsia="Calibri" w:hAnsi="Calibri" w:cs="Calibri"/>
                <w:lang w:val="en-GB"/>
              </w:rPr>
              <w:t>1) the supplier, its sub-supplier or the economic operator whose capacities are relied upon, where such sub-suppliers or economic operators account for at least 10 (ten) percent of the value of the contract, is a Russian citizen, natural or legal person, entity or body established in Russia;</w:t>
            </w:r>
          </w:p>
          <w:p w14:paraId="7A1B5DB3" w14:textId="77777777" w:rsidR="005F4528" w:rsidRPr="005F4528" w:rsidRDefault="0EB4C282" w:rsidP="0EB4C282">
            <w:pPr>
              <w:spacing w:line="276" w:lineRule="auto"/>
              <w:jc w:val="both"/>
              <w:rPr>
                <w:rFonts w:ascii="Calibri" w:eastAsia="Calibri" w:hAnsi="Calibri" w:cs="Calibri"/>
                <w:lang w:val="en-GB"/>
              </w:rPr>
            </w:pPr>
            <w:r w:rsidRPr="0EB4C282">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5F4528" w:rsidRDefault="0EB4C282" w:rsidP="0EB4C282">
            <w:pPr>
              <w:spacing w:line="276" w:lineRule="auto"/>
              <w:jc w:val="both"/>
              <w:rPr>
                <w:rFonts w:ascii="Calibri" w:eastAsia="Calibri" w:hAnsi="Calibri" w:cs="Calibri"/>
                <w:lang w:val="en-GB"/>
              </w:rPr>
            </w:pPr>
            <w:r w:rsidRPr="0EB4C282">
              <w:rPr>
                <w:rFonts w:ascii="Calibri" w:eastAsia="Calibri" w:hAnsi="Calibri" w:cs="Calibri"/>
                <w:lang w:val="en-GB"/>
              </w:rPr>
              <w:t xml:space="preserve">3) the supplier, its subcontractor or the economic operator whose capacities are relied upon, where such subcontractors or economic operators account for at least ten 10 (ten) percent of the value of the contract, is a natural or legal person, entity or body acting in the </w:t>
            </w:r>
            <w:r w:rsidRPr="0EB4C282">
              <w:rPr>
                <w:rFonts w:ascii="Calibri" w:eastAsia="Calibri" w:hAnsi="Calibri" w:cs="Calibri"/>
                <w:lang w:val="en-GB"/>
              </w:rPr>
              <w:lastRenderedPageBreak/>
              <w:t>name of, or at the behest of, an economic operator referred to in points 1 or 2 of this paragraph.</w:t>
            </w:r>
          </w:p>
          <w:p w14:paraId="557D925A" w14:textId="77777777" w:rsidR="005F4528" w:rsidRPr="005F4528" w:rsidRDefault="0EB4C282" w:rsidP="0EB4C282">
            <w:pPr>
              <w:spacing w:line="276" w:lineRule="auto"/>
              <w:jc w:val="both"/>
              <w:rPr>
                <w:rFonts w:ascii="Calibri" w:eastAsia="Calibri" w:hAnsi="Calibri" w:cs="Calibri"/>
                <w:b/>
                <w:bCs/>
                <w:i/>
                <w:iCs/>
                <w:lang w:val="en-GB"/>
              </w:rPr>
            </w:pPr>
            <w:r w:rsidRPr="0EB4C282">
              <w:rPr>
                <w:rFonts w:ascii="Calibri" w:eastAsia="Calibri" w:hAnsi="Calibri" w:cs="Calibri"/>
                <w:b/>
                <w:bCs/>
                <w:i/>
                <w:iCs/>
                <w:lang w:val="en-GB"/>
              </w:rPr>
              <w:t xml:space="preserve">International sanctions </w:t>
            </w:r>
          </w:p>
          <w:p w14:paraId="66A40D8E" w14:textId="4D64748A" w:rsidR="00F978F8" w:rsidRPr="007F26FA" w:rsidRDefault="0EB4C282" w:rsidP="0EB4C282">
            <w:pPr>
              <w:jc w:val="both"/>
              <w:rPr>
                <w:rFonts w:asciiTheme="minorHAnsi" w:hAnsiTheme="minorHAnsi" w:cstheme="minorBidi"/>
                <w:sz w:val="22"/>
                <w:szCs w:val="22"/>
                <w:lang w:val="en-GB"/>
              </w:rPr>
            </w:pPr>
            <w:r w:rsidRPr="0EB4C282">
              <w:rPr>
                <w:rFonts w:ascii="Calibri" w:eastAsia="Calibri" w:hAnsi="Calibri" w:cs="Calibr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F26FA" w:rsidRDefault="00F978F8" w:rsidP="0EB4C282">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bl>
    <w:p w14:paraId="0043CB45" w14:textId="77777777" w:rsidR="00F978F8" w:rsidRPr="007F26FA" w:rsidRDefault="00F978F8" w:rsidP="00F978F8">
      <w:pPr>
        <w:spacing w:after="0" w:line="240" w:lineRule="auto"/>
        <w:rPr>
          <w:rFonts w:cstheme="minorHAnsi"/>
        </w:rPr>
      </w:pPr>
    </w:p>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rPr>
      </w:pPr>
      <w:bookmarkStart w:id="7" w:name="_Toc482625168"/>
      <w:r w:rsidRPr="0EB4C282">
        <w:rPr>
          <w:rFonts w:eastAsia="Times New Roman"/>
          <w:b/>
          <w:bCs/>
          <w:lang w:val="en-US"/>
        </w:rPr>
        <w:t>EVALUATION PROCEDURE FOR TENDER</w:t>
      </w:r>
    </w:p>
    <w:bookmarkEnd w:id="7"/>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8" w:name="part_e3060b8cfa374b11bccc28524cd5c72b"/>
      <w:bookmarkEnd w:id="8"/>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this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14.1.3. the prices offered by all the tenderers the tenders of which have not been rejected due to any other reasons, were too high and unacceptable for the procurer;</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31BDBF55" w:rsidR="005E44CA"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14.1.7. The Goods offered by the Supplier pose a threat to national security;</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9" w:name="part_a5dd47f99a7d431c8a6868b0b1146ba4"/>
      <w:bookmarkStart w:id="10" w:name="_Toc353179171"/>
      <w:bookmarkEnd w:id="9"/>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1"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1"/>
    </w:p>
    <w:bookmarkEnd w:id="10"/>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16.4. When concluding the Procurement Contract, the tender price of the winner or the final results of negotiations as well as the terms and conditions of the procurement set in the Procurement Documentation and the Tender shall not be amended.</w:t>
      </w:r>
    </w:p>
    <w:p w14:paraId="7191DF19" w14:textId="7EA7BC93"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draft </w:t>
      </w:r>
      <w:r w:rsidR="009F19B7" w:rsidRPr="0EB4C282">
        <w:rPr>
          <w:rFonts w:eastAsia="Times New Roman"/>
          <w:lang w:val="en-US"/>
        </w:rPr>
        <w:t>of the Contract (Annex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636ED527" w14:textId="290A0DD2" w:rsidR="00793FD2" w:rsidRPr="00561EDB" w:rsidRDefault="00411476" w:rsidP="0EB4C282">
      <w:pPr>
        <w:widowControl w:val="0"/>
        <w:spacing w:after="0" w:line="240" w:lineRule="auto"/>
        <w:jc w:val="center"/>
        <w:outlineLvl w:val="1"/>
        <w:rPr>
          <w:rFonts w:eastAsia="Times New Roman"/>
          <w:b/>
          <w:bCs/>
          <w:lang w:val="en-US"/>
        </w:rPr>
      </w:pPr>
      <w:r w:rsidRPr="0EB4C282">
        <w:rPr>
          <w:rFonts w:eastAsia="Times New Roman"/>
          <w:b/>
          <w:bCs/>
          <w:spacing w:val="-2"/>
          <w:lang w:val="en-US"/>
        </w:rPr>
        <w:t>XVII. ANNEXES TO PROCUREMENT DOCUMENTS</w:t>
      </w:r>
    </w:p>
    <w:p w14:paraId="3FCF2A0D" w14:textId="1DD5A789" w:rsidR="00793FD2" w:rsidRPr="00561EDB" w:rsidRDefault="00793FD2" w:rsidP="0094653C">
      <w:pPr>
        <w:widowControl w:val="0"/>
        <w:spacing w:after="0" w:line="240" w:lineRule="auto"/>
        <w:jc w:val="both"/>
        <w:outlineLvl w:val="1"/>
        <w:rPr>
          <w:rFonts w:eastAsia="Times New Roman" w:cstheme="minorHAnsi"/>
          <w:spacing w:val="-2"/>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17.3. Declaration of honour (Annex 3).</w:t>
      </w:r>
    </w:p>
    <w:p w14:paraId="48682D43" w14:textId="6815B45B" w:rsidR="00DC3DE7" w:rsidRPr="00561EDB" w:rsidRDefault="0EB4C282" w:rsidP="00650425">
      <w:pPr>
        <w:widowControl w:val="0"/>
        <w:spacing w:after="0" w:line="240" w:lineRule="auto"/>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4BB0CBB4" w:rsidR="00A37618" w:rsidRPr="00F31550" w:rsidRDefault="0EB4C282" w:rsidP="00650425">
      <w:pPr>
        <w:widowControl w:val="0"/>
        <w:spacing w:after="0" w:line="240" w:lineRule="auto"/>
        <w:outlineLvl w:val="1"/>
        <w:rPr>
          <w:rFonts w:eastAsia="Times New Roman"/>
          <w:color w:val="222222"/>
          <w:lang w:val="en-US" w:eastAsia="uk-UA"/>
        </w:rPr>
      </w:pPr>
      <w:r w:rsidRPr="0EB4C282">
        <w:rPr>
          <w:rFonts w:eastAsia="Times New Roman"/>
          <w:color w:val="222222"/>
          <w:lang w:val="en-US" w:eastAsia="uk-UA"/>
        </w:rPr>
        <w:t>17.5. Project of the Contract (Annex 5).</w:t>
      </w:r>
    </w:p>
    <w:p w14:paraId="16FF832E" w14:textId="49A1FDB6" w:rsidR="000A15B5" w:rsidRPr="00561EDB" w:rsidRDefault="0EB4C282" w:rsidP="00650425">
      <w:pPr>
        <w:widowControl w:val="0"/>
        <w:spacing w:after="0" w:line="240" w:lineRule="auto"/>
        <w:outlineLvl w:val="1"/>
        <w:rPr>
          <w:lang w:val="en-GB"/>
        </w:rPr>
      </w:pPr>
      <w:r w:rsidRPr="0EB4C282">
        <w:rPr>
          <w:lang w:val="en-GB"/>
        </w:rPr>
        <w:t>17.6. List of Supplier goods (Annex 6).</w:t>
      </w:r>
    </w:p>
    <w:p w14:paraId="32641E15" w14:textId="77777777" w:rsidR="0094653C" w:rsidRPr="007F26FA" w:rsidRDefault="0094653C" w:rsidP="00612F1D">
      <w:pPr>
        <w:tabs>
          <w:tab w:val="left" w:pos="-142"/>
          <w:tab w:val="left" w:pos="1134"/>
        </w:tabs>
        <w:spacing w:after="0" w:line="240" w:lineRule="auto"/>
        <w:jc w:val="center"/>
        <w:rPr>
          <w:rFonts w:eastAsia="Times New Roman"/>
          <w:lang w:val="en-US"/>
        </w:rPr>
      </w:pPr>
      <w:r w:rsidRPr="0EB4C282">
        <w:rPr>
          <w:rFonts w:eastAsia="Times New Roman"/>
          <w:spacing w:val="-2"/>
          <w:lang w:val="en-US"/>
        </w:rPr>
        <w:t>________________</w:t>
      </w:r>
    </w:p>
    <w:p w14:paraId="0B219AC7" w14:textId="05C9B37D" w:rsidR="0068510D" w:rsidRDefault="0068510D" w:rsidP="00527A5D">
      <w:pPr>
        <w:tabs>
          <w:tab w:val="left" w:pos="5954"/>
        </w:tabs>
        <w:spacing w:after="0" w:line="240" w:lineRule="auto"/>
        <w:ind w:right="57"/>
        <w:jc w:val="both"/>
        <w:rPr>
          <w:rFonts w:eastAsia="Times New Roman" w:cstheme="minorHAnsi"/>
          <w:lang w:val="en-US" w:eastAsia="uk-UA"/>
        </w:rPr>
      </w:pPr>
    </w:p>
    <w:p w14:paraId="6E79418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3D409BCD" w:rsidR="004B2F38" w:rsidRDefault="004B2F38">
      <w:pPr>
        <w:rPr>
          <w:rFonts w:eastAsia="Times New Roman" w:cstheme="minorHAnsi"/>
          <w:lang w:val="en-US" w:eastAsia="uk-UA"/>
        </w:rPr>
      </w:pPr>
      <w:r>
        <w:rPr>
          <w:rFonts w:eastAsia="Times New Roman" w:cstheme="minorHAnsi"/>
          <w:lang w:val="en-US" w:eastAsia="uk-UA"/>
        </w:rPr>
        <w:br w:type="page"/>
      </w:r>
    </w:p>
    <w:p w14:paraId="72A5CAFB" w14:textId="77777777" w:rsidR="00527A5D" w:rsidRPr="00650425" w:rsidRDefault="00527A5D" w:rsidP="00650425">
      <w:pPr>
        <w:rPr>
          <w:rFonts w:eastAsia="Times New Roman" w:cstheme="minorHAnsi"/>
          <w:lang w:val="en-US" w:eastAsia="uk-UA"/>
        </w:rPr>
      </w:pP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0C1BE5D8" w14:textId="77777777" w:rsidR="00650425" w:rsidRPr="00650425" w:rsidRDefault="00650425" w:rsidP="00650425">
      <w:pPr>
        <w:pBdr>
          <w:left w:val="double" w:sz="18" w:space="4" w:color="1F4E79"/>
        </w:pBdr>
        <w:spacing w:after="0" w:line="420" w:lineRule="exact"/>
        <w:rPr>
          <w:rFonts w:ascii="Times New Roman" w:eastAsia="Times New Roman" w:hAnsi="Times New Roman" w:cs="Times New Roman"/>
          <w:b/>
          <w:caps/>
          <w:color w:val="1F4E79"/>
          <w:kern w:val="28"/>
          <w:sz w:val="32"/>
          <w:szCs w:val="32"/>
          <w:lang w:val="en-US" w:eastAsia="ja-JP"/>
        </w:rPr>
      </w:pPr>
      <w:r w:rsidRPr="00650425">
        <w:rPr>
          <w:rFonts w:ascii="Times New Roman" w:eastAsia="Times New Roman" w:hAnsi="Times New Roman" w:cs="Times New Roman"/>
          <w:b/>
          <w:caps/>
          <w:noProof/>
          <w:color w:val="1F4E79"/>
          <w:kern w:val="28"/>
          <w:sz w:val="32"/>
          <w:szCs w:val="32"/>
          <w:lang w:val="en-US" w:eastAsia="lt-LT"/>
        </w:rPr>
        <mc:AlternateContent>
          <mc:Choice Requires="wps">
            <w:drawing>
              <wp:anchor distT="45720" distB="45720" distL="114300" distR="114300" simplePos="0" relativeHeight="251662336" behindDoc="0" locked="0" layoutInCell="1" allowOverlap="1" wp14:anchorId="0D5D549C" wp14:editId="5083A436">
                <wp:simplePos x="0" y="0"/>
                <wp:positionH relativeFrom="column">
                  <wp:posOffset>5465928</wp:posOffset>
                </wp:positionH>
                <wp:positionV relativeFrom="paragraph">
                  <wp:posOffset>-641445</wp:posOffset>
                </wp:positionV>
                <wp:extent cx="898478" cy="27622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78" cy="276225"/>
                        </a:xfrm>
                        <a:prstGeom prst="rect">
                          <a:avLst/>
                        </a:prstGeom>
                        <a:solidFill>
                          <a:srgbClr val="FFFFFF"/>
                        </a:solidFill>
                        <a:ln w="9525">
                          <a:noFill/>
                          <a:miter lim="800000"/>
                          <a:headEnd/>
                          <a:tailEnd/>
                        </a:ln>
                      </wps:spPr>
                      <wps:txbx>
                        <w:txbxContent>
                          <w:p w14:paraId="79A8A6C0" w14:textId="77777777" w:rsidR="00650425" w:rsidRDefault="00650425" w:rsidP="00650425">
                            <w:r w:rsidRPr="00F85272">
                              <w:t xml:space="preserve">Annex </w:t>
                            </w:r>
                            <w:r>
                              <w:t xml:space="preserve">No. </w:t>
                            </w:r>
                            <w:r w:rsidRPr="00F85272">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D549C" id="_x0000_t202" coordsize="21600,21600" o:spt="202" path="m,l,21600r21600,l21600,xe">
                <v:stroke joinstyle="miter"/>
                <v:path gradientshapeok="t" o:connecttype="rect"/>
              </v:shapetype>
              <v:shape id="Text Box 2" o:spid="_x0000_s1026" type="#_x0000_t202" style="position:absolute;margin-left:430.4pt;margin-top:-50.5pt;width:70.7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GTCwIAAPU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" stroked="f">
                <v:textbox>
                  <w:txbxContent>
                    <w:p w14:paraId="79A8A6C0" w14:textId="77777777" w:rsidR="00650425" w:rsidRDefault="00650425" w:rsidP="00650425">
                      <w:r w:rsidRPr="00F85272">
                        <w:t xml:space="preserve">Annex </w:t>
                      </w:r>
                      <w:r>
                        <w:t xml:space="preserve">No. </w:t>
                      </w:r>
                      <w:r w:rsidRPr="00F85272">
                        <w:t>1</w:t>
                      </w:r>
                    </w:p>
                  </w:txbxContent>
                </v:textbox>
              </v:shape>
            </w:pict>
          </mc:Fallback>
        </mc:AlternateContent>
      </w:r>
      <w:r w:rsidRPr="00650425">
        <w:rPr>
          <w:rFonts w:ascii="Calibri" w:eastAsia="Times New Roman" w:hAnsi="Calibri" w:cs="Times New Roman"/>
          <w:b/>
          <w:caps/>
          <w:noProof/>
          <w:color w:val="1F4E79"/>
          <w:kern w:val="28"/>
          <w:sz w:val="38"/>
          <w:szCs w:val="20"/>
          <w:lang w:val="en-US" w:eastAsia="lt-LT"/>
        </w:rPr>
        <w:drawing>
          <wp:anchor distT="0" distB="0" distL="114300" distR="114300" simplePos="0" relativeHeight="251661312" behindDoc="0" locked="0" layoutInCell="1" allowOverlap="1" wp14:anchorId="653F86A7" wp14:editId="511DA91B">
            <wp:simplePos x="0" y="0"/>
            <wp:positionH relativeFrom="margin">
              <wp:align>right</wp:align>
            </wp:positionH>
            <wp:positionV relativeFrom="paragraph">
              <wp:posOffset>-219075</wp:posOffset>
            </wp:positionV>
            <wp:extent cx="803275" cy="765071"/>
            <wp:effectExtent l="0" t="0" r="0" b="0"/>
            <wp:wrapNone/>
            <wp:docPr id="1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Logo&#10;&#10;Description automatically generated with low confidenc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650425">
        <w:rPr>
          <w:rFonts w:ascii="Times New Roman" w:eastAsia="Times New Roman" w:hAnsi="Times New Roman" w:cs="Times New Roman"/>
          <w:b/>
          <w:caps/>
          <w:color w:val="1F4E79"/>
          <w:kern w:val="28"/>
          <w:sz w:val="32"/>
          <w:szCs w:val="32"/>
          <w:lang w:val="en-US" w:eastAsia="ja-JP"/>
        </w:rPr>
        <w:t xml:space="preserve">technical specification </w:t>
      </w:r>
    </w:p>
    <w:p w14:paraId="254D3B61" w14:textId="77777777" w:rsidR="00650425" w:rsidRPr="00650425" w:rsidRDefault="00650425" w:rsidP="00650425">
      <w:pPr>
        <w:pBdr>
          <w:left w:val="double" w:sz="18" w:space="4" w:color="1F4E79"/>
        </w:pBdr>
        <w:spacing w:after="0" w:line="420" w:lineRule="exact"/>
        <w:rPr>
          <w:rFonts w:ascii="Times New Roman" w:eastAsia="Times New Roman" w:hAnsi="Times New Roman" w:cs="Times New Roman"/>
          <w:b/>
          <w:caps/>
          <w:color w:val="1F4E79"/>
          <w:kern w:val="28"/>
          <w:sz w:val="32"/>
          <w:szCs w:val="32"/>
          <w:lang w:val="en-US" w:eastAsia="ja-JP"/>
        </w:rPr>
      </w:pPr>
      <w:r w:rsidRPr="00650425">
        <w:rPr>
          <w:rFonts w:ascii="Times New Roman" w:eastAsia="Times New Roman" w:hAnsi="Times New Roman" w:cs="Times New Roman"/>
          <w:b/>
          <w:caps/>
          <w:color w:val="1F4E79"/>
          <w:kern w:val="28"/>
          <w:sz w:val="32"/>
          <w:szCs w:val="32"/>
          <w:lang w:val="en-US" w:eastAsia="ja-JP"/>
        </w:rPr>
        <w:t>MObile LIGHTING TOWERS</w:t>
      </w:r>
    </w:p>
    <w:p w14:paraId="4480DA92" w14:textId="77777777" w:rsidR="00415D61" w:rsidRDefault="00415D61" w:rsidP="00415D61">
      <w:pPr>
        <w:spacing w:after="120" w:line="240" w:lineRule="auto"/>
        <w:jc w:val="both"/>
        <w:rPr>
          <w:rFonts w:ascii="Calibri" w:eastAsia="Arial" w:hAnsi="Calibri" w:cs="Times New Roman"/>
          <w:color w:val="404040"/>
          <w:sz w:val="18"/>
          <w:szCs w:val="20"/>
          <w:lang w:val="en-US" w:eastAsia="ja-JP"/>
        </w:rPr>
      </w:pPr>
    </w:p>
    <w:p w14:paraId="54B0FFEC" w14:textId="29CD4FF3" w:rsidR="00650425" w:rsidRPr="00650425" w:rsidRDefault="00650425" w:rsidP="00415D61">
      <w:pPr>
        <w:spacing w:after="120" w:line="240" w:lineRule="auto"/>
        <w:jc w:val="both"/>
        <w:rPr>
          <w:rFonts w:ascii="Calibri" w:eastAsia="Arial" w:hAnsi="Calibri" w:cs="Calibri"/>
          <w:lang w:val="en-US" w:eastAsia="ja-JP"/>
        </w:rPr>
      </w:pPr>
      <w:r w:rsidRPr="00650425">
        <w:rPr>
          <w:rFonts w:ascii="Calibri" w:eastAsia="Arial" w:hAnsi="Calibri" w:cs="Calibri"/>
          <w:lang w:val="en-US" w:eastAsia="ja-JP"/>
        </w:rPr>
        <w:t>Central Project Management Agency is carrying out a public procurement procedure for the procurement of Mobile Lighting Towers for the Armed Forces of Moldova (hereinafter referred to as the Beneficiary). The goods offered by the suppliers must meet the requirements set out in this Technical Specification.</w:t>
      </w:r>
    </w:p>
    <w:tbl>
      <w:tblPr>
        <w:tblStyle w:val="GridTable4-Accent120"/>
        <w:tblW w:w="5000" w:type="pct"/>
        <w:jc w:val="center"/>
        <w:tblLook w:val="04A0" w:firstRow="1" w:lastRow="0" w:firstColumn="1" w:lastColumn="0" w:noHBand="0" w:noVBand="1"/>
      </w:tblPr>
      <w:tblGrid>
        <w:gridCol w:w="748"/>
        <w:gridCol w:w="2628"/>
        <w:gridCol w:w="6133"/>
      </w:tblGrid>
      <w:tr w:rsidR="00650425" w:rsidRPr="00650425" w14:paraId="5EC02006" w14:textId="77777777" w:rsidTr="006504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393" w:type="pct"/>
          </w:tcPr>
          <w:p w14:paraId="2556F5D9" w14:textId="77777777" w:rsidR="00650425" w:rsidRPr="00650425" w:rsidRDefault="00650425" w:rsidP="00650425">
            <w:pPr>
              <w:jc w:val="center"/>
              <w:rPr>
                <w:rFonts w:ascii="Calibri" w:eastAsia="Arial" w:hAnsi="Calibri" w:cs="Calibri"/>
              </w:rPr>
            </w:pPr>
            <w:r w:rsidRPr="00650425">
              <w:rPr>
                <w:rFonts w:ascii="Calibri" w:eastAsia="Arial" w:hAnsi="Calibri" w:cs="Calibri"/>
              </w:rPr>
              <w:t>No.</w:t>
            </w:r>
          </w:p>
        </w:tc>
        <w:tc>
          <w:tcPr>
            <w:tcW w:w="1382" w:type="pct"/>
          </w:tcPr>
          <w:p w14:paraId="14225C01" w14:textId="77777777" w:rsidR="00650425" w:rsidRPr="00650425" w:rsidRDefault="00650425" w:rsidP="00650425">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Feature</w:t>
            </w:r>
          </w:p>
        </w:tc>
        <w:tc>
          <w:tcPr>
            <w:tcW w:w="3226" w:type="pct"/>
          </w:tcPr>
          <w:p w14:paraId="0530417F" w14:textId="77777777" w:rsidR="00650425" w:rsidRPr="00650425" w:rsidRDefault="00650425" w:rsidP="00650425">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Technical specification requirement</w:t>
            </w:r>
          </w:p>
        </w:tc>
      </w:tr>
      <w:tr w:rsidR="00650425" w:rsidRPr="00650425" w14:paraId="05661382" w14:textId="77777777" w:rsidTr="0065042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393" w:type="pct"/>
          </w:tcPr>
          <w:p w14:paraId="0B99650B"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16C608D4" w14:textId="77777777" w:rsidR="00650425" w:rsidRPr="00650425"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Object of procurement</w:t>
            </w:r>
          </w:p>
        </w:tc>
        <w:tc>
          <w:tcPr>
            <w:tcW w:w="3226" w:type="pct"/>
          </w:tcPr>
          <w:p w14:paraId="464D5879"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Mobile lighting towers with generators and telescoping masts, mounted on the chassis/trailer, designed to be towed by vehicle on the road. </w:t>
            </w:r>
          </w:p>
        </w:tc>
      </w:tr>
      <w:tr w:rsidR="00650425" w:rsidRPr="00650425" w14:paraId="2779995B" w14:textId="77777777" w:rsidTr="00650425">
        <w:trPr>
          <w:trHeight w:val="858"/>
          <w:jc w:val="center"/>
        </w:trPr>
        <w:tc>
          <w:tcPr>
            <w:cnfStyle w:val="001000000000" w:firstRow="0" w:lastRow="0" w:firstColumn="1" w:lastColumn="0" w:oddVBand="0" w:evenVBand="0" w:oddHBand="0" w:evenHBand="0" w:firstRowFirstColumn="0" w:firstRowLastColumn="0" w:lastRowFirstColumn="0" w:lastRowLastColumn="0"/>
            <w:tcW w:w="393" w:type="pct"/>
          </w:tcPr>
          <w:p w14:paraId="3807085E"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00D8C316" w14:textId="77777777" w:rsidR="00650425" w:rsidRPr="00650425" w:rsidRDefault="00650425" w:rsidP="0065042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Condition of the mobile lighting towers</w:t>
            </w:r>
          </w:p>
        </w:tc>
        <w:tc>
          <w:tcPr>
            <w:tcW w:w="3226" w:type="pct"/>
          </w:tcPr>
          <w:p w14:paraId="16C0DAAB" w14:textId="77777777" w:rsidR="00650425" w:rsidRPr="00650425" w:rsidRDefault="00650425" w:rsidP="00650425">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Mobile light towers must be new and unused.</w:t>
            </w:r>
          </w:p>
          <w:p w14:paraId="7F918405" w14:textId="77777777" w:rsidR="00650425" w:rsidRPr="00650425" w:rsidRDefault="00650425" w:rsidP="00650425">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Used or used and refurbished mobile lighting towers could not be offered. </w:t>
            </w:r>
          </w:p>
          <w:p w14:paraId="0C82BE7A"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All mobile lighting towers must be of the same manufacturer and model.</w:t>
            </w:r>
          </w:p>
        </w:tc>
      </w:tr>
      <w:tr w:rsidR="00650425" w:rsidRPr="00650425" w14:paraId="41ED2B9A" w14:textId="77777777" w:rsidTr="0065042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393" w:type="pct"/>
          </w:tcPr>
          <w:p w14:paraId="7EFCFAD1"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vAlign w:val="center"/>
          </w:tcPr>
          <w:p w14:paraId="4A2F1E0F" w14:textId="77777777" w:rsidR="00650425" w:rsidRPr="00060A6F"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highlight w:val="yellow"/>
              </w:rPr>
            </w:pPr>
            <w:r w:rsidRPr="00D31A7C">
              <w:rPr>
                <w:rFonts w:ascii="Calibri" w:eastAsia="Arial" w:hAnsi="Calibri" w:cs="Calibri"/>
              </w:rPr>
              <w:t>Quantity</w:t>
            </w:r>
          </w:p>
        </w:tc>
        <w:tc>
          <w:tcPr>
            <w:tcW w:w="3226" w:type="pct"/>
            <w:vAlign w:val="center"/>
          </w:tcPr>
          <w:p w14:paraId="52CC9D3E" w14:textId="380C81D4" w:rsidR="00D862A9" w:rsidRPr="00D862A9" w:rsidRDefault="00D862A9" w:rsidP="00D862A9">
            <w:pPr>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lt-LT"/>
              </w:rPr>
            </w:pPr>
            <w:r w:rsidRPr="00D862A9">
              <w:rPr>
                <w:rFonts w:ascii="Calibri" w:eastAsia="Arial" w:hAnsi="Calibri" w:cs="Calibri"/>
                <w:iCs/>
                <w:lang w:val="lt-LT"/>
              </w:rPr>
              <w:t xml:space="preserve">Minimum quantity: </w:t>
            </w:r>
            <w:r>
              <w:rPr>
                <w:rFonts w:ascii="Calibri" w:eastAsia="Arial" w:hAnsi="Calibri" w:cs="Calibri"/>
                <w:iCs/>
                <w:lang w:val="lt-LT"/>
              </w:rPr>
              <w:t>5</w:t>
            </w:r>
            <w:r w:rsidRPr="00D862A9">
              <w:rPr>
                <w:rFonts w:ascii="Calibri" w:eastAsia="Arial" w:hAnsi="Calibri" w:cs="Calibri"/>
                <w:iCs/>
                <w:lang w:val="lt-LT"/>
              </w:rPr>
              <w:t xml:space="preserve"> units</w:t>
            </w:r>
            <w:r w:rsidRPr="00D862A9">
              <w:rPr>
                <w:rFonts w:ascii="Calibri" w:eastAsia="Arial" w:hAnsi="Calibri" w:cs="Calibri"/>
                <w:iCs/>
                <w:vertAlign w:val="superscript"/>
                <w:lang w:val="en-GB"/>
              </w:rPr>
              <w:footnoteReference w:id="6"/>
            </w:r>
          </w:p>
          <w:p w14:paraId="0CA1024A" w14:textId="0674AC6B" w:rsidR="00650425" w:rsidRPr="00650425" w:rsidRDefault="00D862A9" w:rsidP="00D862A9">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862A9">
              <w:rPr>
                <w:rFonts w:ascii="Calibri" w:eastAsia="Arial" w:hAnsi="Calibri" w:cs="Calibri"/>
                <w:iCs/>
                <w:lang w:val="lt-LT"/>
              </w:rPr>
              <w:t xml:space="preserve">Maximum quantity: </w:t>
            </w:r>
            <w:r>
              <w:rPr>
                <w:rFonts w:ascii="Calibri" w:eastAsia="Arial" w:hAnsi="Calibri" w:cs="Calibri"/>
                <w:iCs/>
                <w:lang w:val="lt-LT"/>
              </w:rPr>
              <w:t>9</w:t>
            </w:r>
            <w:r w:rsidRPr="00D862A9">
              <w:rPr>
                <w:rFonts w:ascii="Calibri" w:eastAsia="Arial" w:hAnsi="Calibri" w:cs="Calibri"/>
                <w:iCs/>
                <w:lang w:val="lt-LT"/>
              </w:rPr>
              <w:t xml:space="preserve"> units</w:t>
            </w:r>
            <w:r w:rsidRPr="00D862A9">
              <w:rPr>
                <w:rFonts w:ascii="Calibri" w:eastAsia="Arial" w:hAnsi="Calibri" w:cs="Calibri"/>
                <w:iCs/>
                <w:vertAlign w:val="superscript"/>
                <w:lang w:val="en-GB"/>
              </w:rPr>
              <w:footnoteReference w:id="7"/>
            </w:r>
          </w:p>
        </w:tc>
      </w:tr>
      <w:tr w:rsidR="00650425" w:rsidRPr="00650425" w14:paraId="4B5FF966"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42AE9028"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3DDD26DF" w14:textId="77777777" w:rsidR="00650425" w:rsidRPr="00650425" w:rsidRDefault="00650425" w:rsidP="0065042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Duration of operation</w:t>
            </w:r>
          </w:p>
        </w:tc>
        <w:tc>
          <w:tcPr>
            <w:tcW w:w="3226" w:type="pct"/>
          </w:tcPr>
          <w:p w14:paraId="682918C5"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Generator of mobile lighting tower must operate autonomously for not less than 24 hours at a rated nominal load without refueling</w:t>
            </w:r>
          </w:p>
        </w:tc>
      </w:tr>
      <w:tr w:rsidR="00650425" w:rsidRPr="00650425" w14:paraId="12F93C2A"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3BEFA9E1"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7454DED2" w14:textId="77777777" w:rsidR="00650425" w:rsidRPr="00650425"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Fuel type</w:t>
            </w:r>
          </w:p>
        </w:tc>
        <w:tc>
          <w:tcPr>
            <w:tcW w:w="3226" w:type="pct"/>
          </w:tcPr>
          <w:p w14:paraId="76F5266E"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The generator of mobile lighting tower must be equipped with diesel engine. </w:t>
            </w:r>
          </w:p>
        </w:tc>
      </w:tr>
      <w:tr w:rsidR="00650425" w:rsidRPr="00650425" w14:paraId="73B67669"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7E85C350"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6CA2CCC5" w14:textId="77777777" w:rsidR="00650425" w:rsidRPr="00650425" w:rsidRDefault="00650425" w:rsidP="0065042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Security and control system monitoring</w:t>
            </w:r>
          </w:p>
        </w:tc>
        <w:tc>
          <w:tcPr>
            <w:tcW w:w="3226" w:type="pct"/>
          </w:tcPr>
          <w:p w14:paraId="3C969362" w14:textId="77777777" w:rsidR="00650425" w:rsidRPr="00650425" w:rsidRDefault="00650425" w:rsidP="00650425">
            <w:pPr>
              <w:tabs>
                <w:tab w:val="left" w:pos="571"/>
              </w:tabs>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650425">
              <w:rPr>
                <w:rFonts w:ascii="Calibri" w:eastAsia="Arial" w:hAnsi="Calibri" w:cs="Calibri"/>
                <w:bCs/>
              </w:rPr>
              <w:t xml:space="preserve">The generator of mobile lighting tower must be equipped with an overload protection system and an emergency shutdown system, accessible from outside of the generator covering. </w:t>
            </w:r>
          </w:p>
        </w:tc>
      </w:tr>
      <w:tr w:rsidR="00650425" w:rsidRPr="00650425" w14:paraId="7D984B6C"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39E98F8F"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50352CB3" w14:textId="77777777" w:rsidR="00650425" w:rsidRPr="00650425"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Wind Resistance</w:t>
            </w:r>
          </w:p>
        </w:tc>
        <w:tc>
          <w:tcPr>
            <w:tcW w:w="3226" w:type="pct"/>
          </w:tcPr>
          <w:p w14:paraId="2300C15F"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Mobile lighting tower, when set up according to manufacturer requirements must be resistant to winds of at least 70 km/h</w:t>
            </w:r>
          </w:p>
        </w:tc>
      </w:tr>
      <w:tr w:rsidR="00650425" w:rsidRPr="00650425" w14:paraId="4E6CBBAC"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56926A3D"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4A0297AD" w14:textId="77777777" w:rsidR="00650425" w:rsidRPr="00650425" w:rsidRDefault="00650425" w:rsidP="0065042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Generated power</w:t>
            </w:r>
          </w:p>
        </w:tc>
        <w:tc>
          <w:tcPr>
            <w:tcW w:w="3226" w:type="pct"/>
          </w:tcPr>
          <w:p w14:paraId="6081A8CE"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Nominal power rating of the generator of mobile lighting tower must be not less than 2 kW</w:t>
            </w:r>
          </w:p>
        </w:tc>
      </w:tr>
      <w:tr w:rsidR="00650425" w:rsidRPr="00650425" w14:paraId="10A73AE9"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3C68A74D"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15E70B71" w14:textId="77777777" w:rsidR="00650425" w:rsidRPr="00650425"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Auxiliary socket </w:t>
            </w:r>
          </w:p>
        </w:tc>
        <w:tc>
          <w:tcPr>
            <w:tcW w:w="3226" w:type="pct"/>
          </w:tcPr>
          <w:p w14:paraId="5BAEB90D"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The generator of mobile lighting tower must be equipped with at least one 16 A 230W 50 Hz.</w:t>
            </w:r>
          </w:p>
          <w:p w14:paraId="58FE211B"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outlet with CEE 7/3 socket </w:t>
            </w:r>
          </w:p>
        </w:tc>
      </w:tr>
      <w:tr w:rsidR="00650425" w:rsidRPr="00650425" w14:paraId="52091EFE"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7A8BA8C6"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5AD6B39B" w14:textId="77777777" w:rsidR="00650425" w:rsidRPr="00650425" w:rsidRDefault="00650425" w:rsidP="0065042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Chassis </w:t>
            </w:r>
          </w:p>
        </w:tc>
        <w:tc>
          <w:tcPr>
            <w:tcW w:w="3226" w:type="pct"/>
          </w:tcPr>
          <w:p w14:paraId="79B52EED"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The lighting tower (generator, telescoping mast, lights and other components) must be mounted on/equipped with chassis, that is designed and certified to be towed on public roads with speed of at least 50 km/h.</w:t>
            </w:r>
          </w:p>
        </w:tc>
      </w:tr>
      <w:tr w:rsidR="00650425" w:rsidRPr="00650425" w14:paraId="31975D96"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42F6E89D"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1546AFEC"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Connection to the tow vehicle </w:t>
            </w:r>
          </w:p>
        </w:tc>
        <w:tc>
          <w:tcPr>
            <w:tcW w:w="3226" w:type="pct"/>
          </w:tcPr>
          <w:p w14:paraId="53D79EE4"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Trailer/chassis of the mobile lighting tower must connect to the tow vehicle with following connections:</w:t>
            </w:r>
          </w:p>
          <w:p w14:paraId="11F76679" w14:textId="77777777" w:rsidR="00650425" w:rsidRPr="00650425" w:rsidRDefault="00650425" w:rsidP="00650425">
            <w:pPr>
              <w:numPr>
                <w:ilvl w:val="0"/>
                <w:numId w:val="43"/>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Tow coupling suitable for 50 mm ball hitch (ISO 1103:2007). </w:t>
            </w:r>
          </w:p>
          <w:p w14:paraId="5B22FB09" w14:textId="77777777" w:rsidR="00650425" w:rsidRPr="00650425" w:rsidRDefault="00650425" w:rsidP="00650425">
            <w:pPr>
              <w:numPr>
                <w:ilvl w:val="0"/>
                <w:numId w:val="43"/>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13 pin electrical connector (ISO 11446)</w:t>
            </w:r>
          </w:p>
        </w:tc>
      </w:tr>
      <w:tr w:rsidR="00650425" w:rsidRPr="00650425" w14:paraId="72C5DD49"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16EE14A4"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469AA68D"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Stabilizing outriggers</w:t>
            </w:r>
          </w:p>
        </w:tc>
        <w:tc>
          <w:tcPr>
            <w:tcW w:w="3226" w:type="pct"/>
          </w:tcPr>
          <w:p w14:paraId="35F45A4C" w14:textId="77777777" w:rsidR="00650425" w:rsidRPr="00650425" w:rsidRDefault="00650425" w:rsidP="00650425">
            <w:pPr>
              <w:tabs>
                <w:tab w:val="left" w:pos="541"/>
                <w:tab w:val="left" w:pos="1080"/>
              </w:tabs>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650425">
              <w:rPr>
                <w:rFonts w:ascii="Calibri" w:eastAsia="Arial" w:hAnsi="Calibri" w:cs="Calibri"/>
                <w:bCs/>
              </w:rPr>
              <w:t xml:space="preserve">The chassis/trailer of the mobile lighting tower must have at least 3 adjustable outriggers for stabilizing the lighting tower during use. </w:t>
            </w:r>
          </w:p>
        </w:tc>
      </w:tr>
      <w:tr w:rsidR="00650425" w:rsidRPr="00650425" w14:paraId="4C3AA305"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2BC737A0"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14ADC394"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Technical characteristics of the lighting mast</w:t>
            </w:r>
          </w:p>
        </w:tc>
        <w:tc>
          <w:tcPr>
            <w:tcW w:w="3226" w:type="pct"/>
          </w:tcPr>
          <w:p w14:paraId="6934BF0F"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 xml:space="preserve">Mobile lighting tower must be equipped with lighting mast with following features.  </w:t>
            </w:r>
          </w:p>
          <w:p w14:paraId="2792886E"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Equipped with not less than 4 LED lights, with power of not less than 200W each.</w:t>
            </w:r>
          </w:p>
          <w:p w14:paraId="3B889F9B"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The lighting area must be not less than 3000 m</w:t>
            </w:r>
            <w:r w:rsidRPr="00650425">
              <w:rPr>
                <w:rFonts w:ascii="Calibri" w:eastAsia="Arial" w:hAnsi="Calibri" w:cs="Calibri"/>
                <w:bCs/>
                <w:vertAlign w:val="superscript"/>
              </w:rPr>
              <w:t>2</w:t>
            </w:r>
          </w:p>
          <w:p w14:paraId="035FC744"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The LED lights must have ingress protection rating not lover than IP 55.</w:t>
            </w:r>
          </w:p>
          <w:p w14:paraId="0C6C39E6"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lastRenderedPageBreak/>
              <w:t>The mast must be telescoping with extended height of at least 6 m high when measured from the ground).</w:t>
            </w:r>
          </w:p>
          <w:p w14:paraId="2EF5D6E4"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The mast must have a rotation of at least 300° to both sides.</w:t>
            </w:r>
          </w:p>
          <w:p w14:paraId="2841B45C"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The angle of the individual lights must be adjustable.</w:t>
            </w:r>
          </w:p>
        </w:tc>
      </w:tr>
      <w:tr w:rsidR="00650425" w:rsidRPr="00650425" w14:paraId="20CF161E" w14:textId="77777777" w:rsidTr="00650425">
        <w:trPr>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008CCA5E"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343C1991" w14:textId="77777777" w:rsidR="00650425" w:rsidRPr="00650425" w:rsidRDefault="00650425" w:rsidP="0065042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Warranty</w:t>
            </w:r>
          </w:p>
        </w:tc>
        <w:tc>
          <w:tcPr>
            <w:tcW w:w="3226" w:type="pct"/>
          </w:tcPr>
          <w:p w14:paraId="00ADA9F8" w14:textId="77777777" w:rsidR="00650425" w:rsidRPr="00650425" w:rsidRDefault="00650425" w:rsidP="00650425">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Supplier must provide the warranty of at least  12 months for all the equipment of the mobile lighting tower. </w:t>
            </w:r>
          </w:p>
          <w:p w14:paraId="215E495A" w14:textId="77777777" w:rsidR="00650425" w:rsidRPr="00650425" w:rsidRDefault="00650425" w:rsidP="00650425">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650425">
              <w:rPr>
                <w:rFonts w:ascii="Calibri" w:eastAsia="Arial" w:hAnsi="Calibri" w:cs="Calibri"/>
              </w:rPr>
              <w:t xml:space="preserve">Supplier must provide for the beneficiary information on the availability and suppliers of suitable spare parts and repair services at the request of the beneficiary. </w:t>
            </w:r>
          </w:p>
        </w:tc>
      </w:tr>
      <w:tr w:rsidR="00650425" w:rsidRPr="00650425" w14:paraId="6187EFBD" w14:textId="77777777" w:rsidTr="0065042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93" w:type="pct"/>
          </w:tcPr>
          <w:p w14:paraId="43902EF3" w14:textId="77777777" w:rsidR="00650425" w:rsidRPr="00650425" w:rsidRDefault="00650425" w:rsidP="00650425">
            <w:pPr>
              <w:numPr>
                <w:ilvl w:val="0"/>
                <w:numId w:val="15"/>
              </w:numPr>
              <w:spacing w:after="120"/>
              <w:contextualSpacing/>
              <w:jc w:val="both"/>
              <w:rPr>
                <w:rFonts w:ascii="Calibri" w:eastAsia="Arial" w:hAnsi="Calibri" w:cs="Calibri"/>
              </w:rPr>
            </w:pPr>
          </w:p>
        </w:tc>
        <w:tc>
          <w:tcPr>
            <w:tcW w:w="1382" w:type="pct"/>
          </w:tcPr>
          <w:p w14:paraId="0D660702" w14:textId="77777777" w:rsidR="00650425" w:rsidRPr="00650425" w:rsidRDefault="00650425" w:rsidP="00650425">
            <w:pPr>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Documentation to be provided by the Supplier with the Goods</w:t>
            </w:r>
          </w:p>
          <w:p w14:paraId="1E278C54"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3226" w:type="pct"/>
          </w:tcPr>
          <w:p w14:paraId="6E3F399F" w14:textId="77777777" w:rsidR="00650425" w:rsidRPr="00650425" w:rsidRDefault="00650425" w:rsidP="00650425">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650425">
              <w:rPr>
                <w:rFonts w:ascii="Calibri" w:eastAsia="Arial" w:hAnsi="Calibri" w:cs="Calibri"/>
              </w:rPr>
              <w:t>Supplier must provide with the mobile lighting towers following documentation:</w:t>
            </w:r>
          </w:p>
          <w:p w14:paraId="0A927111"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Maintenance and user manual in English and/or in the language of the beneficiary printed, one manual per lighting tower.</w:t>
            </w:r>
          </w:p>
          <w:p w14:paraId="2F0846A9" w14:textId="77777777" w:rsidR="00650425" w:rsidRPr="00650425" w:rsidRDefault="00650425" w:rsidP="00650425">
            <w:pPr>
              <w:numPr>
                <w:ilvl w:val="1"/>
                <w:numId w:val="15"/>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650425">
              <w:rPr>
                <w:rFonts w:ascii="Calibri" w:eastAsia="Arial" w:hAnsi="Calibri" w:cs="Calibri"/>
                <w:bCs/>
              </w:rPr>
              <w:t xml:space="preserve">List of common spare parts and consumables in English and/or in the language of the beneficiary printed, one list per lighting tower (can be included in the maintenance and user manual).  </w:t>
            </w:r>
          </w:p>
        </w:tc>
      </w:tr>
    </w:tbl>
    <w:p w14:paraId="370522B7" w14:textId="77777777" w:rsidR="00650425" w:rsidRPr="00650425" w:rsidRDefault="00650425" w:rsidP="00650425">
      <w:pPr>
        <w:tabs>
          <w:tab w:val="left" w:pos="5535"/>
        </w:tabs>
        <w:spacing w:after="180" w:line="360" w:lineRule="auto"/>
        <w:rPr>
          <w:rFonts w:ascii="Calibri" w:eastAsia="Arial" w:hAnsi="Calibri" w:cs="Calibri"/>
          <w:color w:val="404040"/>
          <w:lang w:val="en-US" w:eastAsia="ja-JP"/>
        </w:rPr>
      </w:pPr>
    </w:p>
    <w:p w14:paraId="5B11A663" w14:textId="77777777" w:rsidR="00650425" w:rsidRPr="00650425" w:rsidRDefault="00650425" w:rsidP="00650425">
      <w:pPr>
        <w:tabs>
          <w:tab w:val="left" w:pos="5535"/>
        </w:tabs>
        <w:spacing w:after="0" w:line="240" w:lineRule="auto"/>
        <w:jc w:val="both"/>
        <w:rPr>
          <w:rFonts w:ascii="Calibri" w:eastAsia="Arial" w:hAnsi="Calibri" w:cs="Calibri"/>
          <w:b/>
          <w:color w:val="404040"/>
          <w:lang w:val="en-US" w:eastAsia="ja-JP"/>
        </w:rPr>
      </w:pPr>
      <w:r w:rsidRPr="00650425">
        <w:rPr>
          <w:rFonts w:ascii="Calibri" w:eastAsia="Arial" w:hAnsi="Calibri" w:cs="Calibri"/>
          <w:b/>
          <w:color w:val="404040"/>
          <w:lang w:val="en-US" w:eastAsia="ja-JP"/>
        </w:rPr>
        <w:t>NOTES:</w:t>
      </w:r>
    </w:p>
    <w:p w14:paraId="4F2910FC" w14:textId="77777777" w:rsidR="00650425" w:rsidRPr="00650425" w:rsidRDefault="00650425" w:rsidP="00650425">
      <w:pPr>
        <w:numPr>
          <w:ilvl w:val="0"/>
          <w:numId w:val="44"/>
        </w:numPr>
        <w:tabs>
          <w:tab w:val="left" w:pos="5535"/>
        </w:tabs>
        <w:spacing w:after="120" w:line="240" w:lineRule="auto"/>
        <w:ind w:left="425" w:hanging="357"/>
        <w:jc w:val="both"/>
        <w:rPr>
          <w:rFonts w:ascii="Calibri" w:eastAsia="Arial" w:hAnsi="Calibri" w:cs="Calibri"/>
          <w:lang w:val="en-US"/>
        </w:rPr>
      </w:pPr>
      <w:r w:rsidRPr="00650425">
        <w:rPr>
          <w:rFonts w:ascii="Calibri" w:eastAsia="Arial" w:hAnsi="Calibri" w:cs="Calibri"/>
          <w:lang w:val="en-US"/>
        </w:rPr>
        <w:t>The supplier will be required to submit with the tender documents (manufacturer's technical descriptions and/or other documents) confirming that the characteristics of the goods offered by the supplier comply with the requirements.</w:t>
      </w:r>
    </w:p>
    <w:p w14:paraId="757D7866" w14:textId="77777777" w:rsidR="00650425" w:rsidRPr="00650425" w:rsidRDefault="00650425" w:rsidP="00650425">
      <w:pPr>
        <w:numPr>
          <w:ilvl w:val="0"/>
          <w:numId w:val="44"/>
        </w:numPr>
        <w:tabs>
          <w:tab w:val="left" w:pos="5535"/>
        </w:tabs>
        <w:spacing w:after="120" w:line="240" w:lineRule="auto"/>
        <w:ind w:left="425" w:hanging="357"/>
        <w:jc w:val="both"/>
        <w:rPr>
          <w:rFonts w:ascii="Calibri" w:eastAsia="Arial" w:hAnsi="Calibri" w:cs="Calibri"/>
          <w:lang w:val="en-US"/>
        </w:rPr>
      </w:pPr>
      <w:r w:rsidRPr="00650425">
        <w:rPr>
          <w:rFonts w:ascii="Calibri" w:eastAsia="Arial" w:hAnsi="Calibri" w:cs="Calibri"/>
          <w:lang w:val="en-US"/>
        </w:rPr>
        <w:t xml:space="preserve">Where the technical specification specifies a particular model or source of supply, a particular process specific to the goods or services supplied by a particular supplier, or a trademark, patent, types, specific origin or manufacture, these characteristics are deemed to be indicative only and suppliers are free to offer an equivalent option. The supplier must demonstrate the equivalence referred to in this paragraph. </w:t>
      </w:r>
    </w:p>
    <w:p w14:paraId="6980CDA0" w14:textId="77777777" w:rsidR="00650425" w:rsidRPr="00650425" w:rsidRDefault="00650425" w:rsidP="00650425">
      <w:pPr>
        <w:numPr>
          <w:ilvl w:val="0"/>
          <w:numId w:val="44"/>
        </w:numPr>
        <w:tabs>
          <w:tab w:val="left" w:pos="5535"/>
        </w:tabs>
        <w:spacing w:after="180" w:line="240" w:lineRule="auto"/>
        <w:ind w:left="426"/>
        <w:contextualSpacing/>
        <w:jc w:val="both"/>
        <w:rPr>
          <w:rFonts w:ascii="Calibri" w:eastAsia="Arial" w:hAnsi="Calibri" w:cs="Calibri"/>
          <w:lang w:val="en-US"/>
        </w:rPr>
      </w:pPr>
      <w:r w:rsidRPr="00650425">
        <w:rPr>
          <w:rFonts w:ascii="Calibri" w:eastAsia="Arial" w:hAnsi="Calibri" w:cs="Calibri"/>
          <w:lang w:val="en-US"/>
        </w:rPr>
        <w:t>In the event that the technical specification specifies values/parameters for a particular technical characteristic, suppliers may offer goods whose values/parameters are not inferior to those specified (goods with better characteristics may be offered).</w:t>
      </w:r>
    </w:p>
    <w:p w14:paraId="6B9639E1" w14:textId="19987CF9" w:rsidR="009D12DB" w:rsidRPr="007F26FA" w:rsidRDefault="009D12DB" w:rsidP="009D12DB">
      <w:pPr>
        <w:rPr>
          <w:rFonts w:eastAsia="Times New Roman" w:cstheme="minorHAnsi"/>
          <w:lang w:val="en-US" w:eastAsia="uk-UA"/>
        </w:rPr>
        <w:sectPr w:rsidR="009D12DB" w:rsidRPr="007F26FA" w:rsidSect="00C526A1">
          <w:headerReference w:type="default" r:id="rId18"/>
          <w:footerReference w:type="default" r:id="rId19"/>
          <w:pgSz w:w="11906" w:h="16838" w:code="9"/>
          <w:pgMar w:top="1258" w:right="686" w:bottom="1242" w:left="1701" w:header="708" w:footer="708" w:gutter="0"/>
          <w:cols w:space="720"/>
          <w:titlePg/>
          <w:docGrid w:linePitch="360"/>
        </w:sectPr>
      </w:pPr>
    </w:p>
    <w:p w14:paraId="7D377075"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7F26FA" w:rsidRDefault="0EB4C282" w:rsidP="0EB4C282">
      <w:pPr>
        <w:pStyle w:val="Subtitle"/>
        <w:spacing w:after="0" w:line="240" w:lineRule="auto"/>
        <w:jc w:val="center"/>
        <w:rPr>
          <w:lang w:val="en-GB"/>
        </w:rPr>
      </w:pPr>
      <w:r w:rsidRPr="0EB4C282">
        <w:rPr>
          <w:lang w:val="en-GB"/>
        </w:rPr>
        <w:t>TENDER</w:t>
      </w:r>
    </w:p>
    <w:p w14:paraId="68EA18BA" w14:textId="2EF49775" w:rsidR="00CC0880" w:rsidRPr="00C5786F" w:rsidRDefault="00CC0880" w:rsidP="00C5786F">
      <w:pPr>
        <w:pStyle w:val="Subtitle"/>
        <w:jc w:val="center"/>
        <w:rPr>
          <w:b/>
          <w:bCs/>
          <w:shd w:val="clear" w:color="auto" w:fill="E7E6E6" w:themeFill="background2"/>
          <w:lang w:val="en-US"/>
        </w:rPr>
      </w:pPr>
      <w:r w:rsidRPr="0EB4C282">
        <w:rPr>
          <w:lang w:val="en-GB"/>
        </w:rPr>
        <w:t>FOR</w:t>
      </w:r>
      <w:r w:rsidR="006962D5" w:rsidRPr="0EB4C282">
        <w:rPr>
          <w:lang w:val="en-GB"/>
        </w:rPr>
        <w:t xml:space="preserve"> </w:t>
      </w:r>
      <w:r w:rsidR="00415D61" w:rsidRPr="00415D61">
        <w:rPr>
          <w:b/>
          <w:bCs/>
          <w:shd w:val="clear" w:color="auto" w:fill="E7E6E6" w:themeFill="background2"/>
          <w:lang w:val="en-US"/>
        </w:rPr>
        <w:t>MObile LIGHTING TOWERS</w:t>
      </w:r>
      <w:r w:rsidR="00415D61">
        <w:rPr>
          <w:b/>
          <w:bCs/>
          <w:shd w:val="clear" w:color="auto" w:fill="E7E6E6" w:themeFill="background2"/>
          <w:lang w:val="en-US"/>
        </w:rPr>
        <w:t xml:space="preserve"> </w:t>
      </w:r>
      <w:r w:rsidRPr="0EB4C282">
        <w:rPr>
          <w:lang w:val="en-GB"/>
        </w:rPr>
        <w:t xml:space="preserve">PROCUREMENT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5786F">
      <w:pPr>
        <w:spacing w:after="0" w:line="240" w:lineRule="auto"/>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EB4C282">
      <w:pPr>
        <w:pStyle w:val="ListParagraph"/>
        <w:numPr>
          <w:ilvl w:val="0"/>
          <w:numId w:val="61"/>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EB4C282">
      <w:pPr>
        <w:pStyle w:val="ListParagraph"/>
        <w:numPr>
          <w:ilvl w:val="0"/>
          <w:numId w:val="61"/>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EB4C282">
      <w:pPr>
        <w:pStyle w:val="ListParagraph"/>
        <w:numPr>
          <w:ilvl w:val="0"/>
          <w:numId w:val="61"/>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EB4C282">
      <w:pPr>
        <w:pStyle w:val="ListParagraph"/>
        <w:numPr>
          <w:ilvl w:val="0"/>
          <w:numId w:val="63"/>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EB4C282" w:rsidP="0EB4C282">
      <w:pPr>
        <w:pStyle w:val="ListParagraph"/>
        <w:numPr>
          <w:ilvl w:val="0"/>
          <w:numId w:val="63"/>
        </w:numPr>
        <w:spacing w:after="0" w:line="240" w:lineRule="auto"/>
        <w:ind w:left="0" w:firstLine="567"/>
        <w:jc w:val="center"/>
        <w:rPr>
          <w:b/>
          <w:bCs/>
          <w:lang w:val="en-GB"/>
        </w:rPr>
      </w:pPr>
      <w:r w:rsidRPr="0EB4C282">
        <w:rPr>
          <w:b/>
          <w:bCs/>
          <w:lang w:val="en-GB"/>
        </w:rPr>
        <w:t>PRICE OF THE TENDER</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777"/>
        <w:gridCol w:w="2548"/>
        <w:gridCol w:w="1970"/>
        <w:gridCol w:w="1252"/>
        <w:gridCol w:w="1347"/>
        <w:gridCol w:w="1432"/>
      </w:tblGrid>
      <w:tr w:rsidR="00032F5A" w:rsidRPr="007F26FA" w14:paraId="0DDC1734" w14:textId="77777777" w:rsidTr="00D31A7C">
        <w:trPr>
          <w:tblHeader/>
        </w:trPr>
        <w:tc>
          <w:tcPr>
            <w:tcW w:w="636" w:type="dxa"/>
            <w:shd w:val="clear" w:color="auto" w:fill="DEEAF6" w:themeFill="accent1" w:themeFillTint="33"/>
            <w:vAlign w:val="center"/>
          </w:tcPr>
          <w:p w14:paraId="11A42070" w14:textId="77777777" w:rsidR="00032F5A" w:rsidRPr="007F26FA" w:rsidRDefault="00032F5A" w:rsidP="0EB4C282">
            <w:pPr>
              <w:spacing w:after="0" w:line="240" w:lineRule="auto"/>
              <w:jc w:val="center"/>
              <w:rPr>
                <w:b/>
                <w:bCs/>
                <w:lang w:val="en-GB"/>
              </w:rPr>
            </w:pPr>
            <w:r w:rsidRPr="0EB4C282">
              <w:rPr>
                <w:b/>
                <w:bCs/>
                <w:lang w:val="en-GB"/>
              </w:rPr>
              <w:t>No.</w:t>
            </w:r>
          </w:p>
        </w:tc>
        <w:tc>
          <w:tcPr>
            <w:tcW w:w="3325" w:type="dxa"/>
            <w:gridSpan w:val="2"/>
            <w:shd w:val="clear" w:color="auto" w:fill="DEEAF6" w:themeFill="accent1" w:themeFillTint="33"/>
            <w:vAlign w:val="center"/>
          </w:tcPr>
          <w:p w14:paraId="607D1904" w14:textId="77777777" w:rsidR="00032F5A" w:rsidRPr="007F26FA" w:rsidRDefault="00032F5A" w:rsidP="0EB4C282">
            <w:pPr>
              <w:spacing w:after="0" w:line="240" w:lineRule="auto"/>
              <w:jc w:val="center"/>
              <w:rPr>
                <w:b/>
                <w:bCs/>
                <w:lang w:val="en-GB"/>
              </w:rPr>
            </w:pPr>
            <w:r w:rsidRPr="0EB4C282">
              <w:rPr>
                <w:b/>
                <w:bCs/>
                <w:lang w:val="en-GB"/>
              </w:rPr>
              <w:t>Object of procurement</w:t>
            </w:r>
          </w:p>
          <w:p w14:paraId="3A358E5D" w14:textId="77777777" w:rsidR="00032F5A" w:rsidRPr="007F26FA" w:rsidRDefault="00032F5A" w:rsidP="00020179">
            <w:pPr>
              <w:spacing w:after="0" w:line="240" w:lineRule="auto"/>
              <w:jc w:val="center"/>
              <w:rPr>
                <w:rFonts w:cstheme="minorHAnsi"/>
                <w:b/>
                <w:bCs/>
                <w:iCs/>
                <w:color w:val="00B050"/>
                <w:lang w:val="en-GB"/>
              </w:rPr>
            </w:pPr>
          </w:p>
        </w:tc>
        <w:tc>
          <w:tcPr>
            <w:tcW w:w="1970" w:type="dxa"/>
            <w:shd w:val="clear" w:color="auto" w:fill="DEEAF6" w:themeFill="accent1" w:themeFillTint="33"/>
            <w:vAlign w:val="center"/>
          </w:tcPr>
          <w:p w14:paraId="33A34C72" w14:textId="41F53566" w:rsidR="00032F5A" w:rsidRPr="007F26FA" w:rsidRDefault="00032F5A" w:rsidP="0EB4C282">
            <w:pPr>
              <w:spacing w:after="0" w:line="240" w:lineRule="auto"/>
              <w:jc w:val="center"/>
              <w:rPr>
                <w:b/>
                <w:bCs/>
                <w:lang w:val="en-GB"/>
              </w:rPr>
            </w:pPr>
            <w:r w:rsidRPr="00032F5A">
              <w:rPr>
                <w:b/>
                <w:bCs/>
                <w:iCs/>
                <w:lang w:val="en-GB"/>
              </w:rPr>
              <w:t>Minimum quantity</w:t>
            </w:r>
            <w:r w:rsidRPr="00032F5A">
              <w:rPr>
                <w:b/>
                <w:bCs/>
                <w:iCs/>
                <w:vertAlign w:val="superscript"/>
                <w:lang w:val="en-GB"/>
              </w:rPr>
              <w:footnoteReference w:id="8"/>
            </w:r>
          </w:p>
        </w:tc>
        <w:tc>
          <w:tcPr>
            <w:tcW w:w="1252" w:type="dxa"/>
            <w:shd w:val="clear" w:color="auto" w:fill="DEEAF6" w:themeFill="accent1" w:themeFillTint="33"/>
          </w:tcPr>
          <w:p w14:paraId="16C9F54A" w14:textId="77777777" w:rsidR="00032F5A" w:rsidRDefault="00032F5A" w:rsidP="0EB4C282">
            <w:pPr>
              <w:spacing w:after="0" w:line="240" w:lineRule="auto"/>
              <w:jc w:val="center"/>
              <w:rPr>
                <w:b/>
                <w:bCs/>
                <w:iCs/>
                <w:lang w:val="en-GB"/>
              </w:rPr>
            </w:pPr>
          </w:p>
          <w:p w14:paraId="1323A836" w14:textId="25931644" w:rsidR="00032F5A" w:rsidRPr="0EB4C282" w:rsidRDefault="00032F5A" w:rsidP="0EB4C282">
            <w:pPr>
              <w:spacing w:after="0" w:line="240" w:lineRule="auto"/>
              <w:jc w:val="center"/>
              <w:rPr>
                <w:b/>
                <w:bCs/>
                <w:lang w:val="en-GB"/>
              </w:rPr>
            </w:pPr>
            <w:r w:rsidRPr="00032F5A">
              <w:rPr>
                <w:b/>
                <w:bCs/>
                <w:iCs/>
                <w:lang w:val="en-GB"/>
              </w:rPr>
              <w:t>Maximum quantity</w:t>
            </w:r>
            <w:r w:rsidRPr="00032F5A">
              <w:rPr>
                <w:b/>
                <w:bCs/>
                <w:iCs/>
                <w:vertAlign w:val="superscript"/>
                <w:lang w:val="en-GB"/>
              </w:rPr>
              <w:footnoteReference w:id="9"/>
            </w:r>
          </w:p>
        </w:tc>
        <w:tc>
          <w:tcPr>
            <w:tcW w:w="1347" w:type="dxa"/>
            <w:shd w:val="clear" w:color="auto" w:fill="DEEAF6" w:themeFill="accent1" w:themeFillTint="33"/>
            <w:vAlign w:val="center"/>
          </w:tcPr>
          <w:p w14:paraId="1AB86FE8" w14:textId="42CED08E" w:rsidR="00032F5A" w:rsidRPr="007F26FA" w:rsidRDefault="00032F5A" w:rsidP="0EB4C282">
            <w:pPr>
              <w:spacing w:after="0" w:line="240" w:lineRule="auto"/>
              <w:jc w:val="center"/>
              <w:rPr>
                <w:b/>
                <w:bCs/>
                <w:lang w:val="en-GB"/>
              </w:rPr>
            </w:pPr>
            <w:r w:rsidRPr="0EB4C282">
              <w:rPr>
                <w:b/>
                <w:bCs/>
                <w:lang w:val="en-GB"/>
              </w:rPr>
              <w:t>Unit price</w:t>
            </w:r>
            <w:r w:rsidRPr="0EB4C282">
              <w:rPr>
                <w:rStyle w:val="FootnoteReference"/>
                <w:rFonts w:cstheme="minorBidi"/>
                <w:lang w:val="en-GB"/>
              </w:rPr>
              <w:t xml:space="preserve"> </w:t>
            </w:r>
            <w:r w:rsidRPr="0EB4C282">
              <w:rPr>
                <w:rStyle w:val="FootnoteReference"/>
                <w:rFonts w:cstheme="minorBidi"/>
                <w:lang w:val="en-GB"/>
              </w:rPr>
              <w:footnoteReference w:id="10"/>
            </w:r>
          </w:p>
          <w:p w14:paraId="30A9DD7E" w14:textId="77777777" w:rsidR="00032F5A" w:rsidRPr="007F26FA" w:rsidRDefault="00032F5A" w:rsidP="0EB4C282">
            <w:pPr>
              <w:spacing w:after="0" w:line="240" w:lineRule="auto"/>
              <w:jc w:val="center"/>
              <w:rPr>
                <w:b/>
                <w:bCs/>
                <w:lang w:val="en-GB"/>
              </w:rPr>
            </w:pPr>
            <w:r w:rsidRPr="0EB4C282">
              <w:rPr>
                <w:b/>
                <w:bCs/>
                <w:lang w:val="en-GB"/>
              </w:rPr>
              <w:t>EUR excl. VAT</w:t>
            </w:r>
          </w:p>
        </w:tc>
        <w:tc>
          <w:tcPr>
            <w:tcW w:w="1432" w:type="dxa"/>
            <w:shd w:val="clear" w:color="auto" w:fill="DEEAF6" w:themeFill="accent1" w:themeFillTint="33"/>
            <w:vAlign w:val="center"/>
          </w:tcPr>
          <w:p w14:paraId="7FA2E5D0" w14:textId="77777777" w:rsidR="00032F5A" w:rsidRPr="007F26FA" w:rsidRDefault="00032F5A" w:rsidP="0EB4C282">
            <w:pPr>
              <w:spacing w:after="0" w:line="240" w:lineRule="auto"/>
              <w:jc w:val="center"/>
              <w:rPr>
                <w:b/>
                <w:bCs/>
                <w:lang w:val="en-GB"/>
              </w:rPr>
            </w:pPr>
            <w:r w:rsidRPr="0EB4C282">
              <w:rPr>
                <w:b/>
                <w:bCs/>
                <w:lang w:val="en-GB"/>
              </w:rPr>
              <w:t xml:space="preserve">Price </w:t>
            </w:r>
          </w:p>
          <w:p w14:paraId="275761DD" w14:textId="77777777" w:rsidR="00032F5A" w:rsidRPr="007F26FA" w:rsidRDefault="00032F5A" w:rsidP="0EB4C282">
            <w:pPr>
              <w:spacing w:after="0" w:line="240" w:lineRule="auto"/>
              <w:jc w:val="center"/>
              <w:rPr>
                <w:b/>
                <w:bCs/>
                <w:lang w:val="en-GB"/>
              </w:rPr>
            </w:pPr>
            <w:r w:rsidRPr="0EB4C282">
              <w:rPr>
                <w:b/>
                <w:bCs/>
                <w:lang w:val="en-GB"/>
              </w:rPr>
              <w:t>EUR excl. VAT</w:t>
            </w:r>
          </w:p>
          <w:p w14:paraId="5E521427" w14:textId="7F238DF6" w:rsidR="00032F5A" w:rsidRPr="007F26FA" w:rsidRDefault="00032F5A" w:rsidP="0EB4C282">
            <w:pPr>
              <w:spacing w:after="0" w:line="240" w:lineRule="auto"/>
              <w:jc w:val="center"/>
              <w:rPr>
                <w:i/>
                <w:iCs/>
                <w:lang w:val="en-GB"/>
              </w:rPr>
            </w:pPr>
            <w:r w:rsidRPr="0EB4C282">
              <w:rPr>
                <w:i/>
                <w:iCs/>
                <w:lang w:val="en-GB"/>
              </w:rPr>
              <w:t>(</w:t>
            </w:r>
            <w:r w:rsidR="00876C00">
              <w:rPr>
                <w:i/>
                <w:iCs/>
                <w:lang w:val="en-GB"/>
              </w:rPr>
              <w:t>4</w:t>
            </w:r>
            <w:r w:rsidRPr="0EB4C282">
              <w:rPr>
                <w:i/>
                <w:iCs/>
                <w:lang w:val="en-GB"/>
              </w:rPr>
              <w:t>x</w:t>
            </w:r>
            <w:r w:rsidR="00876C00">
              <w:rPr>
                <w:i/>
                <w:iCs/>
                <w:lang w:val="en-GB"/>
              </w:rPr>
              <w:t>5</w:t>
            </w:r>
            <w:r w:rsidRPr="0EB4C282">
              <w:rPr>
                <w:i/>
                <w:iCs/>
                <w:lang w:val="en-GB"/>
              </w:rPr>
              <w:t>)</w:t>
            </w:r>
          </w:p>
        </w:tc>
      </w:tr>
      <w:tr w:rsidR="00032F5A" w:rsidRPr="007F26FA" w14:paraId="15063682" w14:textId="77777777" w:rsidTr="00D31A7C">
        <w:trPr>
          <w:trHeight w:val="296"/>
          <w:tblHeader/>
        </w:trPr>
        <w:tc>
          <w:tcPr>
            <w:tcW w:w="636" w:type="dxa"/>
            <w:vAlign w:val="center"/>
          </w:tcPr>
          <w:p w14:paraId="4F72E31B" w14:textId="77777777" w:rsidR="00032F5A" w:rsidRPr="007F26FA" w:rsidRDefault="00032F5A" w:rsidP="0EB4C282">
            <w:pPr>
              <w:spacing w:after="0" w:line="240" w:lineRule="auto"/>
              <w:jc w:val="center"/>
              <w:rPr>
                <w:i/>
                <w:iCs/>
                <w:lang w:val="en-GB"/>
              </w:rPr>
            </w:pPr>
            <w:r w:rsidRPr="0EB4C282">
              <w:rPr>
                <w:i/>
                <w:iCs/>
                <w:lang w:val="en-GB"/>
              </w:rPr>
              <w:t>1</w:t>
            </w:r>
          </w:p>
        </w:tc>
        <w:tc>
          <w:tcPr>
            <w:tcW w:w="3325" w:type="dxa"/>
            <w:gridSpan w:val="2"/>
            <w:vAlign w:val="center"/>
          </w:tcPr>
          <w:p w14:paraId="057F6C03" w14:textId="77777777" w:rsidR="00032F5A" w:rsidRPr="007F26FA" w:rsidRDefault="00032F5A" w:rsidP="0EB4C282">
            <w:pPr>
              <w:spacing w:after="0" w:line="240" w:lineRule="auto"/>
              <w:jc w:val="center"/>
              <w:rPr>
                <w:i/>
                <w:iCs/>
                <w:lang w:val="en-GB"/>
              </w:rPr>
            </w:pPr>
            <w:r w:rsidRPr="0EB4C282">
              <w:rPr>
                <w:i/>
                <w:iCs/>
                <w:lang w:val="en-GB"/>
              </w:rPr>
              <w:t>2</w:t>
            </w:r>
          </w:p>
          <w:p w14:paraId="045F6378" w14:textId="77777777" w:rsidR="00032F5A" w:rsidRPr="007F26FA" w:rsidRDefault="00032F5A" w:rsidP="00020179">
            <w:pPr>
              <w:spacing w:after="0" w:line="240" w:lineRule="auto"/>
              <w:jc w:val="center"/>
              <w:rPr>
                <w:rFonts w:cstheme="minorHAnsi"/>
                <w:i/>
                <w:lang w:val="en-GB"/>
              </w:rPr>
            </w:pPr>
          </w:p>
        </w:tc>
        <w:tc>
          <w:tcPr>
            <w:tcW w:w="1970" w:type="dxa"/>
            <w:vAlign w:val="center"/>
          </w:tcPr>
          <w:p w14:paraId="5A77A4CB" w14:textId="77777777" w:rsidR="00032F5A" w:rsidRPr="007F26FA" w:rsidRDefault="00032F5A" w:rsidP="0EB4C282">
            <w:pPr>
              <w:spacing w:after="0" w:line="240" w:lineRule="auto"/>
              <w:jc w:val="center"/>
              <w:rPr>
                <w:i/>
                <w:iCs/>
                <w:lang w:val="en-GB"/>
              </w:rPr>
            </w:pPr>
            <w:r w:rsidRPr="0EB4C282">
              <w:rPr>
                <w:i/>
                <w:iCs/>
                <w:lang w:val="en-GB"/>
              </w:rPr>
              <w:t>3</w:t>
            </w:r>
          </w:p>
        </w:tc>
        <w:tc>
          <w:tcPr>
            <w:tcW w:w="1252" w:type="dxa"/>
          </w:tcPr>
          <w:p w14:paraId="709AD0F9" w14:textId="77777777" w:rsidR="004B2F38" w:rsidRDefault="004B2F38" w:rsidP="004B2F38">
            <w:pPr>
              <w:spacing w:after="0" w:line="240" w:lineRule="auto"/>
              <w:rPr>
                <w:i/>
                <w:iCs/>
                <w:lang w:val="en-GB"/>
              </w:rPr>
            </w:pPr>
          </w:p>
          <w:p w14:paraId="09B3894E" w14:textId="4749ADBC" w:rsidR="00032F5A" w:rsidRPr="0EB4C282" w:rsidRDefault="00876C00" w:rsidP="004B2F38">
            <w:pPr>
              <w:spacing w:after="0" w:line="240" w:lineRule="auto"/>
              <w:jc w:val="center"/>
              <w:rPr>
                <w:i/>
                <w:iCs/>
                <w:lang w:val="en-GB"/>
              </w:rPr>
            </w:pPr>
            <w:r>
              <w:rPr>
                <w:i/>
                <w:iCs/>
                <w:lang w:val="en-GB"/>
              </w:rPr>
              <w:t>4</w:t>
            </w:r>
          </w:p>
        </w:tc>
        <w:tc>
          <w:tcPr>
            <w:tcW w:w="1347" w:type="dxa"/>
            <w:vAlign w:val="center"/>
          </w:tcPr>
          <w:p w14:paraId="3AF9F469" w14:textId="120A1AC5" w:rsidR="00032F5A" w:rsidRPr="007F26FA" w:rsidRDefault="00876C00" w:rsidP="0EB4C282">
            <w:pPr>
              <w:spacing w:after="0" w:line="240" w:lineRule="auto"/>
              <w:jc w:val="center"/>
              <w:rPr>
                <w:i/>
                <w:iCs/>
                <w:lang w:val="en-GB"/>
              </w:rPr>
            </w:pPr>
            <w:r>
              <w:rPr>
                <w:i/>
                <w:iCs/>
                <w:lang w:val="en-GB"/>
              </w:rPr>
              <w:t>5</w:t>
            </w:r>
          </w:p>
        </w:tc>
        <w:tc>
          <w:tcPr>
            <w:tcW w:w="1432" w:type="dxa"/>
            <w:vAlign w:val="center"/>
          </w:tcPr>
          <w:p w14:paraId="222232DE" w14:textId="28B1A98C" w:rsidR="00032F5A" w:rsidRPr="007F26FA" w:rsidRDefault="00876C00" w:rsidP="0EB4C282">
            <w:pPr>
              <w:spacing w:after="0" w:line="240" w:lineRule="auto"/>
              <w:jc w:val="center"/>
              <w:rPr>
                <w:i/>
                <w:iCs/>
                <w:lang w:val="en-GB"/>
              </w:rPr>
            </w:pPr>
            <w:r>
              <w:rPr>
                <w:i/>
                <w:iCs/>
                <w:lang w:val="en-GB"/>
              </w:rPr>
              <w:t>6</w:t>
            </w:r>
          </w:p>
        </w:tc>
      </w:tr>
      <w:tr w:rsidR="00032F5A" w:rsidRPr="007F26FA" w14:paraId="231AEC3E" w14:textId="77777777" w:rsidTr="00D31A7C">
        <w:tc>
          <w:tcPr>
            <w:tcW w:w="636" w:type="dxa"/>
            <w:tcBorders>
              <w:right w:val="single" w:sz="4" w:space="0" w:color="auto"/>
            </w:tcBorders>
          </w:tcPr>
          <w:p w14:paraId="2C0DB267" w14:textId="58058D2B" w:rsidR="00032F5A" w:rsidRPr="00EE32FC" w:rsidRDefault="00032F5A" w:rsidP="0EB4C282">
            <w:pPr>
              <w:spacing w:after="0" w:line="240" w:lineRule="auto"/>
              <w:rPr>
                <w:lang w:val="en-US"/>
              </w:rPr>
            </w:pPr>
            <w:r>
              <w:rPr>
                <w:lang w:val="en-US"/>
              </w:rPr>
              <w:t>1.</w:t>
            </w:r>
          </w:p>
        </w:tc>
        <w:tc>
          <w:tcPr>
            <w:tcW w:w="3325" w:type="dxa"/>
            <w:gridSpan w:val="2"/>
            <w:tcBorders>
              <w:left w:val="single" w:sz="4" w:space="0" w:color="auto"/>
            </w:tcBorders>
          </w:tcPr>
          <w:p w14:paraId="2EFDF59E" w14:textId="54F89CF0" w:rsidR="00032F5A" w:rsidRPr="004B12EB" w:rsidRDefault="00032F5A" w:rsidP="00EE32FC">
            <w:pPr>
              <w:spacing w:after="0" w:line="240" w:lineRule="auto"/>
              <w:rPr>
                <w:highlight w:val="yellow"/>
                <w:lang w:val="en-US"/>
              </w:rPr>
            </w:pPr>
            <w:r w:rsidRPr="00415D61">
              <w:rPr>
                <w:lang w:val="en-GB"/>
              </w:rPr>
              <w:t>MOBILE LIGHTING TOWERS</w:t>
            </w:r>
          </w:p>
        </w:tc>
        <w:tc>
          <w:tcPr>
            <w:tcW w:w="1970" w:type="dxa"/>
          </w:tcPr>
          <w:p w14:paraId="2481E1A7" w14:textId="42C21941" w:rsidR="00032F5A" w:rsidRPr="00D31A7C" w:rsidRDefault="00032F5A" w:rsidP="00415D61">
            <w:pPr>
              <w:spacing w:after="0" w:line="240" w:lineRule="auto"/>
              <w:jc w:val="center"/>
              <w:rPr>
                <w:lang w:val="en-US"/>
              </w:rPr>
            </w:pPr>
            <w:r w:rsidRPr="00D31A7C">
              <w:rPr>
                <w:iCs/>
              </w:rPr>
              <w:t>5 units</w:t>
            </w:r>
          </w:p>
        </w:tc>
        <w:tc>
          <w:tcPr>
            <w:tcW w:w="1252" w:type="dxa"/>
          </w:tcPr>
          <w:p w14:paraId="4273E8EB" w14:textId="26E899CD" w:rsidR="00032F5A" w:rsidRPr="00D31A7C" w:rsidRDefault="00032F5A" w:rsidP="00020179">
            <w:pPr>
              <w:spacing w:after="0" w:line="240" w:lineRule="auto"/>
              <w:rPr>
                <w:rFonts w:cstheme="minorHAnsi"/>
                <w:lang w:val="en-GB"/>
              </w:rPr>
            </w:pPr>
            <w:r w:rsidRPr="00D31A7C">
              <w:rPr>
                <w:rFonts w:cstheme="minorHAnsi"/>
                <w:iCs/>
              </w:rPr>
              <w:t>9 units</w:t>
            </w:r>
          </w:p>
        </w:tc>
        <w:tc>
          <w:tcPr>
            <w:tcW w:w="1347" w:type="dxa"/>
          </w:tcPr>
          <w:p w14:paraId="25BA7B0B" w14:textId="0A9648CF" w:rsidR="00032F5A" w:rsidRPr="004B12EB" w:rsidRDefault="00032F5A" w:rsidP="00020179">
            <w:pPr>
              <w:spacing w:after="0" w:line="240" w:lineRule="auto"/>
              <w:rPr>
                <w:rFonts w:cstheme="minorHAnsi"/>
                <w:highlight w:val="yellow"/>
                <w:lang w:val="en-GB"/>
              </w:rPr>
            </w:pPr>
          </w:p>
        </w:tc>
        <w:tc>
          <w:tcPr>
            <w:tcW w:w="1432" w:type="dxa"/>
          </w:tcPr>
          <w:p w14:paraId="7E0F1163" w14:textId="77777777" w:rsidR="00032F5A" w:rsidRPr="004B12EB" w:rsidRDefault="00032F5A" w:rsidP="00020179">
            <w:pPr>
              <w:spacing w:after="0" w:line="240" w:lineRule="auto"/>
              <w:jc w:val="center"/>
              <w:rPr>
                <w:rFonts w:cstheme="minorHAnsi"/>
                <w:highlight w:val="yellow"/>
                <w:lang w:val="en-GB"/>
              </w:rPr>
            </w:pPr>
          </w:p>
        </w:tc>
      </w:tr>
      <w:tr w:rsidR="00032F5A" w:rsidRPr="007F26FA" w14:paraId="6EA1117B" w14:textId="77777777" w:rsidTr="00D31A7C">
        <w:tc>
          <w:tcPr>
            <w:tcW w:w="1413" w:type="dxa"/>
            <w:gridSpan w:val="2"/>
          </w:tcPr>
          <w:p w14:paraId="7D93C178" w14:textId="77777777" w:rsidR="00032F5A" w:rsidRPr="0EB4C282" w:rsidRDefault="00032F5A" w:rsidP="0EB4C282">
            <w:pPr>
              <w:spacing w:after="0" w:line="240" w:lineRule="auto"/>
              <w:jc w:val="right"/>
              <w:rPr>
                <w:b/>
                <w:bCs/>
                <w:lang w:val="en-GB"/>
              </w:rPr>
            </w:pPr>
          </w:p>
        </w:tc>
        <w:tc>
          <w:tcPr>
            <w:tcW w:w="7117" w:type="dxa"/>
            <w:gridSpan w:val="4"/>
          </w:tcPr>
          <w:p w14:paraId="6125B913" w14:textId="4876B7E7" w:rsidR="00032F5A" w:rsidRPr="007F26FA" w:rsidRDefault="00032F5A" w:rsidP="0EB4C282">
            <w:pPr>
              <w:spacing w:after="0" w:line="240" w:lineRule="auto"/>
              <w:jc w:val="right"/>
              <w:rPr>
                <w:lang w:val="en-GB"/>
              </w:rPr>
            </w:pPr>
            <w:r w:rsidRPr="0EB4C282">
              <w:rPr>
                <w:b/>
                <w:bCs/>
                <w:lang w:val="en-GB"/>
              </w:rPr>
              <w:t xml:space="preserve">Tender price in EUR excluding VAT (sum of values in column </w:t>
            </w:r>
            <w:r w:rsidR="004B2F38">
              <w:rPr>
                <w:b/>
                <w:bCs/>
                <w:lang w:val="en-GB"/>
              </w:rPr>
              <w:t>6</w:t>
            </w:r>
            <w:r w:rsidRPr="0EB4C282">
              <w:rPr>
                <w:b/>
                <w:bCs/>
                <w:lang w:val="en-GB"/>
              </w:rPr>
              <w:t>)</w:t>
            </w:r>
          </w:p>
        </w:tc>
        <w:tc>
          <w:tcPr>
            <w:tcW w:w="1432" w:type="dxa"/>
          </w:tcPr>
          <w:p w14:paraId="7F39FCB8" w14:textId="77777777" w:rsidR="00032F5A" w:rsidRPr="007F26FA" w:rsidRDefault="00032F5A" w:rsidP="00020179">
            <w:pPr>
              <w:spacing w:after="0" w:line="240" w:lineRule="auto"/>
              <w:jc w:val="center"/>
              <w:rPr>
                <w:rFonts w:cstheme="minorHAnsi"/>
                <w:lang w:val="en-GB"/>
              </w:rPr>
            </w:pPr>
          </w:p>
        </w:tc>
      </w:tr>
      <w:tr w:rsidR="00032F5A" w:rsidRPr="007F26FA" w14:paraId="0E1335CA" w14:textId="77777777" w:rsidTr="00D31A7C">
        <w:tc>
          <w:tcPr>
            <w:tcW w:w="1413" w:type="dxa"/>
            <w:gridSpan w:val="2"/>
          </w:tcPr>
          <w:p w14:paraId="3120B50B" w14:textId="77777777" w:rsidR="00032F5A" w:rsidRPr="0EB4C282" w:rsidRDefault="00032F5A" w:rsidP="0EB4C282">
            <w:pPr>
              <w:spacing w:after="0" w:line="240" w:lineRule="auto"/>
              <w:jc w:val="right"/>
              <w:rPr>
                <w:b/>
                <w:bCs/>
                <w:lang w:val="en-GB"/>
              </w:rPr>
            </w:pPr>
          </w:p>
        </w:tc>
        <w:tc>
          <w:tcPr>
            <w:tcW w:w="7117" w:type="dxa"/>
            <w:gridSpan w:val="4"/>
          </w:tcPr>
          <w:p w14:paraId="34289897" w14:textId="65F63373" w:rsidR="00032F5A" w:rsidRPr="007F26FA" w:rsidRDefault="00032F5A" w:rsidP="0EB4C282">
            <w:pPr>
              <w:spacing w:after="0" w:line="240" w:lineRule="auto"/>
              <w:jc w:val="right"/>
              <w:rPr>
                <w:lang w:val="en-GB"/>
              </w:rPr>
            </w:pPr>
            <w:r w:rsidRPr="0EB4C282">
              <w:rPr>
                <w:b/>
                <w:bCs/>
                <w:lang w:val="en-GB"/>
              </w:rPr>
              <w:t xml:space="preserve">VAT rate </w:t>
            </w:r>
            <w:r w:rsidRPr="0EB4C282">
              <w:rPr>
                <w:i/>
                <w:iCs/>
                <w:lang w:val="en-GB"/>
              </w:rPr>
              <w:t>(to be completed if applicable)</w:t>
            </w:r>
            <w:r w:rsidRPr="0EB4C282">
              <w:rPr>
                <w:rStyle w:val="FootnoteReference"/>
                <w:i/>
                <w:iCs/>
                <w:lang w:val="en-GB"/>
              </w:rPr>
              <w:footnoteReference w:id="11"/>
            </w:r>
          </w:p>
        </w:tc>
        <w:tc>
          <w:tcPr>
            <w:tcW w:w="1432" w:type="dxa"/>
          </w:tcPr>
          <w:p w14:paraId="1472AAE8" w14:textId="77777777" w:rsidR="00032F5A" w:rsidRPr="007F26FA" w:rsidRDefault="00032F5A" w:rsidP="0EB4C282">
            <w:pPr>
              <w:spacing w:after="0" w:line="240" w:lineRule="auto"/>
              <w:jc w:val="center"/>
              <w:rPr>
                <w:lang w:val="en-GB"/>
              </w:rPr>
            </w:pPr>
            <w:r w:rsidRPr="0EB4C282">
              <w:rPr>
                <w:lang w:val="en-GB"/>
              </w:rPr>
              <w:t>0</w:t>
            </w:r>
          </w:p>
        </w:tc>
      </w:tr>
      <w:tr w:rsidR="00032F5A" w:rsidRPr="007F26FA" w14:paraId="25C651A5" w14:textId="77777777" w:rsidTr="00D31A7C">
        <w:tc>
          <w:tcPr>
            <w:tcW w:w="1413" w:type="dxa"/>
            <w:gridSpan w:val="2"/>
          </w:tcPr>
          <w:p w14:paraId="7E89FFFB" w14:textId="77777777" w:rsidR="00032F5A" w:rsidRPr="0EB4C282" w:rsidRDefault="00032F5A" w:rsidP="0EB4C282">
            <w:pPr>
              <w:spacing w:after="0" w:line="240" w:lineRule="auto"/>
              <w:jc w:val="right"/>
              <w:rPr>
                <w:b/>
                <w:bCs/>
                <w:lang w:val="en-GB"/>
              </w:rPr>
            </w:pPr>
          </w:p>
        </w:tc>
        <w:tc>
          <w:tcPr>
            <w:tcW w:w="7117" w:type="dxa"/>
            <w:gridSpan w:val="4"/>
          </w:tcPr>
          <w:p w14:paraId="12034001" w14:textId="7793DCC9" w:rsidR="00032F5A" w:rsidRPr="007F26FA" w:rsidRDefault="00032F5A" w:rsidP="0EB4C282">
            <w:pPr>
              <w:spacing w:after="0" w:line="240" w:lineRule="auto"/>
              <w:jc w:val="right"/>
              <w:rPr>
                <w:b/>
                <w:bCs/>
                <w:lang w:val="en-GB"/>
              </w:rPr>
            </w:pPr>
            <w:r w:rsidRPr="0EB4C282">
              <w:rPr>
                <w:b/>
                <w:bCs/>
                <w:lang w:val="en-GB"/>
              </w:rPr>
              <w:t>Tender price EUR incl. VAT *</w:t>
            </w:r>
            <w:r w:rsidRPr="0EB4C282">
              <w:rPr>
                <w:rStyle w:val="FootnoteReference"/>
                <w:rFonts w:cstheme="minorBidi"/>
                <w:lang w:val="en-GB"/>
              </w:rPr>
              <w:footnoteReference w:id="12"/>
            </w:r>
          </w:p>
        </w:tc>
        <w:tc>
          <w:tcPr>
            <w:tcW w:w="1432" w:type="dxa"/>
          </w:tcPr>
          <w:p w14:paraId="21BB33FE" w14:textId="77777777" w:rsidR="00032F5A" w:rsidRPr="007F26FA" w:rsidRDefault="00032F5A" w:rsidP="00020179">
            <w:pPr>
              <w:spacing w:after="0" w:line="240" w:lineRule="auto"/>
              <w:jc w:val="center"/>
              <w:rPr>
                <w:rFonts w:cstheme="minorHAnsi"/>
                <w:lang w:val="en-GB"/>
              </w:rPr>
            </w:pPr>
          </w:p>
        </w:tc>
      </w:tr>
    </w:tbl>
    <w:p w14:paraId="0A430B92" w14:textId="2C92D3DC" w:rsidR="00CC0880" w:rsidRPr="00C5786F" w:rsidRDefault="0EB4C282" w:rsidP="00CC0880">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0A8EB1B3" w14:textId="54CBF9E2" w:rsidR="00C5786F" w:rsidRPr="00D31A7C" w:rsidRDefault="00C5786F" w:rsidP="00D31A7C">
      <w:pPr>
        <w:pStyle w:val="ListParagraph"/>
        <w:spacing w:after="120" w:line="240" w:lineRule="auto"/>
        <w:ind w:left="1080"/>
        <w:jc w:val="center"/>
        <w:rPr>
          <w:rFonts w:ascii="Calibri" w:eastAsia="Calibri" w:hAnsi="Calibri" w:cs="Calibri"/>
          <w:b/>
          <w:bCs/>
          <w:caps/>
          <w:lang w:val="en-GB" w:eastAsia="lt-LT"/>
        </w:rPr>
      </w:pPr>
      <w:r w:rsidRPr="00D31A7C">
        <w:rPr>
          <w:rFonts w:ascii="Calibri" w:eastAsia="Calibri" w:hAnsi="Calibri" w:cs="Calibri"/>
          <w:b/>
          <w:bCs/>
          <w:caps/>
          <w:lang w:val="en-GB" w:eastAsia="lt-LT"/>
        </w:rPr>
        <w:t>proposed values for the quality criteria (T)</w:t>
      </w:r>
    </w:p>
    <w:tbl>
      <w:tblPr>
        <w:tblStyle w:val="TableGrid3"/>
        <w:tblW w:w="0" w:type="auto"/>
        <w:tblInd w:w="0" w:type="dxa"/>
        <w:tblLook w:val="04A0" w:firstRow="1" w:lastRow="0" w:firstColumn="1" w:lastColumn="0" w:noHBand="0" w:noVBand="1"/>
      </w:tblPr>
      <w:tblGrid>
        <w:gridCol w:w="562"/>
        <w:gridCol w:w="6237"/>
        <w:gridCol w:w="3163"/>
      </w:tblGrid>
      <w:tr w:rsidR="00C5786F" w:rsidRPr="00C5786F" w14:paraId="4475D420" w14:textId="77777777" w:rsidTr="00C5786F">
        <w:trPr>
          <w:trHeight w:val="319"/>
        </w:trPr>
        <w:tc>
          <w:tcPr>
            <w:tcW w:w="562" w:type="dxa"/>
            <w:shd w:val="clear" w:color="auto" w:fill="D9E2F3"/>
          </w:tcPr>
          <w:p w14:paraId="1F43E0EB"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No.</w:t>
            </w:r>
          </w:p>
        </w:tc>
        <w:tc>
          <w:tcPr>
            <w:tcW w:w="6237" w:type="dxa"/>
            <w:shd w:val="clear" w:color="auto" w:fill="D9E2F3"/>
          </w:tcPr>
          <w:p w14:paraId="0A185664"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Criterion</w:t>
            </w:r>
          </w:p>
        </w:tc>
        <w:tc>
          <w:tcPr>
            <w:tcW w:w="3163" w:type="dxa"/>
            <w:shd w:val="clear" w:color="auto" w:fill="D9E2F3"/>
          </w:tcPr>
          <w:p w14:paraId="62B6E496"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Proposed value</w:t>
            </w:r>
          </w:p>
        </w:tc>
      </w:tr>
      <w:tr w:rsidR="00C5786F" w:rsidRPr="00C5786F" w14:paraId="01F54E5E" w14:textId="77777777" w:rsidTr="008C0F5F">
        <w:trPr>
          <w:trHeight w:val="633"/>
        </w:trPr>
        <w:tc>
          <w:tcPr>
            <w:tcW w:w="562" w:type="dxa"/>
          </w:tcPr>
          <w:p w14:paraId="5BE37910" w14:textId="535EA865" w:rsidR="00C5786F" w:rsidRPr="00C5786F" w:rsidRDefault="00C5786F" w:rsidP="00C5786F">
            <w:pPr>
              <w:rPr>
                <w:rFonts w:ascii="Calibri" w:hAnsi="Calibri" w:cs="Calibri"/>
                <w:lang w:val="en-GB" w:eastAsia="lt-LT"/>
              </w:rPr>
            </w:pPr>
            <w:r w:rsidRPr="00C5786F">
              <w:rPr>
                <w:rFonts w:ascii="Calibri" w:hAnsi="Calibri" w:cs="Calibri"/>
                <w:lang w:val="en-GB" w:eastAsia="lt-LT"/>
              </w:rPr>
              <w:t>1.</w:t>
            </w:r>
          </w:p>
        </w:tc>
        <w:tc>
          <w:tcPr>
            <w:tcW w:w="6237" w:type="dxa"/>
          </w:tcPr>
          <w:p w14:paraId="40A847AF" w14:textId="77777777" w:rsidR="00C5786F" w:rsidRPr="00C5786F" w:rsidRDefault="00C5786F" w:rsidP="00C5786F">
            <w:pPr>
              <w:rPr>
                <w:rFonts w:ascii="Calibri" w:hAnsi="Calibri" w:cs="Calibri"/>
                <w:lang w:val="en-GB" w:eastAsia="lt-LT"/>
              </w:rPr>
            </w:pPr>
            <w:r w:rsidRPr="00C5786F">
              <w:rPr>
                <w:rFonts w:ascii="Calibri" w:hAnsi="Calibri" w:cs="Calibri"/>
                <w:lang w:val="en-GB" w:eastAsia="lt-LT"/>
              </w:rPr>
              <w:t xml:space="preserve">Delivery time (T1) </w:t>
            </w:r>
          </w:p>
          <w:p w14:paraId="12D2DB7E" w14:textId="77777777" w:rsidR="00C5786F" w:rsidRPr="00C5786F" w:rsidRDefault="00C5786F" w:rsidP="00C5786F">
            <w:pPr>
              <w:rPr>
                <w:rFonts w:ascii="Calibri" w:hAnsi="Calibri" w:cs="Calibri"/>
                <w:lang w:val="en-GB" w:eastAsia="lt-LT"/>
              </w:rPr>
            </w:pPr>
            <w:r w:rsidRPr="00C5786F">
              <w:rPr>
                <w:rFonts w:ascii="Calibri" w:hAnsi="Calibri" w:cs="Calibri"/>
                <w:i/>
                <w:iCs/>
                <w:lang w:val="en-GB" w:eastAsia="lt-LT"/>
              </w:rPr>
              <w:t>The supplier's proposed delivery time from the order submission*</w:t>
            </w:r>
          </w:p>
        </w:tc>
        <w:tc>
          <w:tcPr>
            <w:tcW w:w="3163" w:type="dxa"/>
          </w:tcPr>
          <w:p w14:paraId="3E3B3F39" w14:textId="0058E28E" w:rsidR="00C5786F" w:rsidRPr="00C5786F" w:rsidRDefault="00C5786F" w:rsidP="00C5786F">
            <w:pPr>
              <w:jc w:val="center"/>
              <w:rPr>
                <w:rFonts w:ascii="Calibri" w:hAnsi="Calibri" w:cs="Calibri"/>
                <w:lang w:val="en-GB" w:eastAsia="lt-LT"/>
              </w:rPr>
            </w:pPr>
            <w:r w:rsidRPr="00642281">
              <w:rPr>
                <w:rFonts w:ascii="Calibri" w:hAnsi="Calibri" w:cs="Calibri"/>
                <w:lang w:val="en-GB" w:eastAsia="lt-LT"/>
              </w:rPr>
              <w:t xml:space="preserve">___ </w:t>
            </w:r>
            <w:r w:rsidR="00642281" w:rsidRPr="00D31A7C">
              <w:rPr>
                <w:rFonts w:ascii="Calibri" w:hAnsi="Calibri" w:cs="Calibri"/>
                <w:lang w:val="en-GB" w:eastAsia="lt-LT"/>
              </w:rPr>
              <w:t xml:space="preserve">days </w:t>
            </w:r>
            <w:r w:rsidRPr="00642281">
              <w:rPr>
                <w:rFonts w:ascii="Calibri" w:hAnsi="Calibri" w:cs="Calibri"/>
                <w:lang w:val="en-GB" w:eastAsia="lt-LT"/>
              </w:rPr>
              <w:t>**</w:t>
            </w:r>
          </w:p>
        </w:tc>
      </w:tr>
    </w:tbl>
    <w:p w14:paraId="75ECC688" w14:textId="7C8C735E" w:rsidR="00C5786F" w:rsidRPr="00C5786F" w:rsidRDefault="00C5786F" w:rsidP="00C5786F">
      <w:pPr>
        <w:spacing w:after="60" w:line="240" w:lineRule="auto"/>
        <w:jc w:val="both"/>
        <w:rPr>
          <w:rFonts w:ascii="Calibri" w:eastAsia="Calibri" w:hAnsi="Calibri" w:cs="Calibri"/>
          <w:i/>
          <w:iCs/>
          <w:lang w:val="en-GB" w:eastAsia="lt-LT"/>
        </w:rPr>
      </w:pPr>
      <w:r w:rsidRPr="00C5786F">
        <w:rPr>
          <w:rFonts w:ascii="Calibri" w:eastAsia="Calibri" w:hAnsi="Calibri" w:cs="Calibri"/>
          <w:i/>
          <w:iCs/>
          <w:lang w:val="en-GB" w:eastAsia="lt-LT"/>
        </w:rPr>
        <w:t xml:space="preserve">* The delivery time offered by the supplier cannot be longer than the term specified in Clause </w:t>
      </w:r>
      <w:r w:rsidR="003E651D">
        <w:rPr>
          <w:rFonts w:ascii="Calibri" w:eastAsia="Calibri" w:hAnsi="Calibri" w:cs="Calibri"/>
          <w:i/>
          <w:iCs/>
          <w:lang w:val="en-GB" w:eastAsia="lt-LT"/>
        </w:rPr>
        <w:t>2.5</w:t>
      </w:r>
      <w:r w:rsidRPr="00C5786F">
        <w:rPr>
          <w:rFonts w:ascii="Calibri" w:eastAsia="Calibri" w:hAnsi="Calibri" w:cs="Calibri"/>
          <w:i/>
          <w:iCs/>
          <w:lang w:val="en-GB" w:eastAsia="lt-LT"/>
        </w:rPr>
        <w:t xml:space="preserve"> of the Procurement Conditions. If the supplier offered a longer term, his tender would be rejected. </w:t>
      </w:r>
    </w:p>
    <w:p w14:paraId="1789413A" w14:textId="730805C6" w:rsidR="00C5786F" w:rsidRPr="00C5786F" w:rsidRDefault="00C5786F" w:rsidP="00C5786F">
      <w:pPr>
        <w:spacing w:line="240" w:lineRule="auto"/>
        <w:jc w:val="both"/>
        <w:rPr>
          <w:rFonts w:ascii="Calibri" w:eastAsia="Calibri" w:hAnsi="Calibri" w:cs="Calibri"/>
          <w:i/>
          <w:iCs/>
          <w:lang w:val="en-GB" w:eastAsia="lt-LT"/>
        </w:rPr>
        <w:sectPr w:rsidR="00C5786F" w:rsidRPr="00C5786F" w:rsidSect="00C5786F">
          <w:headerReference w:type="default" r:id="rId20"/>
          <w:pgSz w:w="12240" w:h="15840"/>
          <w:pgMar w:top="1134" w:right="567" w:bottom="851" w:left="1701" w:header="720" w:footer="720" w:gutter="0"/>
          <w:pgNumType w:start="0"/>
          <w:cols w:space="720"/>
          <w:titlePg/>
          <w:docGrid w:linePitch="360"/>
        </w:sectPr>
      </w:pPr>
      <w:r w:rsidRPr="00C5786F">
        <w:rPr>
          <w:rFonts w:ascii="Calibri" w:eastAsia="Calibri" w:hAnsi="Calibri" w:cs="Calibri"/>
          <w:i/>
          <w:iCs/>
          <w:lang w:val="en-GB" w:eastAsia="lt-LT"/>
        </w:rPr>
        <w:t xml:space="preserve">** The supplier must indicate the </w:t>
      </w:r>
      <w:r w:rsidRPr="00642281">
        <w:rPr>
          <w:rFonts w:ascii="Calibri" w:eastAsia="Calibri" w:hAnsi="Calibri" w:cs="Calibri"/>
          <w:i/>
          <w:iCs/>
          <w:lang w:val="en-GB" w:eastAsia="lt-LT"/>
        </w:rPr>
        <w:t>proposed delivery time in</w:t>
      </w:r>
      <w:r w:rsidR="00642281" w:rsidRPr="00D31A7C">
        <w:rPr>
          <w:rFonts w:ascii="Calibri" w:eastAsia="Calibri" w:hAnsi="Calibri" w:cs="Calibri"/>
          <w:i/>
          <w:iCs/>
          <w:lang w:val="en-GB" w:eastAsia="lt-LT"/>
        </w:rPr>
        <w:t xml:space="preserve"> days</w:t>
      </w:r>
      <w:r w:rsidRPr="00642281">
        <w:rPr>
          <w:rFonts w:ascii="Calibri" w:eastAsia="Calibri" w:hAnsi="Calibri" w:cs="Calibri"/>
          <w:i/>
          <w:iCs/>
          <w:lang w:val="en-GB" w:eastAsia="lt-LT"/>
        </w:rPr>
        <w:t>, in</w:t>
      </w:r>
      <w:r w:rsidRPr="00C5786F">
        <w:rPr>
          <w:rFonts w:ascii="Calibri" w:eastAsia="Calibri" w:hAnsi="Calibri" w:cs="Calibri"/>
          <w:i/>
          <w:iCs/>
          <w:lang w:val="en-GB" w:eastAsia="lt-LT"/>
        </w:rPr>
        <w:t xml:space="preserve"> whole numbers. If the supplier specifies </w:t>
      </w:r>
      <w:r w:rsidR="00642281">
        <w:rPr>
          <w:rFonts w:ascii="Calibri" w:eastAsia="Calibri" w:hAnsi="Calibri" w:cs="Calibri"/>
          <w:i/>
          <w:iCs/>
          <w:lang w:val="en-GB" w:eastAsia="lt-LT"/>
        </w:rPr>
        <w:t>day</w:t>
      </w:r>
      <w:r w:rsidRPr="00C5786F">
        <w:rPr>
          <w:rFonts w:ascii="Calibri" w:eastAsia="Calibri" w:hAnsi="Calibri" w:cs="Calibri"/>
          <w:i/>
          <w:iCs/>
          <w:lang w:val="en-GB" w:eastAsia="lt-LT"/>
        </w:rPr>
        <w:t>s in non-integer numbers, they will be rounded off in accordance with the procedure laid down in the Procurement Condition</w:t>
      </w:r>
      <w:r w:rsidR="003B5B80">
        <w:rPr>
          <w:rFonts w:ascii="Calibri" w:eastAsia="Calibri" w:hAnsi="Calibri" w:cs="Calibri"/>
          <w:i/>
          <w:iCs/>
          <w:lang w:val="en-GB" w:eastAsia="lt-LT"/>
        </w:rPr>
        <w:t>s.</w:t>
      </w:r>
    </w:p>
    <w:p w14:paraId="71859DFB" w14:textId="772A9351" w:rsidR="003B5B80" w:rsidRDefault="003B5B80" w:rsidP="003B5B80">
      <w:pPr>
        <w:tabs>
          <w:tab w:val="left" w:pos="6708"/>
        </w:tabs>
        <w:rPr>
          <w:rFonts w:eastAsia="Calibri" w:cstheme="minorHAnsi"/>
          <w:lang w:val="en-GB"/>
        </w:rPr>
      </w:pPr>
    </w:p>
    <w:p w14:paraId="3085FA4F" w14:textId="72A0BD1A" w:rsidR="00415D61" w:rsidRPr="00D31A7C" w:rsidRDefault="0EB4C282" w:rsidP="00D31A7C">
      <w:pPr>
        <w:pStyle w:val="ListParagraph"/>
        <w:numPr>
          <w:ilvl w:val="0"/>
          <w:numId w:val="63"/>
        </w:numPr>
        <w:spacing w:before="240" w:after="240" w:line="240" w:lineRule="auto"/>
        <w:rPr>
          <w:rFonts w:eastAsia="Arial"/>
          <w:b/>
          <w:bCs/>
          <w:caps/>
          <w:lang w:val="en-GB" w:eastAsia="ja-JP"/>
        </w:rPr>
      </w:pPr>
      <w:r w:rsidRPr="00D31A7C">
        <w:rPr>
          <w:rFonts w:eastAsia="Arial"/>
          <w:b/>
          <w:bCs/>
          <w:caps/>
          <w:lang w:val="en-GB" w:eastAsia="ja-JP"/>
        </w:rPr>
        <w:t>COMPLIANCE OF THE GOODs OFFERED BY THE SUPPLIER WITH THE REQUIREMENTS OF THE TECHNICAL SPECIFICATION</w:t>
      </w:r>
    </w:p>
    <w:p w14:paraId="60542A18" w14:textId="3E394EDD" w:rsidR="00CC0880" w:rsidRPr="00415D61" w:rsidRDefault="00415D61" w:rsidP="00415D61">
      <w:pPr>
        <w:spacing w:before="240" w:after="240" w:line="240" w:lineRule="auto"/>
        <w:ind w:left="360"/>
        <w:rPr>
          <w:rFonts w:eastAsia="Arial"/>
          <w:b/>
          <w:bCs/>
          <w:caps/>
          <w:lang w:val="en-GB" w:eastAsia="ja-JP"/>
        </w:rPr>
      </w:pPr>
      <w:r>
        <w:rPr>
          <w:rFonts w:eastAsia="Calibri" w:cstheme="minorHAnsi"/>
          <w:lang w:val="en-GB"/>
        </w:rPr>
        <w:t xml:space="preserve">     </w:t>
      </w:r>
      <w:r w:rsidRPr="00415D61">
        <w:rPr>
          <w:rFonts w:eastAsia="Calibri" w:cstheme="minorHAnsi"/>
          <w:lang w:val="en-GB"/>
        </w:rPr>
        <w:t xml:space="preserve">Manufacturer's name and model of the goods offered by the Supplier - </w:t>
      </w:r>
      <w:r w:rsidRPr="00415D61">
        <w:rPr>
          <w:rFonts w:eastAsia="Calibri" w:cstheme="minorHAnsi"/>
          <w:highlight w:val="lightGray"/>
          <w:lang w:val="en-GB"/>
        </w:rPr>
        <w:t>_________________________</w:t>
      </w:r>
      <w:r w:rsidRPr="00415D61">
        <w:rPr>
          <w:rFonts w:eastAsia="Calibri" w:cstheme="minorHAnsi"/>
          <w:lang w:val="en-GB"/>
        </w:rPr>
        <w:t>.</w:t>
      </w:r>
    </w:p>
    <w:tbl>
      <w:tblPr>
        <w:tblStyle w:val="GridTable4-Accent121"/>
        <w:tblW w:w="12469" w:type="dxa"/>
        <w:jc w:val="center"/>
        <w:tblLook w:val="04A0" w:firstRow="1" w:lastRow="0" w:firstColumn="1" w:lastColumn="0" w:noHBand="0" w:noVBand="1"/>
      </w:tblPr>
      <w:tblGrid>
        <w:gridCol w:w="928"/>
        <w:gridCol w:w="1761"/>
        <w:gridCol w:w="4252"/>
        <w:gridCol w:w="5528"/>
      </w:tblGrid>
      <w:tr w:rsidR="00415D61" w:rsidRPr="00415D61" w14:paraId="740C1A45" w14:textId="77777777" w:rsidTr="00415D6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28" w:type="dxa"/>
          </w:tcPr>
          <w:p w14:paraId="069F5942" w14:textId="77777777" w:rsidR="00415D61" w:rsidRPr="00415D61" w:rsidRDefault="00415D61" w:rsidP="00415D61">
            <w:pPr>
              <w:spacing w:after="180"/>
              <w:jc w:val="center"/>
              <w:rPr>
                <w:rFonts w:ascii="Calibri" w:eastAsia="Arial" w:hAnsi="Calibri" w:cs="Calibri"/>
                <w:color w:val="404040"/>
              </w:rPr>
            </w:pPr>
            <w:r w:rsidRPr="00415D61">
              <w:rPr>
                <w:rFonts w:ascii="Calibri" w:eastAsia="Arial" w:hAnsi="Calibri" w:cs="Calibri"/>
                <w:color w:val="404040"/>
              </w:rPr>
              <w:t>No.</w:t>
            </w:r>
          </w:p>
        </w:tc>
        <w:tc>
          <w:tcPr>
            <w:tcW w:w="1761" w:type="dxa"/>
          </w:tcPr>
          <w:p w14:paraId="2A2FEC9B" w14:textId="77777777" w:rsidR="00415D61" w:rsidRPr="00415D61" w:rsidRDefault="00415D61" w:rsidP="00415D61">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415D61">
              <w:rPr>
                <w:rFonts w:ascii="Calibri" w:eastAsia="Arial" w:hAnsi="Calibri" w:cs="Calibri"/>
                <w:color w:val="404040"/>
              </w:rPr>
              <w:t>Feature</w:t>
            </w:r>
          </w:p>
        </w:tc>
        <w:tc>
          <w:tcPr>
            <w:tcW w:w="4252" w:type="dxa"/>
          </w:tcPr>
          <w:p w14:paraId="0B94AF8F" w14:textId="77777777" w:rsidR="00415D61" w:rsidRPr="00415D61" w:rsidRDefault="00415D61" w:rsidP="00415D61">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415D61">
              <w:rPr>
                <w:rFonts w:ascii="Calibri" w:eastAsia="Arial" w:hAnsi="Calibri" w:cs="Calibri"/>
                <w:color w:val="404040"/>
              </w:rPr>
              <w:t>Technical specification requirement</w:t>
            </w:r>
          </w:p>
        </w:tc>
        <w:tc>
          <w:tcPr>
            <w:tcW w:w="5528" w:type="dxa"/>
          </w:tcPr>
          <w:p w14:paraId="621FABBB" w14:textId="56164F20" w:rsidR="00415D61" w:rsidRPr="00415D61" w:rsidRDefault="00415D61" w:rsidP="00415D61">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415D61">
              <w:rPr>
                <w:rFonts w:ascii="Calibri" w:eastAsia="Arial" w:hAnsi="Calibri" w:cs="Calibri"/>
                <w:color w:val="404040"/>
              </w:rPr>
              <w:t>Specifications proposed by supplier</w:t>
            </w:r>
            <w:r w:rsidR="00031CD0">
              <w:rPr>
                <w:rFonts w:ascii="Calibri" w:eastAsia="Arial" w:hAnsi="Calibri" w:cs="Calibri"/>
                <w:color w:val="404040"/>
              </w:rPr>
              <w:t>*</w:t>
            </w:r>
          </w:p>
        </w:tc>
      </w:tr>
      <w:tr w:rsidR="00415D61" w:rsidRPr="00415D61" w14:paraId="5A0A7540" w14:textId="77777777" w:rsidTr="00415D61">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28" w:type="dxa"/>
          </w:tcPr>
          <w:p w14:paraId="0F58B424"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59039248"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Object of procurement</w:t>
            </w:r>
          </w:p>
        </w:tc>
        <w:tc>
          <w:tcPr>
            <w:tcW w:w="4252" w:type="dxa"/>
          </w:tcPr>
          <w:p w14:paraId="790FBFC0"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Mobile lighting towers with generators and telescoping masts, mounted on the chassis/trailer, designed to be towed by vehicle on the road. </w:t>
            </w:r>
          </w:p>
        </w:tc>
        <w:tc>
          <w:tcPr>
            <w:tcW w:w="5528" w:type="dxa"/>
          </w:tcPr>
          <w:p w14:paraId="6C3C22A8"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415D61" w:rsidRPr="00415D61" w14:paraId="447E2608" w14:textId="77777777" w:rsidTr="00415D61">
        <w:trPr>
          <w:trHeight w:val="858"/>
          <w:jc w:val="center"/>
        </w:trPr>
        <w:tc>
          <w:tcPr>
            <w:cnfStyle w:val="001000000000" w:firstRow="0" w:lastRow="0" w:firstColumn="1" w:lastColumn="0" w:oddVBand="0" w:evenVBand="0" w:oddHBand="0" w:evenHBand="0" w:firstRowFirstColumn="0" w:firstRowLastColumn="0" w:lastRowFirstColumn="0" w:lastRowLastColumn="0"/>
            <w:tcW w:w="928" w:type="dxa"/>
          </w:tcPr>
          <w:p w14:paraId="5E40F995"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7DB3A117" w14:textId="77777777" w:rsidR="00415D61" w:rsidRPr="00415D61" w:rsidRDefault="00415D61" w:rsidP="00415D61">
            <w:pPr>
              <w:spacing w:after="18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Condition of the mobile lighting towers</w:t>
            </w:r>
          </w:p>
        </w:tc>
        <w:tc>
          <w:tcPr>
            <w:tcW w:w="4252" w:type="dxa"/>
          </w:tcPr>
          <w:p w14:paraId="6F37F8FF" w14:textId="77777777" w:rsidR="00415D61" w:rsidRPr="00415D61" w:rsidRDefault="00415D61" w:rsidP="00415D6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Mobile light towers must be new and unused.</w:t>
            </w:r>
          </w:p>
          <w:p w14:paraId="51584266" w14:textId="77777777" w:rsidR="00415D61" w:rsidRPr="00415D61" w:rsidRDefault="00415D61" w:rsidP="00415D6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Used or used and refurbished mobile lighting towers could not be offered. </w:t>
            </w:r>
          </w:p>
          <w:p w14:paraId="41F83552"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All mobile lighting towers must be of the same manufacturer and model.</w:t>
            </w:r>
          </w:p>
        </w:tc>
        <w:tc>
          <w:tcPr>
            <w:tcW w:w="5528" w:type="dxa"/>
          </w:tcPr>
          <w:p w14:paraId="6A2264B3"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415D61" w:rsidRPr="00415D61" w14:paraId="09AB6C20" w14:textId="77777777" w:rsidTr="00415D61">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928" w:type="dxa"/>
          </w:tcPr>
          <w:p w14:paraId="3685D62D"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vAlign w:val="center"/>
          </w:tcPr>
          <w:p w14:paraId="47764AF3"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31A7C">
              <w:rPr>
                <w:rFonts w:ascii="Calibri" w:eastAsia="Arial" w:hAnsi="Calibri" w:cs="Calibri"/>
              </w:rPr>
              <w:t>Quantity</w:t>
            </w:r>
          </w:p>
        </w:tc>
        <w:tc>
          <w:tcPr>
            <w:tcW w:w="4252" w:type="dxa"/>
            <w:vAlign w:val="center"/>
          </w:tcPr>
          <w:p w14:paraId="709AE5A1" w14:textId="77777777" w:rsidR="00726C78" w:rsidRPr="00726C78" w:rsidRDefault="00726C78" w:rsidP="00726C78">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lt-LT"/>
              </w:rPr>
            </w:pPr>
            <w:r w:rsidRPr="00726C78">
              <w:rPr>
                <w:rFonts w:ascii="Calibri" w:eastAsia="Arial" w:hAnsi="Calibri" w:cs="Calibri"/>
                <w:iCs/>
                <w:lang w:val="lt-LT"/>
              </w:rPr>
              <w:t>Minimum quantity: 5 units</w:t>
            </w:r>
            <w:r w:rsidRPr="00726C78">
              <w:rPr>
                <w:rFonts w:ascii="Calibri" w:eastAsia="Arial" w:hAnsi="Calibri" w:cs="Calibri"/>
                <w:iCs/>
                <w:vertAlign w:val="superscript"/>
                <w:lang w:val="en-GB"/>
              </w:rPr>
              <w:footnoteReference w:id="13"/>
            </w:r>
          </w:p>
          <w:p w14:paraId="20261483" w14:textId="2B4FB1B3" w:rsidR="00415D61" w:rsidRPr="00415D61" w:rsidRDefault="00726C78" w:rsidP="00726C78">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726C78">
              <w:rPr>
                <w:rFonts w:ascii="Calibri" w:eastAsia="Arial" w:hAnsi="Calibri" w:cs="Calibri"/>
                <w:iCs/>
                <w:lang w:val="lt-LT"/>
              </w:rPr>
              <w:t>Maximum quantity: 9 units</w:t>
            </w:r>
            <w:r w:rsidRPr="00726C78">
              <w:rPr>
                <w:rFonts w:ascii="Calibri" w:eastAsia="Arial" w:hAnsi="Calibri" w:cs="Calibri"/>
                <w:iCs/>
                <w:vertAlign w:val="superscript"/>
                <w:lang w:val="en-GB"/>
              </w:rPr>
              <w:footnoteReference w:id="14"/>
            </w:r>
          </w:p>
        </w:tc>
        <w:tc>
          <w:tcPr>
            <w:tcW w:w="5528" w:type="dxa"/>
          </w:tcPr>
          <w:p w14:paraId="6FED9CF6"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415D61" w:rsidRPr="00415D61" w14:paraId="45B281AD"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105FCAB0"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45EF8B38" w14:textId="77777777" w:rsidR="00415D61" w:rsidRPr="00415D61" w:rsidRDefault="00415D61" w:rsidP="00415D61">
            <w:pPr>
              <w:spacing w:after="18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Duration of operation</w:t>
            </w:r>
          </w:p>
        </w:tc>
        <w:tc>
          <w:tcPr>
            <w:tcW w:w="4252" w:type="dxa"/>
          </w:tcPr>
          <w:p w14:paraId="11BCAF8D"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Generator of mobile lighting tower must operate autonomously for not less than 24 hours at a rated nominal load without refueling</w:t>
            </w:r>
          </w:p>
        </w:tc>
        <w:tc>
          <w:tcPr>
            <w:tcW w:w="5528" w:type="dxa"/>
          </w:tcPr>
          <w:p w14:paraId="0EA75D49"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415D61" w:rsidRPr="00415D61" w14:paraId="3C718D18"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6C25A09D"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7A8F8DE9"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Fuel type</w:t>
            </w:r>
          </w:p>
        </w:tc>
        <w:tc>
          <w:tcPr>
            <w:tcW w:w="4252" w:type="dxa"/>
          </w:tcPr>
          <w:p w14:paraId="70440C9E"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The generator of mobile lighting tower must be equipped with diesel engine. </w:t>
            </w:r>
          </w:p>
        </w:tc>
        <w:tc>
          <w:tcPr>
            <w:tcW w:w="5528" w:type="dxa"/>
          </w:tcPr>
          <w:p w14:paraId="7DA4F5AB"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415D61" w:rsidRPr="00415D61" w14:paraId="2937897A"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6B3EA1D1"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5CD2AF6F" w14:textId="77777777" w:rsidR="00415D61" w:rsidRPr="00415D61" w:rsidRDefault="00415D61" w:rsidP="00415D61">
            <w:pPr>
              <w:spacing w:after="18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Security and control system monitoring</w:t>
            </w:r>
          </w:p>
        </w:tc>
        <w:tc>
          <w:tcPr>
            <w:tcW w:w="4252" w:type="dxa"/>
          </w:tcPr>
          <w:p w14:paraId="19A10D5E" w14:textId="77777777" w:rsidR="00415D61" w:rsidRPr="00415D61" w:rsidRDefault="00415D61" w:rsidP="00415D61">
            <w:pPr>
              <w:tabs>
                <w:tab w:val="left" w:pos="571"/>
              </w:tabs>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415D61">
              <w:rPr>
                <w:rFonts w:ascii="Calibri" w:eastAsia="Arial" w:hAnsi="Calibri" w:cs="Calibri"/>
                <w:bCs/>
              </w:rPr>
              <w:t xml:space="preserve">The generator of mobile lighting tower must be equipped with an overload protection system and an emergency shutdown system, accessible from outside of the generator covering. </w:t>
            </w:r>
          </w:p>
        </w:tc>
        <w:tc>
          <w:tcPr>
            <w:tcW w:w="5528" w:type="dxa"/>
          </w:tcPr>
          <w:p w14:paraId="528A9308" w14:textId="77777777" w:rsidR="00415D61" w:rsidRPr="00415D61" w:rsidRDefault="00415D61" w:rsidP="00415D61">
            <w:pPr>
              <w:tabs>
                <w:tab w:val="left" w:pos="571"/>
              </w:tabs>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415D61" w:rsidRPr="00415D61" w14:paraId="6D5C2BB2"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52A1D28E"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25176522"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Wind Resistance</w:t>
            </w:r>
          </w:p>
        </w:tc>
        <w:tc>
          <w:tcPr>
            <w:tcW w:w="4252" w:type="dxa"/>
          </w:tcPr>
          <w:p w14:paraId="0D8F9123"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Mobile lighting tower, when set up according to manufacturer requirements must be resistant to winds of at least 70 km/h</w:t>
            </w:r>
          </w:p>
        </w:tc>
        <w:tc>
          <w:tcPr>
            <w:tcW w:w="5528" w:type="dxa"/>
          </w:tcPr>
          <w:p w14:paraId="57BF9FA4"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415D61" w:rsidRPr="00415D61" w14:paraId="151F352A"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040532B2"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567680D9" w14:textId="77777777" w:rsidR="00415D61" w:rsidRPr="00415D61" w:rsidRDefault="00415D61" w:rsidP="00415D61">
            <w:pPr>
              <w:spacing w:after="18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Generated power</w:t>
            </w:r>
          </w:p>
        </w:tc>
        <w:tc>
          <w:tcPr>
            <w:tcW w:w="4252" w:type="dxa"/>
          </w:tcPr>
          <w:p w14:paraId="1B39E8CA"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Nominal power rating of the generator of mobile lighting tower must be not less than 2 kW</w:t>
            </w:r>
          </w:p>
        </w:tc>
        <w:tc>
          <w:tcPr>
            <w:tcW w:w="5528" w:type="dxa"/>
          </w:tcPr>
          <w:p w14:paraId="17A44CB3"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415D61" w:rsidRPr="00415D61" w14:paraId="66608731"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69474055"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6D7BDFEF"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Auxiliary socket </w:t>
            </w:r>
          </w:p>
        </w:tc>
        <w:tc>
          <w:tcPr>
            <w:tcW w:w="4252" w:type="dxa"/>
          </w:tcPr>
          <w:p w14:paraId="444AB29C"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The generator of mobile lighting tower must be equipped with at least one 16 A 230W 50 Hz.</w:t>
            </w:r>
          </w:p>
          <w:p w14:paraId="00B2DBF9"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outlet with CEE 7/3 socket </w:t>
            </w:r>
          </w:p>
        </w:tc>
        <w:tc>
          <w:tcPr>
            <w:tcW w:w="5528" w:type="dxa"/>
          </w:tcPr>
          <w:p w14:paraId="68AD9601"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415D61" w:rsidRPr="00415D61" w14:paraId="62C70F5F"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202F5E82"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544976CB" w14:textId="77777777" w:rsidR="00415D61" w:rsidRPr="00415D61" w:rsidRDefault="00415D61" w:rsidP="00415D61">
            <w:pPr>
              <w:spacing w:after="18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Chassis </w:t>
            </w:r>
          </w:p>
        </w:tc>
        <w:tc>
          <w:tcPr>
            <w:tcW w:w="4252" w:type="dxa"/>
          </w:tcPr>
          <w:p w14:paraId="215F3439"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The lighting tower (generator, telescoping mast, lights and other components) must be mounted on/equipped with chassis, that is designed and certified to be towed on public roads with speed of at least 50 km/h.</w:t>
            </w:r>
          </w:p>
        </w:tc>
        <w:tc>
          <w:tcPr>
            <w:tcW w:w="5528" w:type="dxa"/>
          </w:tcPr>
          <w:p w14:paraId="5C632674"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415D61" w:rsidRPr="00415D61" w14:paraId="2D46D634"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09A5AA8C"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338C7A14"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Connection to the tow vehicle </w:t>
            </w:r>
          </w:p>
        </w:tc>
        <w:tc>
          <w:tcPr>
            <w:tcW w:w="4252" w:type="dxa"/>
          </w:tcPr>
          <w:p w14:paraId="2F34141A"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Trailer/chassis of the mobile lighting tower must connect to the tow vehicle with following connections:</w:t>
            </w:r>
          </w:p>
          <w:p w14:paraId="7BF4042E" w14:textId="77777777" w:rsidR="00415D61" w:rsidRPr="00415D61" w:rsidRDefault="00415D61" w:rsidP="00415D61">
            <w:pPr>
              <w:numPr>
                <w:ilvl w:val="0"/>
                <w:numId w:val="43"/>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Tow coupling suitable for 50 mm ball hitch (ISO 1103:2007). </w:t>
            </w:r>
          </w:p>
          <w:p w14:paraId="5B5157A3" w14:textId="77777777" w:rsidR="00415D61" w:rsidRPr="00415D61" w:rsidRDefault="00415D61" w:rsidP="00415D61">
            <w:pPr>
              <w:numPr>
                <w:ilvl w:val="0"/>
                <w:numId w:val="43"/>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13 pin electrical connector (ISO 11446)</w:t>
            </w:r>
          </w:p>
        </w:tc>
        <w:tc>
          <w:tcPr>
            <w:tcW w:w="5528" w:type="dxa"/>
          </w:tcPr>
          <w:p w14:paraId="5A9BFD07"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415D61" w:rsidRPr="00415D61" w14:paraId="5B2BBEAE"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11944882"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00AE5EE0"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Stabilizing outriggers</w:t>
            </w:r>
          </w:p>
        </w:tc>
        <w:tc>
          <w:tcPr>
            <w:tcW w:w="4252" w:type="dxa"/>
          </w:tcPr>
          <w:p w14:paraId="3C7A5AF7" w14:textId="77777777" w:rsidR="00415D61" w:rsidRPr="00415D61" w:rsidRDefault="00415D61" w:rsidP="00415D61">
            <w:pPr>
              <w:tabs>
                <w:tab w:val="left" w:pos="541"/>
                <w:tab w:val="left" w:pos="1080"/>
              </w:tabs>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415D61">
              <w:rPr>
                <w:rFonts w:ascii="Calibri" w:eastAsia="Arial" w:hAnsi="Calibri" w:cs="Calibri"/>
                <w:bCs/>
              </w:rPr>
              <w:t xml:space="preserve">The chassis/trailer of the mobile lighting tower must have at least 3 adjustable outriggers for stabilizing the lighting tower during use. </w:t>
            </w:r>
          </w:p>
        </w:tc>
        <w:tc>
          <w:tcPr>
            <w:tcW w:w="5528" w:type="dxa"/>
          </w:tcPr>
          <w:p w14:paraId="3D009A49" w14:textId="77777777" w:rsidR="00415D61" w:rsidRPr="00415D61" w:rsidRDefault="00415D61" w:rsidP="00415D61">
            <w:pPr>
              <w:tabs>
                <w:tab w:val="left" w:pos="541"/>
                <w:tab w:val="left" w:pos="1080"/>
              </w:tabs>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415D61" w:rsidRPr="00415D61" w14:paraId="0ECEB97C"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383F0316"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64662FB8"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Technical characteristics of the lighting mast</w:t>
            </w:r>
          </w:p>
        </w:tc>
        <w:tc>
          <w:tcPr>
            <w:tcW w:w="4252" w:type="dxa"/>
          </w:tcPr>
          <w:p w14:paraId="3F417FAF"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 xml:space="preserve">Mobile lighting tower must be equipped with lighting mast with following features.  </w:t>
            </w:r>
          </w:p>
          <w:p w14:paraId="4ECC2E3F"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Equipped with not less than 4 LED lights, with power of not less than 200W each.</w:t>
            </w:r>
          </w:p>
          <w:p w14:paraId="0A170048"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The lighting area must be not less than 3000 m</w:t>
            </w:r>
            <w:r w:rsidRPr="00415D61">
              <w:rPr>
                <w:rFonts w:ascii="Calibri" w:eastAsia="Arial" w:hAnsi="Calibri" w:cs="Calibri"/>
                <w:bCs/>
                <w:vertAlign w:val="superscript"/>
              </w:rPr>
              <w:t>2</w:t>
            </w:r>
          </w:p>
          <w:p w14:paraId="2F727205"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The LED lights must have ingress protection rating not lover than IP 55.</w:t>
            </w:r>
          </w:p>
          <w:p w14:paraId="548CF591"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The mast must be telescoping with extended height of at least 6 m high when measured from the ground).</w:t>
            </w:r>
          </w:p>
          <w:p w14:paraId="3EB5AE04"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The mast must have a rotation of at least 300° to both sides.</w:t>
            </w:r>
          </w:p>
          <w:p w14:paraId="5AE1B056"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The angle of the individual lights must be adjustable.</w:t>
            </w:r>
          </w:p>
        </w:tc>
        <w:tc>
          <w:tcPr>
            <w:tcW w:w="5528" w:type="dxa"/>
          </w:tcPr>
          <w:p w14:paraId="1F36A7C3"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415D61" w:rsidRPr="00415D61" w14:paraId="5EFCE596" w14:textId="77777777" w:rsidTr="00415D61">
        <w:trPr>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2BAE9520"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639BC69D"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Warranty</w:t>
            </w:r>
          </w:p>
        </w:tc>
        <w:tc>
          <w:tcPr>
            <w:tcW w:w="4252" w:type="dxa"/>
          </w:tcPr>
          <w:p w14:paraId="6A1F54A4" w14:textId="77777777" w:rsidR="00415D61" w:rsidRPr="00415D61" w:rsidRDefault="00415D61" w:rsidP="00415D6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Supplier must provide the warranty of at least  12 months for all the equipment of the mobile lighting tower. </w:t>
            </w:r>
          </w:p>
          <w:p w14:paraId="4EFF0F17" w14:textId="77777777" w:rsidR="00415D61" w:rsidRPr="00415D61" w:rsidRDefault="00415D61" w:rsidP="00415D61">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15D61">
              <w:rPr>
                <w:rFonts w:ascii="Calibri" w:eastAsia="Arial" w:hAnsi="Calibri" w:cs="Calibri"/>
              </w:rPr>
              <w:t xml:space="preserve">Supplier must provide for the beneficiary information on the availability and suppliers of suitable spare parts and repair services at the request of the beneficiary. </w:t>
            </w:r>
          </w:p>
        </w:tc>
        <w:tc>
          <w:tcPr>
            <w:tcW w:w="5528" w:type="dxa"/>
          </w:tcPr>
          <w:p w14:paraId="29F2B455" w14:textId="77777777" w:rsidR="00415D61" w:rsidRPr="00415D61" w:rsidRDefault="00415D61" w:rsidP="00415D61">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415D61" w:rsidRPr="00415D61" w14:paraId="3D9EDF5C" w14:textId="77777777" w:rsidTr="00415D6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28" w:type="dxa"/>
          </w:tcPr>
          <w:p w14:paraId="27009AFD" w14:textId="77777777" w:rsidR="00415D61" w:rsidRPr="00415D61" w:rsidRDefault="00415D61" w:rsidP="00415D61">
            <w:pPr>
              <w:numPr>
                <w:ilvl w:val="0"/>
                <w:numId w:val="69"/>
              </w:numPr>
              <w:spacing w:after="120"/>
              <w:contextualSpacing/>
              <w:jc w:val="both"/>
              <w:rPr>
                <w:rFonts w:ascii="Calibri" w:eastAsia="Arial" w:hAnsi="Calibri" w:cs="Calibri"/>
              </w:rPr>
            </w:pPr>
          </w:p>
        </w:tc>
        <w:tc>
          <w:tcPr>
            <w:tcW w:w="1761" w:type="dxa"/>
          </w:tcPr>
          <w:p w14:paraId="5D469A2D" w14:textId="77777777" w:rsidR="00415D61" w:rsidRPr="00415D61" w:rsidRDefault="00415D61" w:rsidP="00415D61">
            <w:pPr>
              <w:spacing w:after="18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Documentation to be provided by the Supplier with the Goods</w:t>
            </w:r>
          </w:p>
          <w:p w14:paraId="78958803"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4252" w:type="dxa"/>
          </w:tcPr>
          <w:p w14:paraId="1B8FC8DD"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415D61">
              <w:rPr>
                <w:rFonts w:ascii="Calibri" w:eastAsia="Arial" w:hAnsi="Calibri" w:cs="Calibri"/>
              </w:rPr>
              <w:t>Supplier must provide with the mobile lighting towers following documentation:</w:t>
            </w:r>
          </w:p>
          <w:p w14:paraId="76197DCE"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Maintenance and user manual in English and/or in the language of the beneficiary printed, one manual per lighting tower.</w:t>
            </w:r>
          </w:p>
          <w:p w14:paraId="4AFC3887" w14:textId="77777777" w:rsidR="00415D61" w:rsidRPr="00415D61" w:rsidRDefault="00415D61" w:rsidP="00415D61">
            <w:pPr>
              <w:numPr>
                <w:ilvl w:val="1"/>
                <w:numId w:val="69"/>
              </w:numPr>
              <w:ind w:left="466"/>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415D61">
              <w:rPr>
                <w:rFonts w:ascii="Calibri" w:eastAsia="Arial" w:hAnsi="Calibri" w:cs="Calibri"/>
                <w:bCs/>
              </w:rPr>
              <w:t xml:space="preserve">List of common spare parts and consumables in English and/or in the language of the beneficiary printed, one list per lighting tower (can be included in the maintenance and user manual).  </w:t>
            </w:r>
          </w:p>
        </w:tc>
        <w:tc>
          <w:tcPr>
            <w:tcW w:w="5528" w:type="dxa"/>
          </w:tcPr>
          <w:p w14:paraId="49117413" w14:textId="77777777" w:rsidR="00415D61" w:rsidRPr="00415D61" w:rsidRDefault="00415D61" w:rsidP="00415D61">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bl>
    <w:p w14:paraId="5571CD1F" w14:textId="77777777" w:rsidR="00415D61" w:rsidRDefault="00415D61" w:rsidP="00CC0880">
      <w:pPr>
        <w:spacing w:line="240" w:lineRule="auto"/>
        <w:jc w:val="both"/>
        <w:rPr>
          <w:rFonts w:eastAsia="Calibri" w:cstheme="minorHAnsi"/>
          <w:lang w:val="en-GB"/>
        </w:rPr>
      </w:pPr>
    </w:p>
    <w:p w14:paraId="5BF53434" w14:textId="30E651B9" w:rsidR="00415D61" w:rsidRPr="00415D61" w:rsidRDefault="00031CD0" w:rsidP="00415D61">
      <w:pPr>
        <w:tabs>
          <w:tab w:val="left" w:pos="5535"/>
        </w:tabs>
        <w:spacing w:after="0" w:line="240" w:lineRule="auto"/>
        <w:jc w:val="both"/>
        <w:rPr>
          <w:rFonts w:ascii="Calibri" w:eastAsia="Calibri" w:hAnsi="Calibri" w:cs="Calibri"/>
          <w:color w:val="FF0000"/>
          <w:lang w:val="en-GB" w:eastAsia="lt-LT"/>
        </w:rPr>
      </w:pPr>
      <w:r>
        <w:rPr>
          <w:rFonts w:ascii="Calibri" w:eastAsia="Calibri" w:hAnsi="Calibri" w:cs="Calibri"/>
          <w:b/>
          <w:color w:val="FF0000"/>
          <w:lang w:val="en-GB" w:eastAsia="lt-LT"/>
        </w:rPr>
        <w:t>*</w:t>
      </w:r>
      <w:r w:rsidR="00415D61" w:rsidRPr="00415D61">
        <w:rPr>
          <w:rFonts w:ascii="Calibri" w:eastAsia="Calibri" w:hAnsi="Calibri" w:cs="Calibri"/>
          <w:b/>
          <w:color w:val="FF0000"/>
          <w:lang w:val="en-GB" w:eastAsia="lt-LT"/>
        </w:rPr>
        <w:t>Note:</w:t>
      </w:r>
      <w:r w:rsidR="00415D61" w:rsidRPr="00415D61">
        <w:rPr>
          <w:rFonts w:ascii="Calibri" w:eastAsia="Calibri" w:hAnsi="Calibri" w:cs="Calibri"/>
          <w:color w:val="FF0000"/>
          <w:lang w:val="en-GB" w:eastAsia="lt-LT"/>
        </w:rPr>
        <w:t xml:space="preserve"> The supplier will be required to submit with the tender documents (manufacturer's technical descriptions and/or other documents) confirming that the characteristics of the goods offered by the supplier comply with the requirements.</w:t>
      </w:r>
    </w:p>
    <w:p w14:paraId="1AE9C1BA" w14:textId="3D6E9C71" w:rsidR="00415D61" w:rsidRDefault="00415D61" w:rsidP="00415D61">
      <w:pPr>
        <w:tabs>
          <w:tab w:val="left" w:pos="3864"/>
        </w:tabs>
        <w:rPr>
          <w:rFonts w:eastAsia="Calibri" w:cstheme="minorHAnsi"/>
          <w:lang w:val="en-GB"/>
        </w:rPr>
      </w:pPr>
    </w:p>
    <w:p w14:paraId="76D8DF2D" w14:textId="14B9BAEA" w:rsidR="00415D61" w:rsidRPr="00415D61" w:rsidRDefault="00415D61" w:rsidP="00415D61">
      <w:pPr>
        <w:tabs>
          <w:tab w:val="left" w:pos="3864"/>
        </w:tabs>
        <w:rPr>
          <w:rFonts w:eastAsia="Calibri" w:cstheme="minorHAnsi"/>
          <w:lang w:val="en-GB"/>
        </w:rPr>
        <w:sectPr w:rsidR="00415D61" w:rsidRPr="00415D61" w:rsidSect="00FC0D7B">
          <w:headerReference w:type="default" r:id="rId21"/>
          <w:pgSz w:w="15840" w:h="12240" w:orient="landscape"/>
          <w:pgMar w:top="1701" w:right="1134" w:bottom="567" w:left="1134" w:header="720" w:footer="720" w:gutter="0"/>
          <w:pgNumType w:start="0"/>
          <w:cols w:space="720"/>
          <w:titlePg/>
          <w:docGrid w:linePitch="360"/>
        </w:sectPr>
      </w:pPr>
      <w:r>
        <w:rPr>
          <w:rFonts w:eastAsia="Calibri" w:cstheme="minorHAnsi"/>
          <w:lang w:val="en-GB"/>
        </w:rPr>
        <w:tab/>
      </w: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C5786F">
      <w:pPr>
        <w:pStyle w:val="ListParagraph"/>
        <w:numPr>
          <w:ilvl w:val="0"/>
          <w:numId w:val="70"/>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77777777" w:rsidR="00CC0880" w:rsidRPr="007F26FA" w:rsidRDefault="0EB4C282" w:rsidP="0EB4C282">
            <w:pPr>
              <w:jc w:val="both"/>
              <w:rPr>
                <w:rFonts w:asciiTheme="minorHAnsi" w:hAnsiTheme="minorHAnsi" w:cstheme="minorBidi"/>
                <w:sz w:val="21"/>
                <w:szCs w:val="21"/>
                <w:lang w:val="en-GB"/>
              </w:rPr>
            </w:pPr>
            <w:r w:rsidRPr="0EB4C282">
              <w:rPr>
                <w:rFonts w:asciiTheme="minorHAnsi" w:hAnsiTheme="minorHAnsi" w:cstheme="minorBid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77777777" w:rsidR="00CC0880" w:rsidRPr="007F26FA" w:rsidRDefault="0EB4C282" w:rsidP="0EB4C282">
            <w:pPr>
              <w:jc w:val="both"/>
              <w:rPr>
                <w:rFonts w:asciiTheme="minorHAnsi" w:hAnsiTheme="minorHAnsi" w:cstheme="minorBidi"/>
                <w:sz w:val="21"/>
                <w:szCs w:val="21"/>
                <w:lang w:val="en-GB"/>
              </w:rPr>
            </w:pPr>
            <w:r w:rsidRPr="0EB4C282">
              <w:rPr>
                <w:rFonts w:asciiTheme="minorHAnsi" w:hAnsiTheme="minorHAnsi" w:cstheme="minorBid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Declaration of Honour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EB4C282">
            <w:pPr>
              <w:pStyle w:val="NoSpacing"/>
              <w:numPr>
                <w:ilvl w:val="0"/>
                <w:numId w:val="62"/>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supplier;</w:t>
            </w:r>
          </w:p>
          <w:p w14:paraId="02F0F7CB" w14:textId="77777777" w:rsidR="00CC0880" w:rsidRPr="007F26FA" w:rsidRDefault="0EB4C282" w:rsidP="0EB4C282">
            <w:pPr>
              <w:pStyle w:val="NoSpacing"/>
              <w:numPr>
                <w:ilvl w:val="0"/>
                <w:numId w:val="62"/>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
          <w:p w14:paraId="715EE768" w14:textId="77777777" w:rsidR="00CC0880" w:rsidRPr="007F26FA" w:rsidRDefault="0EB4C282" w:rsidP="0EB4C282">
            <w:pPr>
              <w:pStyle w:val="ListParagraph"/>
              <w:numPr>
                <w:ilvl w:val="0"/>
                <w:numId w:val="62"/>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B6E3002" w14:textId="77777777" w:rsidTr="0EB4C282">
        <w:tc>
          <w:tcPr>
            <w:tcW w:w="0" w:type="auto"/>
          </w:tcPr>
          <w:p w14:paraId="13CD31DE" w14:textId="5B0A0882" w:rsidR="00CC0880" w:rsidRPr="007F26FA" w:rsidRDefault="0EB4C282" w:rsidP="0EB4C282">
            <w:pPr>
              <w:rPr>
                <w:rFonts w:asciiTheme="minorHAnsi" w:hAnsiTheme="minorHAnsi" w:cstheme="minorBidi"/>
                <w:sz w:val="21"/>
                <w:szCs w:val="21"/>
                <w:lang w:val="en-GB"/>
              </w:rPr>
            </w:pPr>
            <w:r w:rsidRPr="0EB4C282">
              <w:rPr>
                <w:rFonts w:asciiTheme="minorHAnsi" w:eastAsia="Calibri" w:hAnsiTheme="minorHAnsi" w:cstheme="minorBidi"/>
                <w:sz w:val="21"/>
                <w:szCs w:val="21"/>
                <w:lang w:val="en-GB"/>
              </w:rPr>
              <w:t>5.</w:t>
            </w:r>
          </w:p>
        </w:tc>
        <w:tc>
          <w:tcPr>
            <w:tcW w:w="3478" w:type="dxa"/>
          </w:tcPr>
          <w:p w14:paraId="41FED4EF" w14:textId="77777777" w:rsidR="00CC0880" w:rsidRPr="007F26FA" w:rsidRDefault="0EB4C282" w:rsidP="0EB4C282">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EB4C282">
        <w:tc>
          <w:tcPr>
            <w:tcW w:w="0" w:type="auto"/>
          </w:tcPr>
          <w:p w14:paraId="2D34A0AF" w14:textId="21DD712E" w:rsidR="00CC0880" w:rsidRPr="007F26FA" w:rsidRDefault="0EB4C282" w:rsidP="0EB4C282">
            <w:pPr>
              <w:rPr>
                <w:rFonts w:asciiTheme="minorHAnsi" w:hAnsiTheme="minorHAnsi" w:cstheme="minorBidi"/>
                <w:lang w:val="en-GB"/>
              </w:rPr>
            </w:pPr>
            <w:r w:rsidRPr="0EB4C282">
              <w:rPr>
                <w:rFonts w:asciiTheme="minorHAnsi" w:eastAsia="Calibri" w:hAnsiTheme="minorHAnsi" w:cstheme="minorBidi"/>
                <w:sz w:val="21"/>
                <w:szCs w:val="21"/>
                <w:lang w:val="en-GB"/>
              </w:rPr>
              <w:t>6.</w:t>
            </w:r>
          </w:p>
        </w:tc>
        <w:tc>
          <w:tcPr>
            <w:tcW w:w="3478" w:type="dxa"/>
          </w:tcPr>
          <w:p w14:paraId="570518E3" w14:textId="77777777" w:rsidR="00CC0880" w:rsidRPr="007F26FA" w:rsidRDefault="0EB4C282" w:rsidP="0EB4C282">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C5786F">
      <w:pPr>
        <w:pStyle w:val="ListParagraph"/>
        <w:numPr>
          <w:ilvl w:val="0"/>
          <w:numId w:val="70"/>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EB4C282">
      <w:pPr>
        <w:pStyle w:val="ListParagraph"/>
        <w:numPr>
          <w:ilvl w:val="0"/>
          <w:numId w:val="64"/>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EB4C282">
      <w:pPr>
        <w:pStyle w:val="ListParagraph"/>
        <w:numPr>
          <w:ilvl w:val="0"/>
          <w:numId w:val="64"/>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rFonts w:eastAsia="Calibri"/>
          <w:lang w:val="en-GB"/>
        </w:rPr>
        <w:lastRenderedPageBreak/>
        <w:t>The data and information provided in the tender documents are correct and include everything necessary for the proper performance of the contract;</w:t>
      </w:r>
    </w:p>
    <w:p w14:paraId="4AA8C3CE" w14:textId="77777777"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13CEDF49" w:rsidR="00CC0880" w:rsidRPr="005510AD"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The tender shall be valid for the period specified in the relevant clause 4.8 of the Procurement Terms;</w:t>
      </w:r>
    </w:p>
    <w:p w14:paraId="293E43A0" w14:textId="7ACCE0F2"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C5786F">
      <w:pPr>
        <w:pStyle w:val="ListParagraph"/>
        <w:numPr>
          <w:ilvl w:val="0"/>
          <w:numId w:val="70"/>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EB4C282">
      <w:pPr>
        <w:pStyle w:val="ListParagraph"/>
        <w:numPr>
          <w:ilvl w:val="0"/>
          <w:numId w:val="65"/>
        </w:numPr>
        <w:ind w:left="0" w:firstLine="357"/>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0BB18A86" w14:textId="0C6347C5" w:rsidR="00CC0880" w:rsidRDefault="0EB4C282" w:rsidP="0EB4C282">
      <w:pPr>
        <w:pStyle w:val="ListParagraph"/>
        <w:numPr>
          <w:ilvl w:val="0"/>
          <w:numId w:val="65"/>
        </w:numPr>
        <w:tabs>
          <w:tab w:val="left" w:pos="851"/>
        </w:tabs>
        <w:spacing w:after="0" w:line="240" w:lineRule="auto"/>
        <w:ind w:left="0" w:firstLine="360"/>
        <w:jc w:val="both"/>
        <w:rPr>
          <w:lang w:val="en-GB"/>
        </w:rPr>
      </w:pPr>
      <w:r w:rsidRPr="0EB4C282">
        <w:rPr>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EB4C282">
        <w:rPr>
          <w:vertAlign w:val="superscript"/>
          <w:lang w:val="en-GB"/>
        </w:rPr>
        <w:t>1</w:t>
      </w:r>
      <w:r w:rsidRPr="0EB4C282">
        <w:rPr>
          <w:lang w:val="en-GB"/>
        </w:rPr>
        <w:t xml:space="preserve"> of Article 45 of the Law on Public Procurement;</w:t>
      </w:r>
    </w:p>
    <w:p w14:paraId="2F3B2B5B" w14:textId="77777777" w:rsidR="008E2D16" w:rsidRPr="008E2D16" w:rsidRDefault="0EB4C282" w:rsidP="0EB4C282">
      <w:pPr>
        <w:pStyle w:val="ListParagraph"/>
        <w:numPr>
          <w:ilvl w:val="0"/>
          <w:numId w:val="65"/>
        </w:numPr>
        <w:tabs>
          <w:tab w:val="left" w:pos="851"/>
        </w:tabs>
        <w:spacing w:after="0" w:line="240" w:lineRule="auto"/>
        <w:jc w:val="both"/>
        <w:rPr>
          <w:lang w:val="en-GB"/>
        </w:rPr>
      </w:pPr>
      <w:r w:rsidRPr="0EB4C282">
        <w:rPr>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EB4C282" w:rsidP="0EB4C282">
      <w:pPr>
        <w:pStyle w:val="ListParagraph"/>
        <w:tabs>
          <w:tab w:val="left" w:pos="851"/>
        </w:tabs>
        <w:spacing w:after="0" w:line="240" w:lineRule="auto"/>
        <w:jc w:val="both"/>
        <w:rPr>
          <w:lang w:val="en-GB"/>
        </w:rPr>
      </w:pPr>
      <w:r w:rsidRPr="0EB4C282">
        <w:rPr>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EB4C282" w:rsidP="0EB4C282">
      <w:pPr>
        <w:pStyle w:val="ListParagraph"/>
        <w:tabs>
          <w:tab w:val="left" w:pos="851"/>
        </w:tabs>
        <w:spacing w:after="0" w:line="240" w:lineRule="auto"/>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EB4C282">
      <w:pPr>
        <w:pStyle w:val="ListParagraph"/>
        <w:tabs>
          <w:tab w:val="left" w:pos="851"/>
        </w:tabs>
        <w:spacing w:after="0" w:line="240" w:lineRule="auto"/>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EB4C282">
      <w:pPr>
        <w:pStyle w:val="ListParagraph"/>
        <w:tabs>
          <w:tab w:val="left" w:pos="851"/>
        </w:tabs>
        <w:spacing w:after="0" w:line="240" w:lineRule="auto"/>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0CFD568C" w14:textId="639E4912" w:rsidR="009E43F6" w:rsidRPr="00415D61" w:rsidRDefault="0EB4C282" w:rsidP="009E43F6">
      <w:pPr>
        <w:pStyle w:val="ListParagraph"/>
        <w:numPr>
          <w:ilvl w:val="0"/>
          <w:numId w:val="65"/>
        </w:numPr>
        <w:tabs>
          <w:tab w:val="left" w:pos="851"/>
        </w:tabs>
        <w:spacing w:after="0" w:line="240" w:lineRule="auto"/>
        <w:ind w:left="0" w:firstLine="426"/>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lastRenderedPageBreak/>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Declaration of 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participating in, organising or directing a criminal organisation;</w:t>
            </w:r>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bribery, influence peddling and bribery;</w:t>
            </w:r>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4) criminal bankruptcy;</w:t>
            </w:r>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5) terrorist offences and offences linked to terrorist activities;</w:t>
            </w:r>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6) money laundering;</w:t>
            </w:r>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7) trafficking in human beings, buying or selling a child;</w:t>
            </w:r>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the supplier, who is a natural person, has been the subject of a criminal conviction handed down and finalised within the last 5 years and has an unspent or unspent criminal record;</w:t>
            </w:r>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bookmarkStart w:id="12"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he supplier, who is a natural person, has been the subject of a criminal conviction handed down and finalised within the last 5 years and has an unspent or unspent criminal record;</w:t>
            </w:r>
          </w:p>
          <w:p w14:paraId="76EF40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the supplier has an obligation to pay taxes, including social security contributions, and is therefore deemed to have already fulfilled the obligations referred to in this paragraph;</w:t>
            </w:r>
          </w:p>
          <w:p w14:paraId="000B33E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
          <w:p w14:paraId="48D2EF6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2"/>
      <w:tr w:rsidR="0029364A"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29364A"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w:t>
            </w:r>
            <w:r w:rsidRPr="0EB4C282">
              <w:rPr>
                <w:rFonts w:eastAsia="Yu Mincho"/>
                <w:sz w:val="20"/>
                <w:szCs w:val="20"/>
                <w:lang w:val="en-GB" w:eastAsia="lt-LT"/>
              </w:rPr>
              <w:lastRenderedPageBreak/>
              <w:t xml:space="preserve">the previous year, he has been excluded from the procurement procedure or the procedure for the award of the concession. </w:t>
            </w:r>
          </w:p>
          <w:p w14:paraId="1821719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29364A"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29364A"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bookmarkStart w:id="13"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3"/>
      <w:tr w:rsidR="0029364A"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EB4C282" w:rsidP="0EB4C282">
      <w:pPr>
        <w:spacing w:after="0" w:line="240" w:lineRule="auto"/>
        <w:jc w:val="center"/>
        <w:rPr>
          <w:rFonts w:eastAsia="Times New Roman"/>
          <w:lang w:val="en-US" w:eastAsia="lt-LT"/>
        </w:rPr>
      </w:pPr>
      <w:r w:rsidRPr="0EB4C282">
        <w:rPr>
          <w:rFonts w:eastAsia="Times New Roman"/>
          <w:lang w:val="en-US" w:eastAsia="uk-UA"/>
        </w:rPr>
        <w:t>[Project of the Contract annexed as separate document]</w:t>
      </w:r>
      <w:bookmarkStart w:id="14" w:name="_Hlk167798994"/>
      <w:bookmarkEnd w:id="14"/>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31EE6594" w:rsidR="00C1174F" w:rsidRDefault="00C1174F">
      <w:pPr>
        <w:rPr>
          <w:rFonts w:cstheme="minorHAnsi"/>
          <w:lang w:val="en-US"/>
        </w:rPr>
      </w:pP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21E3C" w14:textId="77777777" w:rsidR="006001D8" w:rsidRDefault="006001D8" w:rsidP="00527A5D">
      <w:pPr>
        <w:spacing w:after="0" w:line="240" w:lineRule="auto"/>
      </w:pPr>
      <w:r>
        <w:separator/>
      </w:r>
    </w:p>
  </w:endnote>
  <w:endnote w:type="continuationSeparator" w:id="0">
    <w:p w14:paraId="78634634" w14:textId="77777777" w:rsidR="006001D8" w:rsidRDefault="006001D8" w:rsidP="00527A5D">
      <w:pPr>
        <w:spacing w:after="0" w:line="240" w:lineRule="auto"/>
      </w:pPr>
      <w:r>
        <w:continuationSeparator/>
      </w:r>
    </w:p>
  </w:endnote>
  <w:endnote w:type="continuationNotice" w:id="1">
    <w:p w14:paraId="100A3A5E" w14:textId="77777777" w:rsidR="006001D8" w:rsidRDefault="00600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2795" w14:textId="77777777" w:rsidR="006001D8" w:rsidRDefault="006001D8" w:rsidP="00527A5D">
      <w:pPr>
        <w:spacing w:after="0" w:line="240" w:lineRule="auto"/>
      </w:pPr>
      <w:r>
        <w:separator/>
      </w:r>
    </w:p>
  </w:footnote>
  <w:footnote w:type="continuationSeparator" w:id="0">
    <w:p w14:paraId="77DE5A9E" w14:textId="77777777" w:rsidR="006001D8" w:rsidRDefault="006001D8" w:rsidP="00527A5D">
      <w:pPr>
        <w:spacing w:after="0" w:line="240" w:lineRule="auto"/>
      </w:pPr>
      <w:r>
        <w:continuationSeparator/>
      </w:r>
    </w:p>
  </w:footnote>
  <w:footnote w:type="continuationNotice" w:id="1">
    <w:p w14:paraId="53A75A13" w14:textId="77777777" w:rsidR="006001D8" w:rsidRDefault="006001D8">
      <w:pPr>
        <w:spacing w:after="0" w:line="240" w:lineRule="auto"/>
      </w:pPr>
    </w:p>
  </w:footnote>
  <w:footnote w:id="2">
    <w:p w14:paraId="1DFB7F3E" w14:textId="2B60E6C3" w:rsidR="003836CB" w:rsidRPr="00DC516F" w:rsidRDefault="003836CB" w:rsidP="003836CB">
      <w:pPr>
        <w:pStyle w:val="FootnoteText"/>
        <w:jc w:val="both"/>
        <w:rPr>
          <w:rStyle w:val="Hyperlink"/>
          <w:lang w:val="en-GB"/>
        </w:rPr>
      </w:pPr>
      <w:r w:rsidRPr="00DC516F">
        <w:rPr>
          <w:rStyle w:val="FootnoteReference"/>
          <w:lang w:val="en-GB"/>
        </w:rPr>
        <w:footnoteRef/>
      </w:r>
      <w:r w:rsidRPr="00DC516F">
        <w:rPr>
          <w:lang w:val="en-GB"/>
        </w:rPr>
        <w:t xml:space="preserve"> </w:t>
      </w:r>
    </w:p>
    <w:p w14:paraId="544D3933" w14:textId="704EE5C0" w:rsidR="003836CB" w:rsidRPr="00566716" w:rsidRDefault="0EB4C282" w:rsidP="0EB4C282">
      <w:pPr>
        <w:pStyle w:val="FootnoteText"/>
        <w:jc w:val="both"/>
        <w:rPr>
          <w:b/>
          <w:bCs/>
        </w:rPr>
      </w:pPr>
      <w:r w:rsidRPr="0EB4C282">
        <w:rPr>
          <w:b/>
          <w:bCs/>
          <w:lang w:val="en-GB"/>
        </w:rPr>
        <w:t xml:space="preserve">Foreign suppliers may also find the training material in English for work with the CPP IS system and information on other procurement-related issues at: s: </w:t>
      </w:r>
      <w:hyperlink r:id="rId1" w:history="1">
        <w:r w:rsidR="00EA488B" w:rsidRPr="00906D56">
          <w:rPr>
            <w:rStyle w:val="Hyperlink"/>
          </w:rPr>
          <w:t>https://vpt.lrv.lt/en/methodical-assistance/registration-of-economic-operators-in-cvp-is_en/</w:t>
        </w:r>
      </w:hyperlink>
      <w:r w:rsidR="00EA488B">
        <w:t xml:space="preserve"> and </w:t>
      </w:r>
      <w:hyperlink r:id="rId2" w:history="1">
        <w:r w:rsidR="00083536" w:rsidRPr="00ED2FCA">
          <w:rPr>
            <w:rStyle w:val="Hyperlink"/>
          </w:rPr>
          <w:t>https://vpt.lrv.lt/en/methodical-assistance/</w:t>
        </w:r>
      </w:hyperlink>
      <w:r w:rsidR="00083536">
        <w:t xml:space="preserve"> </w:t>
      </w:r>
    </w:p>
  </w:footnote>
  <w:footnote w:id="3">
    <w:p w14:paraId="3B263718" w14:textId="77777777" w:rsidR="006003CE" w:rsidRPr="00F90B5B" w:rsidRDefault="006003CE" w:rsidP="0EB4C282">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6">
    <w:p w14:paraId="6F702D14" w14:textId="77777777" w:rsidR="00D862A9" w:rsidRDefault="00D862A9" w:rsidP="00D862A9">
      <w:pPr>
        <w:pStyle w:val="FootnoteText"/>
      </w:pPr>
      <w:r>
        <w:rPr>
          <w:rStyle w:val="FootnoteReference"/>
        </w:rPr>
        <w:footnoteRef/>
      </w:r>
      <w:r>
        <w:t xml:space="preserve"> </w:t>
      </w:r>
      <w:r w:rsidRPr="00B93389">
        <w:rPr>
          <w:sz w:val="18"/>
          <w:szCs w:val="18"/>
          <w:lang w:val="en-GB"/>
        </w:rPr>
        <w:t xml:space="preserve">This is the minimum quantity that the </w:t>
      </w:r>
      <w:r>
        <w:rPr>
          <w:sz w:val="18"/>
          <w:szCs w:val="18"/>
          <w:lang w:val="en-GB"/>
        </w:rPr>
        <w:t>C</w:t>
      </w:r>
      <w:r w:rsidRPr="00B93389">
        <w:rPr>
          <w:sz w:val="18"/>
          <w:szCs w:val="18"/>
          <w:lang w:val="en-GB"/>
        </w:rPr>
        <w:t>ontracting authority undertakes to purchase</w:t>
      </w:r>
      <w:r>
        <w:rPr>
          <w:sz w:val="18"/>
          <w:szCs w:val="18"/>
          <w:lang w:val="en-GB"/>
        </w:rPr>
        <w:t>.</w:t>
      </w:r>
    </w:p>
  </w:footnote>
  <w:footnote w:id="7">
    <w:p w14:paraId="3D7E43A3" w14:textId="286934E2" w:rsidR="00D862A9" w:rsidRDefault="00D862A9" w:rsidP="00D862A9">
      <w:pPr>
        <w:pStyle w:val="FootnoteText"/>
      </w:pPr>
      <w:r>
        <w:rPr>
          <w:rStyle w:val="FootnoteReference"/>
        </w:rPr>
        <w:footnoteRef/>
      </w:r>
      <w:r>
        <w:t xml:space="preserve"> </w:t>
      </w:r>
      <w:r w:rsidRPr="00DD6C15">
        <w:rPr>
          <w:sz w:val="18"/>
          <w:szCs w:val="18"/>
          <w:lang w:val="en-GB"/>
        </w:rPr>
        <w:t xml:space="preserve">The Contracting </w:t>
      </w:r>
      <w:r>
        <w:rPr>
          <w:sz w:val="18"/>
          <w:szCs w:val="18"/>
          <w:lang w:val="en-GB"/>
        </w:rPr>
        <w:t>a</w:t>
      </w:r>
      <w:r w:rsidRPr="00DD6C15">
        <w:rPr>
          <w:sz w:val="18"/>
          <w:szCs w:val="18"/>
          <w:lang w:val="en-GB"/>
        </w:rPr>
        <w:t>uthority does not undertake to purchase the entire quantity</w:t>
      </w:r>
      <w:r>
        <w:rPr>
          <w:sz w:val="18"/>
          <w:szCs w:val="18"/>
          <w:lang w:val="en-GB"/>
        </w:rPr>
        <w:t xml:space="preserve">. </w:t>
      </w:r>
      <w:r w:rsidRPr="00B93389">
        <w:rPr>
          <w:sz w:val="18"/>
          <w:szCs w:val="18"/>
          <w:lang w:val="en-GB"/>
        </w:rPr>
        <w:t>The quantity to be ordered, which cannot be less than the minimum (</w:t>
      </w:r>
      <w:r w:rsidR="008C2C4C">
        <w:rPr>
          <w:sz w:val="18"/>
          <w:szCs w:val="18"/>
          <w:lang w:val="en-GB"/>
        </w:rPr>
        <w:t>5</w:t>
      </w:r>
      <w:r w:rsidRPr="00B93389">
        <w:rPr>
          <w:sz w:val="18"/>
          <w:szCs w:val="18"/>
          <w:lang w:val="en-GB"/>
        </w:rPr>
        <w:t xml:space="preserve"> units), will depend on the needs of the CPVA and the </w:t>
      </w:r>
      <w:r>
        <w:rPr>
          <w:sz w:val="18"/>
          <w:szCs w:val="18"/>
          <w:lang w:val="en-GB"/>
        </w:rPr>
        <w:t>B</w:t>
      </w:r>
      <w:r w:rsidRPr="00B93389">
        <w:rPr>
          <w:sz w:val="18"/>
          <w:szCs w:val="18"/>
          <w:lang w:val="en-GB"/>
        </w:rPr>
        <w:t>eneficiary</w:t>
      </w:r>
      <w:r>
        <w:rPr>
          <w:sz w:val="18"/>
          <w:szCs w:val="18"/>
          <w:lang w:val="en-GB"/>
        </w:rPr>
        <w:t xml:space="preserve">, </w:t>
      </w:r>
      <w:r w:rsidRPr="001E0917">
        <w:rPr>
          <w:sz w:val="18"/>
          <w:szCs w:val="18"/>
          <w:lang w:val="en-GB"/>
        </w:rPr>
        <w:t xml:space="preserve">but not exceeding the maximum quantity of </w:t>
      </w:r>
      <w:r w:rsidR="008C2C4C">
        <w:rPr>
          <w:sz w:val="18"/>
          <w:szCs w:val="18"/>
          <w:lang w:val="en-GB"/>
        </w:rPr>
        <w:t>9</w:t>
      </w:r>
      <w:r w:rsidRPr="001E0917">
        <w:rPr>
          <w:sz w:val="18"/>
          <w:szCs w:val="18"/>
          <w:lang w:val="en-GB"/>
        </w:rPr>
        <w:t xml:space="preserve"> units in total.</w:t>
      </w:r>
    </w:p>
  </w:footnote>
  <w:footnote w:id="8">
    <w:p w14:paraId="778B9C82" w14:textId="77777777" w:rsidR="00032F5A" w:rsidRDefault="00032F5A" w:rsidP="00032F5A">
      <w:pPr>
        <w:pStyle w:val="FootnoteText"/>
      </w:pPr>
      <w:r>
        <w:rPr>
          <w:rStyle w:val="FootnoteReference"/>
        </w:rPr>
        <w:footnoteRef/>
      </w:r>
      <w:r>
        <w:t xml:space="preserve"> </w:t>
      </w:r>
      <w:r w:rsidRPr="00B93389">
        <w:rPr>
          <w:sz w:val="18"/>
          <w:szCs w:val="18"/>
          <w:lang w:val="en-GB"/>
        </w:rPr>
        <w:t xml:space="preserve">This is the minimum quantity that the </w:t>
      </w:r>
      <w:r>
        <w:rPr>
          <w:sz w:val="18"/>
          <w:szCs w:val="18"/>
          <w:lang w:val="en-GB"/>
        </w:rPr>
        <w:t>C</w:t>
      </w:r>
      <w:r w:rsidRPr="00B93389">
        <w:rPr>
          <w:sz w:val="18"/>
          <w:szCs w:val="18"/>
          <w:lang w:val="en-GB"/>
        </w:rPr>
        <w:t>ontracting authority undertakes to purchase</w:t>
      </w:r>
      <w:r>
        <w:rPr>
          <w:sz w:val="18"/>
          <w:szCs w:val="18"/>
          <w:lang w:val="en-GB"/>
        </w:rPr>
        <w:t>.</w:t>
      </w:r>
    </w:p>
  </w:footnote>
  <w:footnote w:id="9">
    <w:p w14:paraId="1E9317CA" w14:textId="2C847623" w:rsidR="00032F5A" w:rsidRDefault="00032F5A" w:rsidP="00032F5A">
      <w:pPr>
        <w:pStyle w:val="FootnoteText"/>
      </w:pPr>
      <w:r>
        <w:rPr>
          <w:rStyle w:val="FootnoteReference"/>
        </w:rPr>
        <w:footnoteRef/>
      </w:r>
      <w:r>
        <w:t xml:space="preserve"> </w:t>
      </w:r>
      <w:r w:rsidRPr="00DD6C15">
        <w:rPr>
          <w:sz w:val="18"/>
          <w:szCs w:val="18"/>
          <w:lang w:val="en-GB"/>
        </w:rPr>
        <w:t xml:space="preserve">The Contracting </w:t>
      </w:r>
      <w:r>
        <w:rPr>
          <w:sz w:val="18"/>
          <w:szCs w:val="18"/>
          <w:lang w:val="en-GB"/>
        </w:rPr>
        <w:t>a</w:t>
      </w:r>
      <w:r w:rsidRPr="00DD6C15">
        <w:rPr>
          <w:sz w:val="18"/>
          <w:szCs w:val="18"/>
          <w:lang w:val="en-GB"/>
        </w:rPr>
        <w:t>uthority does not undertake to purchase the entire quantity</w:t>
      </w:r>
      <w:r>
        <w:rPr>
          <w:sz w:val="18"/>
          <w:szCs w:val="18"/>
          <w:lang w:val="en-GB"/>
        </w:rPr>
        <w:t xml:space="preserve">. </w:t>
      </w:r>
      <w:r w:rsidRPr="00B93389">
        <w:rPr>
          <w:sz w:val="18"/>
          <w:szCs w:val="18"/>
          <w:lang w:val="en-GB"/>
        </w:rPr>
        <w:t>The quantity to be ordered, which cannot be less than the minimum (</w:t>
      </w:r>
      <w:r>
        <w:rPr>
          <w:sz w:val="18"/>
          <w:szCs w:val="18"/>
          <w:lang w:val="en-GB"/>
        </w:rPr>
        <w:t>5</w:t>
      </w:r>
      <w:r w:rsidRPr="00B93389">
        <w:rPr>
          <w:sz w:val="18"/>
          <w:szCs w:val="18"/>
          <w:lang w:val="en-GB"/>
        </w:rPr>
        <w:t xml:space="preserve"> units), will depend on the needs of the CPVA and the </w:t>
      </w:r>
      <w:r>
        <w:rPr>
          <w:sz w:val="18"/>
          <w:szCs w:val="18"/>
          <w:lang w:val="en-GB"/>
        </w:rPr>
        <w:t>B</w:t>
      </w:r>
      <w:r w:rsidRPr="00B93389">
        <w:rPr>
          <w:sz w:val="18"/>
          <w:szCs w:val="18"/>
          <w:lang w:val="en-GB"/>
        </w:rPr>
        <w:t>eneficiary</w:t>
      </w:r>
      <w:r>
        <w:rPr>
          <w:sz w:val="18"/>
          <w:szCs w:val="18"/>
          <w:lang w:val="en-GB"/>
        </w:rPr>
        <w:t xml:space="preserve">, </w:t>
      </w:r>
      <w:r w:rsidRPr="00CE74A0">
        <w:rPr>
          <w:sz w:val="18"/>
          <w:szCs w:val="18"/>
          <w:lang w:val="en-GB"/>
        </w:rPr>
        <w:t xml:space="preserve">but not exceeding the maximum quantity of </w:t>
      </w:r>
      <w:r>
        <w:rPr>
          <w:sz w:val="18"/>
          <w:szCs w:val="18"/>
          <w:lang w:val="en-GB"/>
        </w:rPr>
        <w:t>9</w:t>
      </w:r>
      <w:r w:rsidRPr="00CE74A0">
        <w:rPr>
          <w:sz w:val="18"/>
          <w:szCs w:val="18"/>
          <w:lang w:val="en-GB"/>
        </w:rPr>
        <w:t xml:space="preserve"> units in total.</w:t>
      </w:r>
    </w:p>
  </w:footnote>
  <w:footnote w:id="10">
    <w:p w14:paraId="07299A67" w14:textId="77777777" w:rsidR="00032F5A" w:rsidRPr="006B52FF" w:rsidRDefault="00032F5A" w:rsidP="0EB4C282">
      <w:pPr>
        <w:pStyle w:val="FootnoteText"/>
        <w:jc w:val="both"/>
        <w:rPr>
          <w:sz w:val="18"/>
          <w:szCs w:val="18"/>
          <w:lang w:val="en-GB"/>
        </w:rPr>
      </w:pPr>
      <w:r w:rsidRPr="006B52FF">
        <w:rPr>
          <w:rStyle w:val="FootnoteReference"/>
          <w:sz w:val="18"/>
          <w:szCs w:val="18"/>
          <w:lang w:val="en-GB"/>
        </w:rPr>
        <w:footnoteRef/>
      </w:r>
      <w:r w:rsidRPr="006B52FF">
        <w:rPr>
          <w:sz w:val="18"/>
          <w:szCs w:val="18"/>
          <w:lang w:val="en-GB"/>
        </w:rPr>
        <w:t xml:space="preserve"> The prices in the tender shall be rounded to two decimal places.</w:t>
      </w:r>
    </w:p>
  </w:footnote>
  <w:footnote w:id="11">
    <w:p w14:paraId="0DCD2EC2" w14:textId="77777777" w:rsidR="00032F5A" w:rsidRPr="0027212B" w:rsidRDefault="00032F5A" w:rsidP="0027212B">
      <w:pPr>
        <w:pStyle w:val="FootnoteText"/>
        <w:jc w:val="both"/>
        <w:rPr>
          <w:sz w:val="18"/>
          <w:szCs w:val="18"/>
          <w:lang w:val="en-GB"/>
        </w:rPr>
      </w:pPr>
      <w:r w:rsidRPr="0027212B">
        <w:rPr>
          <w:rStyle w:val="FootnoteReference"/>
        </w:rPr>
        <w:footnoteRef/>
      </w:r>
      <w:r w:rsidRPr="0027212B">
        <w:t xml:space="preserve"> </w:t>
      </w:r>
      <w:r w:rsidRPr="0027212B">
        <w:rPr>
          <w:sz w:val="18"/>
          <w:szCs w:val="18"/>
          <w:lang w:val="en-GB"/>
        </w:rPr>
        <w:t>Goods and/or services supplied to/in the Republic of Moldova are subject to 0% tax. VAT because:</w:t>
      </w:r>
    </w:p>
    <w:p w14:paraId="138789BE" w14:textId="77777777" w:rsidR="00032F5A" w:rsidRPr="0027212B" w:rsidRDefault="00032F5A" w:rsidP="0027212B">
      <w:pPr>
        <w:pStyle w:val="FootnoteText"/>
        <w:jc w:val="both"/>
        <w:rPr>
          <w:sz w:val="18"/>
          <w:szCs w:val="18"/>
          <w:lang w:val="en-GB"/>
        </w:rPr>
      </w:pPr>
      <w:r w:rsidRPr="0027212B">
        <w:rPr>
          <w:sz w:val="18"/>
          <w:szCs w:val="18"/>
          <w:lang w:val="en-GB"/>
        </w:rPr>
        <w:t xml:space="preserve">- taking into account that products/services under this Contract are financed within the frame of the signed Contribution Contract on the 21th April 2022 No. EPF2022/05 by the European </w:t>
      </w:r>
      <w:r w:rsidRPr="0027212B">
        <w:rPr>
          <w:sz w:val="18"/>
          <w:szCs w:val="18"/>
        </w:rPr>
        <w:t>Union, represented by the European</w:t>
      </w:r>
      <w:r w:rsidRPr="0027212B">
        <w:rPr>
          <w:sz w:val="18"/>
          <w:szCs w:val="18"/>
          <w:lang w:val="en-GB"/>
        </w:rPr>
        <w:t xml:space="preserve"> Commission and CPVA, concerning implementation of the “Assistance measure of assistance under the European Peace Facility in support of the armed forces of the Republic of Moldova”, hereinafter the Project, the Project is financed from the funds of the EU Peace Facility Fund,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11June 2012, and   is listed as no. 293341 in Official Gazette; registration number: 8721174017770;</w:t>
      </w:r>
    </w:p>
    <w:p w14:paraId="51BBF984" w14:textId="77777777" w:rsidR="00032F5A" w:rsidRPr="0027212B" w:rsidRDefault="00032F5A" w:rsidP="0027212B">
      <w:pPr>
        <w:pStyle w:val="FootnoteText"/>
        <w:jc w:val="both"/>
        <w:rPr>
          <w:sz w:val="18"/>
          <w:szCs w:val="18"/>
          <w:lang w:val="en-GB"/>
        </w:rPr>
      </w:pPr>
      <w:r w:rsidRPr="0027212B">
        <w:rPr>
          <w:sz w:val="18"/>
          <w:szCs w:val="18"/>
          <w:lang w:val="en-GB"/>
        </w:rPr>
        <w:t>- according to article 104 c</w:t>
      </w:r>
      <w:r w:rsidRPr="0027212B">
        <w:rPr>
          <w:sz w:val="18"/>
          <w:szCs w:val="18"/>
          <w:vertAlign w:val="superscript"/>
          <w:lang w:val="en-GB"/>
        </w:rPr>
        <w:t>1</w:t>
      </w:r>
      <w:r w:rsidRPr="0027212B">
        <w:rPr>
          <w:sz w:val="18"/>
          <w:szCs w:val="18"/>
          <w:lang w:val="en-GB"/>
        </w:rPr>
        <w:t xml:space="preserve"> of the Tax Code of the Republic of Moldova import and/or delivery of goods and services on the territory of the country, intended for technical assistance projects implemented in the territory of the Republic of Moldova by international organizations and donor countries under contracts to which it is a party;</w:t>
      </w:r>
    </w:p>
    <w:p w14:paraId="33601F56" w14:textId="77777777" w:rsidR="00032F5A" w:rsidRPr="0027212B" w:rsidRDefault="00032F5A" w:rsidP="0027212B">
      <w:pPr>
        <w:pStyle w:val="FootnoteText"/>
        <w:jc w:val="both"/>
        <w:rPr>
          <w:sz w:val="18"/>
          <w:szCs w:val="18"/>
          <w:lang w:val="en-GB"/>
        </w:rPr>
      </w:pPr>
      <w:r w:rsidRPr="0027212B">
        <w:rPr>
          <w:sz w:val="18"/>
          <w:szCs w:val="18"/>
          <w:lang w:val="en-GB"/>
        </w:rPr>
        <w:t>- transaction is VAT exempt according to Article 146(1)(a) of Council Directive 2006/112/EC of 28 November 2006;</w:t>
      </w:r>
    </w:p>
    <w:p w14:paraId="76E1F912" w14:textId="099EECAE" w:rsidR="00032F5A" w:rsidRPr="0027212B" w:rsidRDefault="00032F5A" w:rsidP="0027212B">
      <w:pPr>
        <w:pStyle w:val="FootnoteText"/>
        <w:jc w:val="both"/>
        <w:rPr>
          <w:sz w:val="18"/>
          <w:szCs w:val="18"/>
          <w:lang w:val="en-GB"/>
        </w:rPr>
      </w:pPr>
      <w:r w:rsidRPr="0027212B">
        <w:rPr>
          <w:sz w:val="18"/>
          <w:szCs w:val="18"/>
          <w:lang w:val="en-GB"/>
        </w:rPr>
        <w:t>- i</w:t>
      </w:r>
      <w:r w:rsidRPr="0027212B">
        <w:rPr>
          <w:sz w:val="18"/>
          <w:szCs w:val="18"/>
          <w:lang w:val="en-US"/>
        </w:rPr>
        <w:t>f the purchased goods will be exported to Moldova, all export procedures and documents relating to the export of the purchased goods are handled and signed by the Supplier. In this respect, the Supplier will issue an invoice at a 0% VAT rate</w:t>
      </w:r>
    </w:p>
  </w:footnote>
  <w:footnote w:id="12">
    <w:p w14:paraId="34A519CE" w14:textId="2BD0C9FE" w:rsidR="00032F5A" w:rsidRPr="000D67F0" w:rsidRDefault="00032F5A" w:rsidP="0027212B">
      <w:pPr>
        <w:spacing w:after="0" w:line="240" w:lineRule="auto"/>
        <w:jc w:val="both"/>
        <w:rPr>
          <w:sz w:val="18"/>
          <w:szCs w:val="18"/>
          <w:lang w:val="en-GB"/>
        </w:rPr>
      </w:pPr>
      <w:r w:rsidRPr="0027212B">
        <w:rPr>
          <w:rStyle w:val="FootnoteReference"/>
          <w:sz w:val="18"/>
          <w:szCs w:val="18"/>
          <w:lang w:val="en-GB"/>
        </w:rPr>
        <w:footnoteRef/>
      </w:r>
      <w:r w:rsidRPr="0027212B">
        <w:rPr>
          <w:sz w:val="18"/>
          <w:szCs w:val="18"/>
          <w:lang w:val="en-GB"/>
        </w:rPr>
        <w:t xml:space="preserve"> </w:t>
      </w:r>
      <w:r w:rsidRPr="0027212B">
        <w:rPr>
          <w:rFonts w:eastAsia="Calibri"/>
          <w:sz w:val="18"/>
          <w:szCs w:val="18"/>
          <w:lang w:val="en-GB"/>
        </w:rPr>
        <w:t xml:space="preserve">The maximum amount of funds available for procurement is </w:t>
      </w:r>
      <w:r w:rsidRPr="00D31A7C">
        <w:rPr>
          <w:rFonts w:eastAsia="Calibri"/>
          <w:sz w:val="18"/>
          <w:szCs w:val="18"/>
          <w:lang w:val="en-GB"/>
        </w:rPr>
        <w:t>specified in clause 3.3 of the of the</w:t>
      </w:r>
      <w:r w:rsidRPr="0027212B">
        <w:rPr>
          <w:rFonts w:eastAsia="Calibri"/>
          <w:sz w:val="18"/>
          <w:szCs w:val="18"/>
          <w:lang w:val="en-GB"/>
        </w:rPr>
        <w:t xml:space="preserve"> Procurement conditions. If a tender exceeds this maximum amount, the tender will be rejected.</w:t>
      </w:r>
    </w:p>
    <w:p w14:paraId="5599AC99" w14:textId="2ADFF2B3" w:rsidR="00032F5A" w:rsidRPr="00603874" w:rsidRDefault="00032F5A" w:rsidP="00CC0880">
      <w:pPr>
        <w:spacing w:after="0" w:line="240" w:lineRule="auto"/>
        <w:jc w:val="both"/>
        <w:rPr>
          <w:rFonts w:cstheme="minorHAnsi"/>
          <w:i/>
          <w:color w:val="7030A0"/>
          <w:sz w:val="18"/>
          <w:szCs w:val="18"/>
          <w:lang w:val="en-GB"/>
        </w:rPr>
      </w:pPr>
    </w:p>
  </w:footnote>
  <w:footnote w:id="13">
    <w:p w14:paraId="1A074591" w14:textId="77777777" w:rsidR="00726C78" w:rsidRDefault="00726C78" w:rsidP="00726C78">
      <w:pPr>
        <w:pStyle w:val="FootnoteText"/>
      </w:pPr>
      <w:r>
        <w:rPr>
          <w:rStyle w:val="FootnoteReference"/>
        </w:rPr>
        <w:footnoteRef/>
      </w:r>
      <w:r>
        <w:t xml:space="preserve"> </w:t>
      </w:r>
      <w:r w:rsidRPr="00B93389">
        <w:rPr>
          <w:sz w:val="18"/>
          <w:szCs w:val="18"/>
          <w:lang w:val="en-GB"/>
        </w:rPr>
        <w:t xml:space="preserve">This is the minimum quantity that the </w:t>
      </w:r>
      <w:r>
        <w:rPr>
          <w:sz w:val="18"/>
          <w:szCs w:val="18"/>
          <w:lang w:val="en-GB"/>
        </w:rPr>
        <w:t>C</w:t>
      </w:r>
      <w:r w:rsidRPr="00B93389">
        <w:rPr>
          <w:sz w:val="18"/>
          <w:szCs w:val="18"/>
          <w:lang w:val="en-GB"/>
        </w:rPr>
        <w:t>ontracting authority undertakes to purchase</w:t>
      </w:r>
      <w:r>
        <w:rPr>
          <w:sz w:val="18"/>
          <w:szCs w:val="18"/>
          <w:lang w:val="en-GB"/>
        </w:rPr>
        <w:t>.</w:t>
      </w:r>
    </w:p>
  </w:footnote>
  <w:footnote w:id="14">
    <w:p w14:paraId="24049628" w14:textId="77777777" w:rsidR="00726C78" w:rsidRDefault="00726C78" w:rsidP="00726C78">
      <w:pPr>
        <w:pStyle w:val="FootnoteText"/>
      </w:pPr>
      <w:r>
        <w:rPr>
          <w:rStyle w:val="FootnoteReference"/>
        </w:rPr>
        <w:footnoteRef/>
      </w:r>
      <w:r>
        <w:t xml:space="preserve"> </w:t>
      </w:r>
      <w:r w:rsidRPr="00DD6C15">
        <w:rPr>
          <w:sz w:val="18"/>
          <w:szCs w:val="18"/>
          <w:lang w:val="en-GB"/>
        </w:rPr>
        <w:t xml:space="preserve">The Contracting </w:t>
      </w:r>
      <w:r>
        <w:rPr>
          <w:sz w:val="18"/>
          <w:szCs w:val="18"/>
          <w:lang w:val="en-GB"/>
        </w:rPr>
        <w:t>a</w:t>
      </w:r>
      <w:r w:rsidRPr="00DD6C15">
        <w:rPr>
          <w:sz w:val="18"/>
          <w:szCs w:val="18"/>
          <w:lang w:val="en-GB"/>
        </w:rPr>
        <w:t>uthority does not undertake to purchase the entire quantity</w:t>
      </w:r>
      <w:r>
        <w:rPr>
          <w:sz w:val="18"/>
          <w:szCs w:val="18"/>
          <w:lang w:val="en-GB"/>
        </w:rPr>
        <w:t xml:space="preserve">. </w:t>
      </w:r>
      <w:r w:rsidRPr="00B93389">
        <w:rPr>
          <w:sz w:val="18"/>
          <w:szCs w:val="18"/>
          <w:lang w:val="en-GB"/>
        </w:rPr>
        <w:t>The quantity to be ordered, which cannot be less than the minimum (</w:t>
      </w:r>
      <w:r>
        <w:rPr>
          <w:sz w:val="18"/>
          <w:szCs w:val="18"/>
          <w:lang w:val="en-GB"/>
        </w:rPr>
        <w:t>5</w:t>
      </w:r>
      <w:r w:rsidRPr="00B93389">
        <w:rPr>
          <w:sz w:val="18"/>
          <w:szCs w:val="18"/>
          <w:lang w:val="en-GB"/>
        </w:rPr>
        <w:t xml:space="preserve"> units), will depend on the needs of the CPVA and the </w:t>
      </w:r>
      <w:r>
        <w:rPr>
          <w:sz w:val="18"/>
          <w:szCs w:val="18"/>
          <w:lang w:val="en-GB"/>
        </w:rPr>
        <w:t>B</w:t>
      </w:r>
      <w:r w:rsidRPr="00B93389">
        <w:rPr>
          <w:sz w:val="18"/>
          <w:szCs w:val="18"/>
          <w:lang w:val="en-GB"/>
        </w:rPr>
        <w:t>eneficiary</w:t>
      </w:r>
      <w:r>
        <w:rPr>
          <w:sz w:val="18"/>
          <w:szCs w:val="18"/>
          <w:lang w:val="en-GB"/>
        </w:rPr>
        <w:t xml:space="preserve">, </w:t>
      </w:r>
      <w:r w:rsidRPr="001E0917">
        <w:rPr>
          <w:sz w:val="18"/>
          <w:szCs w:val="18"/>
          <w:lang w:val="en-GB"/>
        </w:rPr>
        <w:t xml:space="preserve">but not exceeding the maximum quantity of </w:t>
      </w:r>
      <w:r>
        <w:rPr>
          <w:sz w:val="18"/>
          <w:szCs w:val="18"/>
          <w:lang w:val="en-GB"/>
        </w:rPr>
        <w:t>9</w:t>
      </w:r>
      <w:r w:rsidRPr="001E0917">
        <w:rPr>
          <w:sz w:val="18"/>
          <w:szCs w:val="18"/>
          <w:lang w:val="en-GB"/>
        </w:rPr>
        <w:t xml:space="preserve"> units in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FE41" w14:textId="77777777" w:rsidR="00C5786F" w:rsidRDefault="00C5786F">
    <w:pPr>
      <w:pStyle w:val="Header"/>
      <w:jc w:val="center"/>
    </w:pPr>
  </w:p>
  <w:p w14:paraId="6D01AF38" w14:textId="77777777" w:rsidR="00C5786F" w:rsidRDefault="00C57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C2C48"/>
    <w:multiLevelType w:val="multilevel"/>
    <w:tmpl w:val="41BAD3D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CF675D"/>
    <w:multiLevelType w:val="hybridMultilevel"/>
    <w:tmpl w:val="3D7C22A6"/>
    <w:lvl w:ilvl="0" w:tplc="D2823D8A">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55B68"/>
    <w:multiLevelType w:val="hybridMultilevel"/>
    <w:tmpl w:val="35985064"/>
    <w:lvl w:ilvl="0" w:tplc="78748A06">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6646D4"/>
    <w:multiLevelType w:val="hybridMultilevel"/>
    <w:tmpl w:val="CF86E692"/>
    <w:lvl w:ilvl="0" w:tplc="B3682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8901D06"/>
    <w:multiLevelType w:val="hybridMultilevel"/>
    <w:tmpl w:val="484856A8"/>
    <w:lvl w:ilvl="0" w:tplc="734EF2C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357CFA"/>
    <w:multiLevelType w:val="hybridMultilevel"/>
    <w:tmpl w:val="C568C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67567"/>
    <w:multiLevelType w:val="multilevel"/>
    <w:tmpl w:val="4CD29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BB934CD"/>
    <w:multiLevelType w:val="multilevel"/>
    <w:tmpl w:val="066EE5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EC7CC9"/>
    <w:multiLevelType w:val="hybridMultilevel"/>
    <w:tmpl w:val="2E668950"/>
    <w:lvl w:ilvl="0" w:tplc="ACD87AF4">
      <w:start w:val="12"/>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3D2E40"/>
    <w:multiLevelType w:val="hybridMultilevel"/>
    <w:tmpl w:val="14961C54"/>
    <w:lvl w:ilvl="0" w:tplc="9E720458">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E16DD9"/>
    <w:multiLevelType w:val="hybridMultilevel"/>
    <w:tmpl w:val="C506311E"/>
    <w:lvl w:ilvl="0" w:tplc="4E5EF8C4">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043F0C"/>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1B0339"/>
    <w:multiLevelType w:val="hybridMultilevel"/>
    <w:tmpl w:val="8506E048"/>
    <w:lvl w:ilvl="0" w:tplc="CF161A16">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26A13"/>
    <w:multiLevelType w:val="hybridMultilevel"/>
    <w:tmpl w:val="EC5E74E0"/>
    <w:lvl w:ilvl="0" w:tplc="5238B5FE">
      <w:start w:val="1"/>
      <w:numFmt w:val="decimal"/>
      <w:lvlText w:val="%1."/>
      <w:lvlJc w:val="left"/>
      <w:pPr>
        <w:ind w:left="720" w:hanging="360"/>
      </w:pPr>
      <w:rPr>
        <w:sz w:val="22"/>
        <w:szCs w:val="24"/>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063A4E"/>
    <w:multiLevelType w:val="hybridMultilevel"/>
    <w:tmpl w:val="25ACA36E"/>
    <w:lvl w:ilvl="0" w:tplc="CE96E0E8">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18163F"/>
    <w:multiLevelType w:val="multilevel"/>
    <w:tmpl w:val="505AFC5A"/>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CB4738"/>
    <w:multiLevelType w:val="hybridMultilevel"/>
    <w:tmpl w:val="7A92BE18"/>
    <w:lvl w:ilvl="0" w:tplc="227C4346">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A7497E"/>
    <w:multiLevelType w:val="hybridMultilevel"/>
    <w:tmpl w:val="43C68276"/>
    <w:lvl w:ilvl="0" w:tplc="18AE45D6">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C351C3"/>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5977527"/>
    <w:multiLevelType w:val="hybridMultilevel"/>
    <w:tmpl w:val="A7D89906"/>
    <w:lvl w:ilvl="0" w:tplc="109A32C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BA67C9"/>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C77D67"/>
    <w:multiLevelType w:val="multilevel"/>
    <w:tmpl w:val="67ACD188"/>
    <w:lvl w:ilvl="0">
      <w:start w:val="2"/>
      <w:numFmt w:val="decimal"/>
      <w:lvlText w:val="%1."/>
      <w:lvlJc w:val="left"/>
      <w:pPr>
        <w:ind w:left="510" w:hanging="510"/>
      </w:pPr>
      <w:rPr>
        <w:rFonts w:hint="default"/>
        <w:b w:val="0"/>
      </w:rPr>
    </w:lvl>
    <w:lvl w:ilvl="1">
      <w:start w:val="2"/>
      <w:numFmt w:val="decimal"/>
      <w:lvlText w:val="%1.%2."/>
      <w:lvlJc w:val="left"/>
      <w:pPr>
        <w:ind w:left="510" w:hanging="51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ED039F2"/>
    <w:multiLevelType w:val="hybridMultilevel"/>
    <w:tmpl w:val="EC5E74E0"/>
    <w:lvl w:ilvl="0" w:tplc="FFFFFFFF">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CC4BF4"/>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F67DDB"/>
    <w:multiLevelType w:val="hybridMultilevel"/>
    <w:tmpl w:val="0B68E4BA"/>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4C45BE"/>
    <w:multiLevelType w:val="hybridMultilevel"/>
    <w:tmpl w:val="A9B63610"/>
    <w:lvl w:ilvl="0" w:tplc="2A1CB75A">
      <w:start w:val="13"/>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80F7376"/>
    <w:multiLevelType w:val="multilevel"/>
    <w:tmpl w:val="4CCA767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A470F26"/>
    <w:multiLevelType w:val="hybridMultilevel"/>
    <w:tmpl w:val="CC7C4FC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4A0B9B"/>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E8C7458"/>
    <w:multiLevelType w:val="multilevel"/>
    <w:tmpl w:val="0A1AE7C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03D5F9B"/>
    <w:multiLevelType w:val="multilevel"/>
    <w:tmpl w:val="53D444FE"/>
    <w:lvl w:ilvl="0">
      <w:start w:val="5"/>
      <w:numFmt w:val="decimal"/>
      <w:lvlText w:val="%1."/>
      <w:lvlJc w:val="left"/>
      <w:pPr>
        <w:ind w:left="360" w:hanging="360"/>
      </w:pPr>
      <w:rPr>
        <w:rFonts w:cs="Times New Roman" w:hint="default"/>
        <w:sz w:val="24"/>
        <w:szCs w:val="24"/>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848A7"/>
    <w:multiLevelType w:val="hybridMultilevel"/>
    <w:tmpl w:val="B8F05A96"/>
    <w:lvl w:ilvl="0" w:tplc="A510C2AA">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9D44463"/>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221596"/>
    <w:multiLevelType w:val="hybridMultilevel"/>
    <w:tmpl w:val="C38A3338"/>
    <w:lvl w:ilvl="0" w:tplc="71F64DC4">
      <w:start w:val="1"/>
      <w:numFmt w:val="bullet"/>
      <w:lvlText w:val=""/>
      <w:lvlJc w:val="left"/>
      <w:pPr>
        <w:ind w:left="720" w:hanging="360"/>
      </w:pPr>
      <w:rPr>
        <w:rFonts w:ascii="Symbol" w:hAnsi="Symbol"/>
      </w:rPr>
    </w:lvl>
    <w:lvl w:ilvl="1" w:tplc="ED209066">
      <w:start w:val="1"/>
      <w:numFmt w:val="bullet"/>
      <w:lvlText w:val=""/>
      <w:lvlJc w:val="left"/>
      <w:pPr>
        <w:ind w:left="720" w:hanging="360"/>
      </w:pPr>
      <w:rPr>
        <w:rFonts w:ascii="Symbol" w:hAnsi="Symbol"/>
      </w:rPr>
    </w:lvl>
    <w:lvl w:ilvl="2" w:tplc="2084E836">
      <w:start w:val="1"/>
      <w:numFmt w:val="bullet"/>
      <w:lvlText w:val=""/>
      <w:lvlJc w:val="left"/>
      <w:pPr>
        <w:ind w:left="720" w:hanging="360"/>
      </w:pPr>
      <w:rPr>
        <w:rFonts w:ascii="Symbol" w:hAnsi="Symbol"/>
      </w:rPr>
    </w:lvl>
    <w:lvl w:ilvl="3" w:tplc="0360DFCE">
      <w:start w:val="1"/>
      <w:numFmt w:val="bullet"/>
      <w:lvlText w:val=""/>
      <w:lvlJc w:val="left"/>
      <w:pPr>
        <w:ind w:left="720" w:hanging="360"/>
      </w:pPr>
      <w:rPr>
        <w:rFonts w:ascii="Symbol" w:hAnsi="Symbol"/>
      </w:rPr>
    </w:lvl>
    <w:lvl w:ilvl="4" w:tplc="754A2B8A">
      <w:start w:val="1"/>
      <w:numFmt w:val="bullet"/>
      <w:lvlText w:val=""/>
      <w:lvlJc w:val="left"/>
      <w:pPr>
        <w:ind w:left="720" w:hanging="360"/>
      </w:pPr>
      <w:rPr>
        <w:rFonts w:ascii="Symbol" w:hAnsi="Symbol"/>
      </w:rPr>
    </w:lvl>
    <w:lvl w:ilvl="5" w:tplc="ADD68938">
      <w:start w:val="1"/>
      <w:numFmt w:val="bullet"/>
      <w:lvlText w:val=""/>
      <w:lvlJc w:val="left"/>
      <w:pPr>
        <w:ind w:left="720" w:hanging="360"/>
      </w:pPr>
      <w:rPr>
        <w:rFonts w:ascii="Symbol" w:hAnsi="Symbol"/>
      </w:rPr>
    </w:lvl>
    <w:lvl w:ilvl="6" w:tplc="88AC9586">
      <w:start w:val="1"/>
      <w:numFmt w:val="bullet"/>
      <w:lvlText w:val=""/>
      <w:lvlJc w:val="left"/>
      <w:pPr>
        <w:ind w:left="720" w:hanging="360"/>
      </w:pPr>
      <w:rPr>
        <w:rFonts w:ascii="Symbol" w:hAnsi="Symbol"/>
      </w:rPr>
    </w:lvl>
    <w:lvl w:ilvl="7" w:tplc="D03E9470">
      <w:start w:val="1"/>
      <w:numFmt w:val="bullet"/>
      <w:lvlText w:val=""/>
      <w:lvlJc w:val="left"/>
      <w:pPr>
        <w:ind w:left="720" w:hanging="360"/>
      </w:pPr>
      <w:rPr>
        <w:rFonts w:ascii="Symbol" w:hAnsi="Symbol"/>
      </w:rPr>
    </w:lvl>
    <w:lvl w:ilvl="8" w:tplc="F866F070">
      <w:start w:val="1"/>
      <w:numFmt w:val="bullet"/>
      <w:lvlText w:val=""/>
      <w:lvlJc w:val="left"/>
      <w:pPr>
        <w:ind w:left="720" w:hanging="360"/>
      </w:pPr>
      <w:rPr>
        <w:rFonts w:ascii="Symbol" w:hAnsi="Symbol"/>
      </w:rPr>
    </w:lvl>
  </w:abstractNum>
  <w:abstractNum w:abstractNumId="56"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72B6070A"/>
    <w:multiLevelType w:val="hybridMultilevel"/>
    <w:tmpl w:val="5978B406"/>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0" w15:restartNumberingAfterBreak="0">
    <w:nsid w:val="74AE057F"/>
    <w:multiLevelType w:val="hybridMultilevel"/>
    <w:tmpl w:val="0FCC4A54"/>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63" w15:restartNumberingAfterBreak="0">
    <w:nsid w:val="786E7851"/>
    <w:multiLevelType w:val="hybridMultilevel"/>
    <w:tmpl w:val="3F1C886C"/>
    <w:lvl w:ilvl="0" w:tplc="B8B452D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8CE54C5"/>
    <w:multiLevelType w:val="multilevel"/>
    <w:tmpl w:val="BAC4821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6" w15:restartNumberingAfterBreak="0">
    <w:nsid w:val="7951683D"/>
    <w:multiLevelType w:val="multilevel"/>
    <w:tmpl w:val="49B4DEF0"/>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7" w15:restartNumberingAfterBreak="0">
    <w:nsid w:val="795633CE"/>
    <w:multiLevelType w:val="hybridMultilevel"/>
    <w:tmpl w:val="2DC2E966"/>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62386E"/>
    <w:multiLevelType w:val="hybridMultilevel"/>
    <w:tmpl w:val="736A47EE"/>
    <w:lvl w:ilvl="0" w:tplc="4C801F88">
      <w:start w:val="32"/>
      <w:numFmt w:val="decimal"/>
      <w:lvlText w:val="%1."/>
      <w:lvlJc w:val="left"/>
      <w:pPr>
        <w:ind w:left="643" w:hanging="360"/>
      </w:pPr>
      <w:rPr>
        <w:rFonts w:cs="Times New Roman" w:hint="default"/>
      </w:rPr>
    </w:lvl>
    <w:lvl w:ilvl="1" w:tplc="D84A16D0">
      <w:start w:val="1"/>
      <w:numFmt w:val="decimal"/>
      <w:lvlText w:val="9.2.%2."/>
      <w:lvlJc w:val="left"/>
      <w:pPr>
        <w:ind w:left="1440" w:hanging="360"/>
      </w:pPr>
      <w:rPr>
        <w:rFonts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hint="default"/>
      </w:rPr>
    </w:lvl>
    <w:lvl w:ilvl="3" w:tplc="CE867F96">
      <w:start w:val="1"/>
      <w:numFmt w:val="decimal"/>
      <w:lvlText w:val="%4."/>
      <w:lvlJc w:val="left"/>
      <w:pPr>
        <w:ind w:left="2880" w:hanging="360"/>
      </w:pPr>
      <w:rPr>
        <w:rFonts w:cs="Times New Roman"/>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CE36BC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891966">
    <w:abstractNumId w:val="69"/>
  </w:num>
  <w:num w:numId="2" w16cid:durableId="1315334189">
    <w:abstractNumId w:val="6"/>
  </w:num>
  <w:num w:numId="3" w16cid:durableId="97333950">
    <w:abstractNumId w:val="49"/>
  </w:num>
  <w:num w:numId="4" w16cid:durableId="1299260828">
    <w:abstractNumId w:val="61"/>
  </w:num>
  <w:num w:numId="5" w16cid:durableId="2122990755">
    <w:abstractNumId w:val="5"/>
  </w:num>
  <w:num w:numId="6" w16cid:durableId="758477838">
    <w:abstractNumId w:val="9"/>
  </w:num>
  <w:num w:numId="7" w16cid:durableId="1426532172">
    <w:abstractNumId w:val="26"/>
  </w:num>
  <w:num w:numId="8" w16cid:durableId="1028607575">
    <w:abstractNumId w:val="11"/>
  </w:num>
  <w:num w:numId="9" w16cid:durableId="1634481588">
    <w:abstractNumId w:val="41"/>
  </w:num>
  <w:num w:numId="10" w16cid:durableId="1897005890">
    <w:abstractNumId w:val="62"/>
  </w:num>
  <w:num w:numId="11" w16cid:durableId="1658729609">
    <w:abstractNumId w:val="14"/>
  </w:num>
  <w:num w:numId="12" w16cid:durableId="1269968479">
    <w:abstractNumId w:val="30"/>
  </w:num>
  <w:num w:numId="13" w16cid:durableId="328676716">
    <w:abstractNumId w:val="10"/>
  </w:num>
  <w:num w:numId="14" w16cid:durableId="156651213">
    <w:abstractNumId w:val="64"/>
  </w:num>
  <w:num w:numId="15" w16cid:durableId="1288509829">
    <w:abstractNumId w:val="23"/>
  </w:num>
  <w:num w:numId="16" w16cid:durableId="448397740">
    <w:abstractNumId w:val="29"/>
  </w:num>
  <w:num w:numId="17" w16cid:durableId="1456558563">
    <w:abstractNumId w:val="39"/>
  </w:num>
  <w:num w:numId="18" w16cid:durableId="1611356553">
    <w:abstractNumId w:val="51"/>
  </w:num>
  <w:num w:numId="19" w16cid:durableId="19596495">
    <w:abstractNumId w:val="67"/>
  </w:num>
  <w:num w:numId="20" w16cid:durableId="1864434445">
    <w:abstractNumId w:val="4"/>
  </w:num>
  <w:num w:numId="21" w16cid:durableId="474880049">
    <w:abstractNumId w:val="37"/>
  </w:num>
  <w:num w:numId="22" w16cid:durableId="2049645170">
    <w:abstractNumId w:val="20"/>
  </w:num>
  <w:num w:numId="23" w16cid:durableId="1835759500">
    <w:abstractNumId w:val="70"/>
  </w:num>
  <w:num w:numId="24" w16cid:durableId="950090499">
    <w:abstractNumId w:val="27"/>
  </w:num>
  <w:num w:numId="25" w16cid:durableId="791021365">
    <w:abstractNumId w:val="31"/>
  </w:num>
  <w:num w:numId="26" w16cid:durableId="1350646603">
    <w:abstractNumId w:val="3"/>
  </w:num>
  <w:num w:numId="27" w16cid:durableId="244997466">
    <w:abstractNumId w:val="40"/>
  </w:num>
  <w:num w:numId="28" w16cid:durableId="1733844241">
    <w:abstractNumId w:val="33"/>
  </w:num>
  <w:num w:numId="29" w16cid:durableId="465706130">
    <w:abstractNumId w:val="57"/>
  </w:num>
  <w:num w:numId="30" w16cid:durableId="286862082">
    <w:abstractNumId w:val="46"/>
  </w:num>
  <w:num w:numId="31" w16cid:durableId="1165626032">
    <w:abstractNumId w:val="13"/>
  </w:num>
  <w:num w:numId="32" w16cid:durableId="862203689">
    <w:abstractNumId w:val="12"/>
  </w:num>
  <w:num w:numId="33" w16cid:durableId="937444195">
    <w:abstractNumId w:val="25"/>
  </w:num>
  <w:num w:numId="34" w16cid:durableId="1738820798">
    <w:abstractNumId w:val="24"/>
  </w:num>
  <w:num w:numId="35" w16cid:durableId="1685937742">
    <w:abstractNumId w:val="47"/>
  </w:num>
  <w:num w:numId="36" w16cid:durableId="1412241726">
    <w:abstractNumId w:val="1"/>
  </w:num>
  <w:num w:numId="37" w16cid:durableId="1643075806">
    <w:abstractNumId w:val="2"/>
  </w:num>
  <w:num w:numId="38" w16cid:durableId="1909728370">
    <w:abstractNumId w:val="28"/>
  </w:num>
  <w:num w:numId="39" w16cid:durableId="235167053">
    <w:abstractNumId w:val="65"/>
  </w:num>
  <w:num w:numId="40" w16cid:durableId="852841138">
    <w:abstractNumId w:val="17"/>
  </w:num>
  <w:num w:numId="41" w16cid:durableId="217518455">
    <w:abstractNumId w:val="66"/>
  </w:num>
  <w:num w:numId="42" w16cid:durableId="1594388808">
    <w:abstractNumId w:val="18"/>
  </w:num>
  <w:num w:numId="43" w16cid:durableId="804659391">
    <w:abstractNumId w:val="7"/>
  </w:num>
  <w:num w:numId="44" w16cid:durableId="1742747410">
    <w:abstractNumId w:val="8"/>
  </w:num>
  <w:num w:numId="45" w16cid:durableId="486438264">
    <w:abstractNumId w:val="22"/>
  </w:num>
  <w:num w:numId="46" w16cid:durableId="912079300">
    <w:abstractNumId w:val="36"/>
  </w:num>
  <w:num w:numId="47" w16cid:durableId="469398847">
    <w:abstractNumId w:val="60"/>
  </w:num>
  <w:num w:numId="48" w16cid:durableId="1094326238">
    <w:abstractNumId w:val="58"/>
  </w:num>
  <w:num w:numId="49" w16cid:durableId="1442603543">
    <w:abstractNumId w:val="43"/>
  </w:num>
  <w:num w:numId="50" w16cid:durableId="2053336794">
    <w:abstractNumId w:val="63"/>
  </w:num>
  <w:num w:numId="51" w16cid:durableId="598221725">
    <w:abstractNumId w:val="56"/>
  </w:num>
  <w:num w:numId="52" w16cid:durableId="719863010">
    <w:abstractNumId w:val="35"/>
  </w:num>
  <w:num w:numId="53" w16cid:durableId="950939391">
    <w:abstractNumId w:val="19"/>
  </w:num>
  <w:num w:numId="54" w16cid:durableId="789471372">
    <w:abstractNumId w:val="52"/>
  </w:num>
  <w:num w:numId="55" w16cid:durableId="483159261">
    <w:abstractNumId w:val="48"/>
  </w:num>
  <w:num w:numId="56" w16cid:durableId="669253865">
    <w:abstractNumId w:val="50"/>
  </w:num>
  <w:num w:numId="57" w16cid:durableId="536890394">
    <w:abstractNumId w:val="54"/>
  </w:num>
  <w:num w:numId="58" w16cid:durableId="1197695666">
    <w:abstractNumId w:val="21"/>
  </w:num>
  <w:num w:numId="59" w16cid:durableId="541747608">
    <w:abstractNumId w:val="15"/>
  </w:num>
  <w:num w:numId="60" w16cid:durableId="1164398583">
    <w:abstractNumId w:val="55"/>
  </w:num>
  <w:num w:numId="61" w16cid:durableId="1318726842">
    <w:abstractNumId w:val="68"/>
  </w:num>
  <w:num w:numId="62" w16cid:durableId="189341952">
    <w:abstractNumId w:val="0"/>
  </w:num>
  <w:num w:numId="63" w16cid:durableId="862665936">
    <w:abstractNumId w:val="45"/>
  </w:num>
  <w:num w:numId="64" w16cid:durableId="865556683">
    <w:abstractNumId w:val="42"/>
  </w:num>
  <w:num w:numId="65" w16cid:durableId="559439200">
    <w:abstractNumId w:val="38"/>
  </w:num>
  <w:num w:numId="66" w16cid:durableId="56645630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31830751">
    <w:abstractNumId w:val="34"/>
  </w:num>
  <w:num w:numId="68" w16cid:durableId="1421563496">
    <w:abstractNumId w:val="32"/>
  </w:num>
  <w:num w:numId="69" w16cid:durableId="54554398">
    <w:abstractNumId w:val="16"/>
  </w:num>
  <w:num w:numId="70" w16cid:durableId="1573586542">
    <w:abstractNumId w:val="53"/>
  </w:num>
  <w:num w:numId="71" w16cid:durableId="1692294006">
    <w:abstractNumId w:val="44"/>
  </w:num>
  <w:num w:numId="72" w16cid:durableId="1287351064">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F2E"/>
    <w:rsid w:val="0000711E"/>
    <w:rsid w:val="00011312"/>
    <w:rsid w:val="00011C7C"/>
    <w:rsid w:val="00011DC0"/>
    <w:rsid w:val="000130C7"/>
    <w:rsid w:val="00013AE8"/>
    <w:rsid w:val="000148DB"/>
    <w:rsid w:val="00014EBD"/>
    <w:rsid w:val="0002046A"/>
    <w:rsid w:val="000217C9"/>
    <w:rsid w:val="00021CD6"/>
    <w:rsid w:val="00024BC2"/>
    <w:rsid w:val="000269CC"/>
    <w:rsid w:val="00026CF2"/>
    <w:rsid w:val="00031CD0"/>
    <w:rsid w:val="00032F5A"/>
    <w:rsid w:val="0003439E"/>
    <w:rsid w:val="00035193"/>
    <w:rsid w:val="00036248"/>
    <w:rsid w:val="00036B5E"/>
    <w:rsid w:val="0004014A"/>
    <w:rsid w:val="00040949"/>
    <w:rsid w:val="000419C7"/>
    <w:rsid w:val="00043721"/>
    <w:rsid w:val="00044EA9"/>
    <w:rsid w:val="00046E80"/>
    <w:rsid w:val="00047A65"/>
    <w:rsid w:val="000511F3"/>
    <w:rsid w:val="00053EEC"/>
    <w:rsid w:val="00060A6F"/>
    <w:rsid w:val="00060C44"/>
    <w:rsid w:val="0006272C"/>
    <w:rsid w:val="00062D23"/>
    <w:rsid w:val="0007227A"/>
    <w:rsid w:val="0007366D"/>
    <w:rsid w:val="00073888"/>
    <w:rsid w:val="00076850"/>
    <w:rsid w:val="00083536"/>
    <w:rsid w:val="0008614D"/>
    <w:rsid w:val="00093CDC"/>
    <w:rsid w:val="0009692B"/>
    <w:rsid w:val="00096A6F"/>
    <w:rsid w:val="000A0860"/>
    <w:rsid w:val="000A1150"/>
    <w:rsid w:val="000A15B5"/>
    <w:rsid w:val="000A29BB"/>
    <w:rsid w:val="000A3EE7"/>
    <w:rsid w:val="000A520A"/>
    <w:rsid w:val="000A579E"/>
    <w:rsid w:val="000C0035"/>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135F"/>
    <w:rsid w:val="001113C8"/>
    <w:rsid w:val="00114759"/>
    <w:rsid w:val="00115C28"/>
    <w:rsid w:val="00116EC9"/>
    <w:rsid w:val="00120AE1"/>
    <w:rsid w:val="00122A1F"/>
    <w:rsid w:val="001310EA"/>
    <w:rsid w:val="00140557"/>
    <w:rsid w:val="00145760"/>
    <w:rsid w:val="00145779"/>
    <w:rsid w:val="00147E6B"/>
    <w:rsid w:val="00154E77"/>
    <w:rsid w:val="00162AE1"/>
    <w:rsid w:val="001642D4"/>
    <w:rsid w:val="00165B32"/>
    <w:rsid w:val="0017166B"/>
    <w:rsid w:val="00171DEF"/>
    <w:rsid w:val="00176BC4"/>
    <w:rsid w:val="0017755F"/>
    <w:rsid w:val="001838EF"/>
    <w:rsid w:val="00185EA1"/>
    <w:rsid w:val="00191402"/>
    <w:rsid w:val="00196366"/>
    <w:rsid w:val="0019660C"/>
    <w:rsid w:val="00197FE8"/>
    <w:rsid w:val="001A4AD2"/>
    <w:rsid w:val="001A648E"/>
    <w:rsid w:val="001B18EE"/>
    <w:rsid w:val="001B5EAC"/>
    <w:rsid w:val="001C04C0"/>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C0A12"/>
    <w:rsid w:val="002C15D9"/>
    <w:rsid w:val="002C71C8"/>
    <w:rsid w:val="002C7694"/>
    <w:rsid w:val="002D555E"/>
    <w:rsid w:val="002D758D"/>
    <w:rsid w:val="002E0BE1"/>
    <w:rsid w:val="002E2E88"/>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1320"/>
    <w:rsid w:val="00362D50"/>
    <w:rsid w:val="00364DF8"/>
    <w:rsid w:val="00371363"/>
    <w:rsid w:val="00371DAA"/>
    <w:rsid w:val="00372204"/>
    <w:rsid w:val="0037237A"/>
    <w:rsid w:val="00374728"/>
    <w:rsid w:val="00382B18"/>
    <w:rsid w:val="003836CB"/>
    <w:rsid w:val="00384CF2"/>
    <w:rsid w:val="00394626"/>
    <w:rsid w:val="003958B8"/>
    <w:rsid w:val="00395E78"/>
    <w:rsid w:val="003A1812"/>
    <w:rsid w:val="003A3385"/>
    <w:rsid w:val="003A4CAD"/>
    <w:rsid w:val="003A7CA0"/>
    <w:rsid w:val="003B4A17"/>
    <w:rsid w:val="003B4FDE"/>
    <w:rsid w:val="003B5B80"/>
    <w:rsid w:val="003B77A6"/>
    <w:rsid w:val="003C0B4C"/>
    <w:rsid w:val="003C57E9"/>
    <w:rsid w:val="003D6102"/>
    <w:rsid w:val="003D6152"/>
    <w:rsid w:val="003D7F64"/>
    <w:rsid w:val="003E5D2A"/>
    <w:rsid w:val="003E61ED"/>
    <w:rsid w:val="003E651D"/>
    <w:rsid w:val="003F2E7F"/>
    <w:rsid w:val="003F3666"/>
    <w:rsid w:val="0040437E"/>
    <w:rsid w:val="00405253"/>
    <w:rsid w:val="0040572D"/>
    <w:rsid w:val="0041057A"/>
    <w:rsid w:val="00410681"/>
    <w:rsid w:val="00411476"/>
    <w:rsid w:val="0041206E"/>
    <w:rsid w:val="004133D1"/>
    <w:rsid w:val="00415D6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CB4"/>
    <w:rsid w:val="00466681"/>
    <w:rsid w:val="00472BC4"/>
    <w:rsid w:val="0048142A"/>
    <w:rsid w:val="004821AB"/>
    <w:rsid w:val="00482D34"/>
    <w:rsid w:val="004856E9"/>
    <w:rsid w:val="00485A1C"/>
    <w:rsid w:val="004903EE"/>
    <w:rsid w:val="004942F0"/>
    <w:rsid w:val="00496A69"/>
    <w:rsid w:val="004A040E"/>
    <w:rsid w:val="004B12EB"/>
    <w:rsid w:val="004B17A8"/>
    <w:rsid w:val="004B2F3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41FB"/>
    <w:rsid w:val="004F2907"/>
    <w:rsid w:val="004F435A"/>
    <w:rsid w:val="004F541F"/>
    <w:rsid w:val="004F644E"/>
    <w:rsid w:val="00500B08"/>
    <w:rsid w:val="00504474"/>
    <w:rsid w:val="0050458C"/>
    <w:rsid w:val="00504ADD"/>
    <w:rsid w:val="005101DA"/>
    <w:rsid w:val="00515E3C"/>
    <w:rsid w:val="005224F1"/>
    <w:rsid w:val="005253A0"/>
    <w:rsid w:val="005267FE"/>
    <w:rsid w:val="0052745F"/>
    <w:rsid w:val="00527A5D"/>
    <w:rsid w:val="0053249C"/>
    <w:rsid w:val="00532797"/>
    <w:rsid w:val="00535098"/>
    <w:rsid w:val="00541136"/>
    <w:rsid w:val="00541770"/>
    <w:rsid w:val="0054422C"/>
    <w:rsid w:val="005510AD"/>
    <w:rsid w:val="00554F3F"/>
    <w:rsid w:val="00560300"/>
    <w:rsid w:val="005611A2"/>
    <w:rsid w:val="00561EDB"/>
    <w:rsid w:val="00563C11"/>
    <w:rsid w:val="00566F93"/>
    <w:rsid w:val="0056759E"/>
    <w:rsid w:val="00572281"/>
    <w:rsid w:val="00572530"/>
    <w:rsid w:val="00574FA9"/>
    <w:rsid w:val="00575D30"/>
    <w:rsid w:val="00580BD7"/>
    <w:rsid w:val="00582935"/>
    <w:rsid w:val="00585BB5"/>
    <w:rsid w:val="00586D37"/>
    <w:rsid w:val="0059548E"/>
    <w:rsid w:val="005A3561"/>
    <w:rsid w:val="005A776A"/>
    <w:rsid w:val="005B1DBD"/>
    <w:rsid w:val="005B5896"/>
    <w:rsid w:val="005B5BA3"/>
    <w:rsid w:val="005B671F"/>
    <w:rsid w:val="005B7AE2"/>
    <w:rsid w:val="005C1DC1"/>
    <w:rsid w:val="005C76A1"/>
    <w:rsid w:val="005C7789"/>
    <w:rsid w:val="005D2927"/>
    <w:rsid w:val="005D6623"/>
    <w:rsid w:val="005E2233"/>
    <w:rsid w:val="005E44CA"/>
    <w:rsid w:val="005F1482"/>
    <w:rsid w:val="005F4523"/>
    <w:rsid w:val="005F4528"/>
    <w:rsid w:val="005F7C47"/>
    <w:rsid w:val="005F7DBA"/>
    <w:rsid w:val="005F7E46"/>
    <w:rsid w:val="006001D8"/>
    <w:rsid w:val="006003CE"/>
    <w:rsid w:val="006033B6"/>
    <w:rsid w:val="00612F1D"/>
    <w:rsid w:val="0061496F"/>
    <w:rsid w:val="00626623"/>
    <w:rsid w:val="00626646"/>
    <w:rsid w:val="00627D89"/>
    <w:rsid w:val="00630760"/>
    <w:rsid w:val="00632C92"/>
    <w:rsid w:val="00635B86"/>
    <w:rsid w:val="006376CF"/>
    <w:rsid w:val="00640EEC"/>
    <w:rsid w:val="0064141C"/>
    <w:rsid w:val="00642281"/>
    <w:rsid w:val="00645C56"/>
    <w:rsid w:val="00650425"/>
    <w:rsid w:val="006549C7"/>
    <w:rsid w:val="0065528C"/>
    <w:rsid w:val="00657469"/>
    <w:rsid w:val="0066145D"/>
    <w:rsid w:val="00665DAB"/>
    <w:rsid w:val="00671F0B"/>
    <w:rsid w:val="00673DA1"/>
    <w:rsid w:val="00674429"/>
    <w:rsid w:val="006758B1"/>
    <w:rsid w:val="00675CAB"/>
    <w:rsid w:val="006760F4"/>
    <w:rsid w:val="00677D8C"/>
    <w:rsid w:val="00680B05"/>
    <w:rsid w:val="00680E53"/>
    <w:rsid w:val="00681232"/>
    <w:rsid w:val="00682B6A"/>
    <w:rsid w:val="00683835"/>
    <w:rsid w:val="0068510D"/>
    <w:rsid w:val="006851CC"/>
    <w:rsid w:val="00685B3D"/>
    <w:rsid w:val="00691C49"/>
    <w:rsid w:val="00693385"/>
    <w:rsid w:val="00696152"/>
    <w:rsid w:val="006962D5"/>
    <w:rsid w:val="00696C10"/>
    <w:rsid w:val="006A4D36"/>
    <w:rsid w:val="006A61EC"/>
    <w:rsid w:val="006B3EF7"/>
    <w:rsid w:val="006B549D"/>
    <w:rsid w:val="006B6E95"/>
    <w:rsid w:val="006C20F0"/>
    <w:rsid w:val="006C5926"/>
    <w:rsid w:val="006D6710"/>
    <w:rsid w:val="006E3A1E"/>
    <w:rsid w:val="006E67BE"/>
    <w:rsid w:val="006F2058"/>
    <w:rsid w:val="0070203B"/>
    <w:rsid w:val="00702712"/>
    <w:rsid w:val="00705439"/>
    <w:rsid w:val="00705EF8"/>
    <w:rsid w:val="0071103C"/>
    <w:rsid w:val="00715FBC"/>
    <w:rsid w:val="00724EEA"/>
    <w:rsid w:val="00726C78"/>
    <w:rsid w:val="007375B5"/>
    <w:rsid w:val="00747AB3"/>
    <w:rsid w:val="0075021D"/>
    <w:rsid w:val="00753A38"/>
    <w:rsid w:val="00772A6D"/>
    <w:rsid w:val="00776943"/>
    <w:rsid w:val="00783C49"/>
    <w:rsid w:val="00793FD2"/>
    <w:rsid w:val="007958F2"/>
    <w:rsid w:val="00797319"/>
    <w:rsid w:val="007A1A4C"/>
    <w:rsid w:val="007A2D33"/>
    <w:rsid w:val="007A33D2"/>
    <w:rsid w:val="007B1F38"/>
    <w:rsid w:val="007B58AC"/>
    <w:rsid w:val="007B64A4"/>
    <w:rsid w:val="007D26FA"/>
    <w:rsid w:val="007D2F4C"/>
    <w:rsid w:val="007D427C"/>
    <w:rsid w:val="007D430F"/>
    <w:rsid w:val="007D5314"/>
    <w:rsid w:val="007E0A37"/>
    <w:rsid w:val="007E1A2B"/>
    <w:rsid w:val="007E6831"/>
    <w:rsid w:val="007F26FA"/>
    <w:rsid w:val="007F4D77"/>
    <w:rsid w:val="0080067C"/>
    <w:rsid w:val="00801AF1"/>
    <w:rsid w:val="00801F94"/>
    <w:rsid w:val="00806F18"/>
    <w:rsid w:val="00810FC6"/>
    <w:rsid w:val="00811229"/>
    <w:rsid w:val="00812967"/>
    <w:rsid w:val="00813DE8"/>
    <w:rsid w:val="00814C2E"/>
    <w:rsid w:val="0081651F"/>
    <w:rsid w:val="00823CBD"/>
    <w:rsid w:val="00823E2F"/>
    <w:rsid w:val="00824A3F"/>
    <w:rsid w:val="00826C1E"/>
    <w:rsid w:val="00831004"/>
    <w:rsid w:val="008316B2"/>
    <w:rsid w:val="0083212C"/>
    <w:rsid w:val="008322F9"/>
    <w:rsid w:val="0083261E"/>
    <w:rsid w:val="0083365F"/>
    <w:rsid w:val="00834BE7"/>
    <w:rsid w:val="00836DA8"/>
    <w:rsid w:val="0083790D"/>
    <w:rsid w:val="00840430"/>
    <w:rsid w:val="00840946"/>
    <w:rsid w:val="008439CA"/>
    <w:rsid w:val="00845558"/>
    <w:rsid w:val="0085132F"/>
    <w:rsid w:val="0085249D"/>
    <w:rsid w:val="00853364"/>
    <w:rsid w:val="00853E82"/>
    <w:rsid w:val="008608D8"/>
    <w:rsid w:val="0086159D"/>
    <w:rsid w:val="00871B7B"/>
    <w:rsid w:val="00873C79"/>
    <w:rsid w:val="00876C00"/>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2C4C"/>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904EDF"/>
    <w:rsid w:val="0090572D"/>
    <w:rsid w:val="00906597"/>
    <w:rsid w:val="0091191F"/>
    <w:rsid w:val="009142D4"/>
    <w:rsid w:val="009208F5"/>
    <w:rsid w:val="00920D38"/>
    <w:rsid w:val="00922979"/>
    <w:rsid w:val="009252BB"/>
    <w:rsid w:val="00934301"/>
    <w:rsid w:val="00937DA7"/>
    <w:rsid w:val="0094653C"/>
    <w:rsid w:val="00950726"/>
    <w:rsid w:val="00950826"/>
    <w:rsid w:val="00950C2D"/>
    <w:rsid w:val="00952017"/>
    <w:rsid w:val="00952D48"/>
    <w:rsid w:val="00954EE9"/>
    <w:rsid w:val="009553E1"/>
    <w:rsid w:val="00956B6A"/>
    <w:rsid w:val="0096319A"/>
    <w:rsid w:val="00971D81"/>
    <w:rsid w:val="00977230"/>
    <w:rsid w:val="00981440"/>
    <w:rsid w:val="00981C91"/>
    <w:rsid w:val="00982575"/>
    <w:rsid w:val="009851A9"/>
    <w:rsid w:val="00987550"/>
    <w:rsid w:val="00995F8C"/>
    <w:rsid w:val="00996FC7"/>
    <w:rsid w:val="009B5257"/>
    <w:rsid w:val="009B5833"/>
    <w:rsid w:val="009C3537"/>
    <w:rsid w:val="009C4B7F"/>
    <w:rsid w:val="009C5B7A"/>
    <w:rsid w:val="009D12DB"/>
    <w:rsid w:val="009D1D69"/>
    <w:rsid w:val="009D2F70"/>
    <w:rsid w:val="009D36E8"/>
    <w:rsid w:val="009D6182"/>
    <w:rsid w:val="009D75CC"/>
    <w:rsid w:val="009E060C"/>
    <w:rsid w:val="009E1CFF"/>
    <w:rsid w:val="009E43F6"/>
    <w:rsid w:val="009E668E"/>
    <w:rsid w:val="009F0D97"/>
    <w:rsid w:val="009F0EA7"/>
    <w:rsid w:val="009F19B7"/>
    <w:rsid w:val="009F2862"/>
    <w:rsid w:val="009F365E"/>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87D97"/>
    <w:rsid w:val="00A90340"/>
    <w:rsid w:val="00A927F6"/>
    <w:rsid w:val="00A93F2D"/>
    <w:rsid w:val="00A96B21"/>
    <w:rsid w:val="00AA3599"/>
    <w:rsid w:val="00AA450C"/>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826E0"/>
    <w:rsid w:val="00B93532"/>
    <w:rsid w:val="00B93E65"/>
    <w:rsid w:val="00BA2201"/>
    <w:rsid w:val="00BA452A"/>
    <w:rsid w:val="00BA59DE"/>
    <w:rsid w:val="00BA7D54"/>
    <w:rsid w:val="00BB3785"/>
    <w:rsid w:val="00BB5DB1"/>
    <w:rsid w:val="00BB5EB0"/>
    <w:rsid w:val="00BB5F0A"/>
    <w:rsid w:val="00BC001B"/>
    <w:rsid w:val="00BC6A4B"/>
    <w:rsid w:val="00BD1186"/>
    <w:rsid w:val="00BD11FD"/>
    <w:rsid w:val="00BD461E"/>
    <w:rsid w:val="00BD4E9D"/>
    <w:rsid w:val="00BD5AB6"/>
    <w:rsid w:val="00BD67F7"/>
    <w:rsid w:val="00BE1FD3"/>
    <w:rsid w:val="00BE584E"/>
    <w:rsid w:val="00BE6728"/>
    <w:rsid w:val="00BF0F53"/>
    <w:rsid w:val="00BF12AD"/>
    <w:rsid w:val="00BF2FD1"/>
    <w:rsid w:val="00C0333B"/>
    <w:rsid w:val="00C04F0A"/>
    <w:rsid w:val="00C068D4"/>
    <w:rsid w:val="00C1174F"/>
    <w:rsid w:val="00C13631"/>
    <w:rsid w:val="00C17749"/>
    <w:rsid w:val="00C21B1A"/>
    <w:rsid w:val="00C23589"/>
    <w:rsid w:val="00C23935"/>
    <w:rsid w:val="00C254C3"/>
    <w:rsid w:val="00C30AC5"/>
    <w:rsid w:val="00C3412D"/>
    <w:rsid w:val="00C4138B"/>
    <w:rsid w:val="00C44900"/>
    <w:rsid w:val="00C46758"/>
    <w:rsid w:val="00C47343"/>
    <w:rsid w:val="00C526A1"/>
    <w:rsid w:val="00C55368"/>
    <w:rsid w:val="00C5580F"/>
    <w:rsid w:val="00C570A6"/>
    <w:rsid w:val="00C5786F"/>
    <w:rsid w:val="00C61BB5"/>
    <w:rsid w:val="00C705A2"/>
    <w:rsid w:val="00C7791E"/>
    <w:rsid w:val="00C848AF"/>
    <w:rsid w:val="00C91729"/>
    <w:rsid w:val="00C96128"/>
    <w:rsid w:val="00C97CCD"/>
    <w:rsid w:val="00CA00F7"/>
    <w:rsid w:val="00CA29E9"/>
    <w:rsid w:val="00CA3BDF"/>
    <w:rsid w:val="00CB328A"/>
    <w:rsid w:val="00CB46AD"/>
    <w:rsid w:val="00CC0880"/>
    <w:rsid w:val="00CC0B67"/>
    <w:rsid w:val="00CC5E3D"/>
    <w:rsid w:val="00CC6A98"/>
    <w:rsid w:val="00CC6E6C"/>
    <w:rsid w:val="00CC7E35"/>
    <w:rsid w:val="00CC7FB5"/>
    <w:rsid w:val="00CD138F"/>
    <w:rsid w:val="00CD2DF9"/>
    <w:rsid w:val="00CD5597"/>
    <w:rsid w:val="00CE123A"/>
    <w:rsid w:val="00CE76D6"/>
    <w:rsid w:val="00CF0985"/>
    <w:rsid w:val="00CF1F8D"/>
    <w:rsid w:val="00CF2757"/>
    <w:rsid w:val="00CF2894"/>
    <w:rsid w:val="00CF2EE9"/>
    <w:rsid w:val="00D00AB1"/>
    <w:rsid w:val="00D04690"/>
    <w:rsid w:val="00D07B97"/>
    <w:rsid w:val="00D14A08"/>
    <w:rsid w:val="00D163C0"/>
    <w:rsid w:val="00D21618"/>
    <w:rsid w:val="00D23413"/>
    <w:rsid w:val="00D26A5C"/>
    <w:rsid w:val="00D26A6A"/>
    <w:rsid w:val="00D270E6"/>
    <w:rsid w:val="00D27C44"/>
    <w:rsid w:val="00D31A7C"/>
    <w:rsid w:val="00D32153"/>
    <w:rsid w:val="00D340D2"/>
    <w:rsid w:val="00D34DE7"/>
    <w:rsid w:val="00D35426"/>
    <w:rsid w:val="00D40C22"/>
    <w:rsid w:val="00D41805"/>
    <w:rsid w:val="00D42B65"/>
    <w:rsid w:val="00D45854"/>
    <w:rsid w:val="00D5255D"/>
    <w:rsid w:val="00D54797"/>
    <w:rsid w:val="00D626CD"/>
    <w:rsid w:val="00D6419D"/>
    <w:rsid w:val="00D6649F"/>
    <w:rsid w:val="00D6795C"/>
    <w:rsid w:val="00D71A7D"/>
    <w:rsid w:val="00D80F67"/>
    <w:rsid w:val="00D82578"/>
    <w:rsid w:val="00D84E6B"/>
    <w:rsid w:val="00D862A9"/>
    <w:rsid w:val="00D874FE"/>
    <w:rsid w:val="00D91303"/>
    <w:rsid w:val="00D96F17"/>
    <w:rsid w:val="00DA2D7D"/>
    <w:rsid w:val="00DA7188"/>
    <w:rsid w:val="00DA74EC"/>
    <w:rsid w:val="00DA7EBC"/>
    <w:rsid w:val="00DC266B"/>
    <w:rsid w:val="00DC3DE7"/>
    <w:rsid w:val="00DC4E39"/>
    <w:rsid w:val="00DD0EBA"/>
    <w:rsid w:val="00DD2523"/>
    <w:rsid w:val="00DD4D49"/>
    <w:rsid w:val="00DE0828"/>
    <w:rsid w:val="00DE1C25"/>
    <w:rsid w:val="00DE398F"/>
    <w:rsid w:val="00DE6179"/>
    <w:rsid w:val="00DE6427"/>
    <w:rsid w:val="00DF18DA"/>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514FE"/>
    <w:rsid w:val="00E56018"/>
    <w:rsid w:val="00E56E25"/>
    <w:rsid w:val="00E56F73"/>
    <w:rsid w:val="00E60F14"/>
    <w:rsid w:val="00E6198E"/>
    <w:rsid w:val="00E62A58"/>
    <w:rsid w:val="00E65462"/>
    <w:rsid w:val="00E66F4B"/>
    <w:rsid w:val="00E70C6F"/>
    <w:rsid w:val="00E734B7"/>
    <w:rsid w:val="00E74C9E"/>
    <w:rsid w:val="00E75A6B"/>
    <w:rsid w:val="00E82D0C"/>
    <w:rsid w:val="00E907C7"/>
    <w:rsid w:val="00E95952"/>
    <w:rsid w:val="00E95D2A"/>
    <w:rsid w:val="00EA4047"/>
    <w:rsid w:val="00EA488B"/>
    <w:rsid w:val="00EA64AF"/>
    <w:rsid w:val="00EA78B4"/>
    <w:rsid w:val="00EB140C"/>
    <w:rsid w:val="00EB1BCB"/>
    <w:rsid w:val="00EB3729"/>
    <w:rsid w:val="00EB78B8"/>
    <w:rsid w:val="00EC0370"/>
    <w:rsid w:val="00EC2273"/>
    <w:rsid w:val="00EC2C74"/>
    <w:rsid w:val="00EC7B2C"/>
    <w:rsid w:val="00ED16F9"/>
    <w:rsid w:val="00ED4552"/>
    <w:rsid w:val="00ED7E44"/>
    <w:rsid w:val="00EE32FC"/>
    <w:rsid w:val="00EE512B"/>
    <w:rsid w:val="00EE6DEA"/>
    <w:rsid w:val="00EE771B"/>
    <w:rsid w:val="00EF0EE7"/>
    <w:rsid w:val="00F00912"/>
    <w:rsid w:val="00F02E15"/>
    <w:rsid w:val="00F05BB6"/>
    <w:rsid w:val="00F12143"/>
    <w:rsid w:val="00F157FC"/>
    <w:rsid w:val="00F21F2C"/>
    <w:rsid w:val="00F25DB0"/>
    <w:rsid w:val="00F31550"/>
    <w:rsid w:val="00F33CF7"/>
    <w:rsid w:val="00F342B0"/>
    <w:rsid w:val="00F36A78"/>
    <w:rsid w:val="00F36B7E"/>
    <w:rsid w:val="00F40B9F"/>
    <w:rsid w:val="00F40D48"/>
    <w:rsid w:val="00F416ED"/>
    <w:rsid w:val="00F4186F"/>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8F8"/>
    <w:rsid w:val="00FA5F80"/>
    <w:rsid w:val="00FA615E"/>
    <w:rsid w:val="00FA7A75"/>
    <w:rsid w:val="00FB35A5"/>
    <w:rsid w:val="00FB685A"/>
    <w:rsid w:val="00FB75E0"/>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12"/>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13"/>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0">
    <w:name w:val="Grid Table 4 - Accent 120"/>
    <w:basedOn w:val="TableNormal"/>
    <w:next w:val="GridTable4-Accent1"/>
    <w:uiPriority w:val="49"/>
    <w:rsid w:val="0065042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1">
    <w:name w:val="Grid Table 4 - Accent 121"/>
    <w:basedOn w:val="TableNormal"/>
    <w:next w:val="GridTable4-Accent1"/>
    <w:uiPriority w:val="49"/>
    <w:rsid w:val="00415D61"/>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
    <w:name w:val="Table Grid3"/>
    <w:basedOn w:val="TableNormal"/>
    <w:next w:val="TableGrid"/>
    <w:uiPriority w:val="39"/>
    <w:rsid w:val="00C5786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E651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B826E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hyperlink" Target="https://www.cpva.lt/en/corruption-prevention/4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ublicprocurement@cpva.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registration-of-economic-operators-in-cvp-i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2A5CA9532C457AA043042E024C7CBD"/>
        <w:category>
          <w:name w:val="General"/>
          <w:gallery w:val="placeholder"/>
        </w:category>
        <w:types>
          <w:type w:val="bbPlcHdr"/>
        </w:types>
        <w:behaviors>
          <w:behavior w:val="content"/>
        </w:behaviors>
        <w:guid w:val="{D2B4CF59-7DBB-4EBC-A2B8-2EC3D0CEAAAE}"/>
      </w:docPartPr>
      <w:docPartBody>
        <w:p w:rsidR="00397712" w:rsidRDefault="00397712" w:rsidP="00397712">
          <w:pPr>
            <w:pStyle w:val="172A5CA9532C457AA043042E024C7CBD"/>
          </w:pPr>
          <w:r w:rsidRPr="00DD18F9">
            <w:rPr>
              <w:rStyle w:val="PlaceholderText"/>
              <w:i/>
              <w:iCs/>
              <w:highlight w:val="darkGray"/>
            </w:rPr>
            <w:t>Select</w:t>
          </w:r>
        </w:p>
      </w:docPartBody>
    </w:docPart>
    <w:docPart>
      <w:docPartPr>
        <w:name w:val="1D27A806F0C5472182F019957C043870"/>
        <w:category>
          <w:name w:val="General"/>
          <w:gallery w:val="placeholder"/>
        </w:category>
        <w:types>
          <w:type w:val="bbPlcHdr"/>
        </w:types>
        <w:behaviors>
          <w:behavior w:val="content"/>
        </w:behaviors>
        <w:guid w:val="{368EFAD4-BCE4-4C42-AD5D-4BE725AA3B01}"/>
      </w:docPartPr>
      <w:docPartBody>
        <w:p w:rsidR="00397712" w:rsidRDefault="00397712" w:rsidP="00397712">
          <w:pPr>
            <w:pStyle w:val="1D27A806F0C5472182F019957C043870"/>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F59FE"/>
    <w:rsid w:val="00176BC4"/>
    <w:rsid w:val="002B0F72"/>
    <w:rsid w:val="002E2E88"/>
    <w:rsid w:val="002F0E09"/>
    <w:rsid w:val="003011E5"/>
    <w:rsid w:val="00325176"/>
    <w:rsid w:val="00384CF2"/>
    <w:rsid w:val="00397712"/>
    <w:rsid w:val="003C71C5"/>
    <w:rsid w:val="003F3666"/>
    <w:rsid w:val="00411156"/>
    <w:rsid w:val="00452F7A"/>
    <w:rsid w:val="0046121B"/>
    <w:rsid w:val="004C5E2A"/>
    <w:rsid w:val="004E41FB"/>
    <w:rsid w:val="005253A0"/>
    <w:rsid w:val="00554F3F"/>
    <w:rsid w:val="00563C11"/>
    <w:rsid w:val="005B5DB7"/>
    <w:rsid w:val="005F7C47"/>
    <w:rsid w:val="005F7FF8"/>
    <w:rsid w:val="008316B2"/>
    <w:rsid w:val="00853364"/>
    <w:rsid w:val="008C003E"/>
    <w:rsid w:val="0090572D"/>
    <w:rsid w:val="0091191F"/>
    <w:rsid w:val="009158D4"/>
    <w:rsid w:val="00956B6A"/>
    <w:rsid w:val="009B5833"/>
    <w:rsid w:val="00A47AC0"/>
    <w:rsid w:val="00A56ECC"/>
    <w:rsid w:val="00A75378"/>
    <w:rsid w:val="00AF5361"/>
    <w:rsid w:val="00BA452A"/>
    <w:rsid w:val="00BB3785"/>
    <w:rsid w:val="00BD67F7"/>
    <w:rsid w:val="00C46758"/>
    <w:rsid w:val="00C7791E"/>
    <w:rsid w:val="00CF0985"/>
    <w:rsid w:val="00D14A08"/>
    <w:rsid w:val="00D6419D"/>
    <w:rsid w:val="00D6649F"/>
    <w:rsid w:val="00E70C6F"/>
    <w:rsid w:val="00FB7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712"/>
    <w:rPr>
      <w:color w:val="808080"/>
    </w:rPr>
  </w:style>
  <w:style w:type="paragraph" w:customStyle="1" w:styleId="172A5CA9532C457AA043042E024C7CBD">
    <w:name w:val="172A5CA9532C457AA043042E024C7CBD"/>
    <w:rsid w:val="00397712"/>
  </w:style>
  <w:style w:type="paragraph" w:customStyle="1" w:styleId="1D27A806F0C5472182F019957C043870">
    <w:name w:val="1D27A806F0C5472182F019957C043870"/>
    <w:rsid w:val="0039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90B2ABA-72CC-4B56-817B-1B3516936FC8}"/>
</file>

<file path=customXml/itemProps2.xml><?xml version="1.0" encoding="utf-8"?>
<ds:datastoreItem xmlns:ds="http://schemas.openxmlformats.org/officeDocument/2006/customXml" ds:itemID="{F8FD0092-7EB0-41FA-A5C0-F68524333EC4}"/>
</file>

<file path=customXml/itemProps3.xml><?xml version="1.0" encoding="utf-8"?>
<ds:datastoreItem xmlns:ds="http://schemas.openxmlformats.org/officeDocument/2006/customXml" ds:itemID="{6B180F54-776B-4B2A-9EE0-89FF7C03B4F1}"/>
</file>

<file path=customXml/itemProps4.xml><?xml version="1.0" encoding="utf-8"?>
<ds:datastoreItem xmlns:ds="http://schemas.openxmlformats.org/officeDocument/2006/customXml" ds:itemID="{3B20DFDF-A9F4-4579-9FA6-196E5E561B0B}"/>
</file>

<file path=docProps/app.xml><?xml version="1.0" encoding="utf-8"?>
<Properties xmlns="http://schemas.openxmlformats.org/officeDocument/2006/extended-properties" xmlns:vt="http://schemas.openxmlformats.org/officeDocument/2006/docPropsVTypes">
  <Template>Normal</Template>
  <TotalTime>40</TotalTime>
  <Pages>29</Pages>
  <Words>41813</Words>
  <Characters>23834</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25</cp:revision>
  <dcterms:created xsi:type="dcterms:W3CDTF">2024-12-02T12:22:00Z</dcterms:created>
  <dcterms:modified xsi:type="dcterms:W3CDTF">2024-12-03T14:51:00Z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Simaitė;#273;#Dalia Vinklerė;#1232;#Rytis Misiūnas</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