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A3C5" w14:textId="77777777" w:rsidR="009A0A5B" w:rsidRDefault="009A0A5B" w:rsidP="009A0A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VšĮ Šeškinės poliklinikos planuojamo pirkimo „</w:t>
      </w:r>
      <w:r w:rsidRPr="00F304E4">
        <w:rPr>
          <w:rFonts w:ascii="Times New Roman" w:hAnsi="Times New Roman" w:cs="Times New Roman"/>
          <w:b/>
          <w:bCs/>
          <w:sz w:val="24"/>
          <w:szCs w:val="24"/>
        </w:rPr>
        <w:t>ŠP-71909 Reagentai, medžiagos ir papildomos priemonės kraujo krešėjimo tyrimams atlikti su medicininės įrangos panauda</w:t>
      </w:r>
      <w:r>
        <w:rPr>
          <w:rFonts w:ascii="Times New Roman" w:hAnsi="Times New Roman" w:cs="Times New Roman"/>
          <w:b/>
          <w:bCs/>
          <w:sz w:val="24"/>
          <w:szCs w:val="24"/>
        </w:rPr>
        <w:t xml:space="preserve">“ techninės specifikacijos projektas (CVP IS ID </w:t>
      </w:r>
      <w:r w:rsidRPr="00626AB6">
        <w:rPr>
          <w:rFonts w:ascii="Times New Roman" w:hAnsi="Times New Roman" w:cs="Times New Roman"/>
          <w:b/>
          <w:bCs/>
          <w:sz w:val="24"/>
          <w:szCs w:val="24"/>
        </w:rPr>
        <w:t>1564759</w:t>
      </w:r>
      <w:r>
        <w:rPr>
          <w:rFonts w:ascii="Times New Roman" w:hAnsi="Times New Roman" w:cs="Times New Roman"/>
          <w:b/>
          <w:bCs/>
          <w:sz w:val="24"/>
          <w:szCs w:val="24"/>
        </w:rPr>
        <w:t>)</w:t>
      </w:r>
    </w:p>
    <w:p w14:paraId="65409FEB" w14:textId="77777777" w:rsidR="009A0A5B" w:rsidRDefault="009A0A5B" w:rsidP="009A0A5B">
      <w:pPr>
        <w:spacing w:after="0" w:line="240" w:lineRule="auto"/>
        <w:jc w:val="center"/>
        <w:rPr>
          <w:rFonts w:ascii="Times New Roman" w:hAnsi="Times New Roman" w:cs="Times New Roman"/>
          <w:b/>
          <w:bCs/>
          <w:sz w:val="24"/>
          <w:szCs w:val="24"/>
        </w:rPr>
      </w:pPr>
    </w:p>
    <w:p w14:paraId="7B43F52D" w14:textId="77777777" w:rsidR="009A0A5B" w:rsidRDefault="009A0A5B" w:rsidP="009A0A5B"/>
    <w:p w14:paraId="7921B462" w14:textId="77777777" w:rsidR="009A0A5B" w:rsidRPr="005125FB" w:rsidRDefault="009A0A5B" w:rsidP="009A0A5B">
      <w:pPr>
        <w:spacing w:after="0"/>
        <w:ind w:firstLine="284"/>
        <w:jc w:val="both"/>
        <w:rPr>
          <w:rFonts w:ascii="Times New Roman" w:hAnsi="Times New Roman" w:cs="Times New Roman"/>
          <w:sz w:val="24"/>
          <w:szCs w:val="24"/>
        </w:rPr>
      </w:pPr>
      <w:r w:rsidRPr="005125FB">
        <w:rPr>
          <w:rFonts w:ascii="Times New Roman" w:hAnsi="Times New Roman" w:cs="Times New Roman"/>
          <w:b/>
          <w:bCs/>
          <w:sz w:val="24"/>
          <w:szCs w:val="24"/>
        </w:rPr>
        <w:t xml:space="preserve">Gauti tiekėjų pasiūlymai / klausimai / pastabos dėl planuojamo pirkimo </w:t>
      </w:r>
      <w:r>
        <w:rPr>
          <w:rFonts w:ascii="Times New Roman" w:hAnsi="Times New Roman" w:cs="Times New Roman"/>
          <w:b/>
          <w:bCs/>
          <w:sz w:val="24"/>
          <w:szCs w:val="24"/>
        </w:rPr>
        <w:t xml:space="preserve">techninės specifikacijos </w:t>
      </w:r>
      <w:r w:rsidRPr="005125FB">
        <w:rPr>
          <w:rFonts w:ascii="Times New Roman" w:hAnsi="Times New Roman" w:cs="Times New Roman"/>
          <w:b/>
          <w:bCs/>
          <w:sz w:val="24"/>
          <w:szCs w:val="24"/>
        </w:rPr>
        <w:t>projekto</w:t>
      </w:r>
      <w:r>
        <w:rPr>
          <w:rFonts w:ascii="Times New Roman" w:hAnsi="Times New Roman" w:cs="Times New Roman"/>
          <w:b/>
          <w:bCs/>
          <w:sz w:val="24"/>
          <w:szCs w:val="24"/>
        </w:rPr>
        <w:t xml:space="preserve">. </w:t>
      </w:r>
      <w:r w:rsidRPr="005125FB">
        <w:rPr>
          <w:rFonts w:ascii="Times New Roman" w:hAnsi="Times New Roman" w:cs="Times New Roman"/>
          <w:sz w:val="24"/>
          <w:szCs w:val="24"/>
        </w:rPr>
        <w:t xml:space="preserve">Žemiau atskirai pasisakome dėl visų rinkos konsultacijos metu gautų tiekėjų rekomendacijų koreguoti </w:t>
      </w:r>
      <w:r>
        <w:rPr>
          <w:rFonts w:ascii="Times New Roman" w:hAnsi="Times New Roman" w:cs="Times New Roman"/>
          <w:sz w:val="24"/>
          <w:szCs w:val="24"/>
        </w:rPr>
        <w:t>techninės specifikacijos</w:t>
      </w:r>
      <w:r w:rsidRPr="005125FB">
        <w:rPr>
          <w:rFonts w:ascii="Times New Roman" w:hAnsi="Times New Roman" w:cs="Times New Roman"/>
          <w:sz w:val="24"/>
          <w:szCs w:val="24"/>
        </w:rPr>
        <w:t xml:space="preserve"> reikalavimus</w:t>
      </w:r>
      <w:r>
        <w:rPr>
          <w:rFonts w:ascii="Times New Roman" w:hAnsi="Times New Roman" w:cs="Times New Roman"/>
          <w:sz w:val="24"/>
          <w:szCs w:val="24"/>
        </w:rPr>
        <w:t>:</w:t>
      </w:r>
    </w:p>
    <w:p w14:paraId="1D120951" w14:textId="77777777" w:rsidR="009A0A5B" w:rsidRPr="005125FB" w:rsidRDefault="009A0A5B" w:rsidP="009A0A5B">
      <w:pPr>
        <w:spacing w:after="0" w:line="240" w:lineRule="auto"/>
        <w:jc w:val="both"/>
        <w:rPr>
          <w:rFonts w:ascii="Times New Roman" w:hAnsi="Times New Roman" w:cs="Times New Roman"/>
          <w:b/>
          <w:bCs/>
          <w:sz w:val="24"/>
          <w:szCs w:val="24"/>
        </w:rPr>
      </w:pPr>
    </w:p>
    <w:p w14:paraId="57FC29B0" w14:textId="77777777" w:rsidR="009A0A5B" w:rsidRDefault="009A0A5B" w:rsidP="009A0A5B">
      <w:pPr>
        <w:spacing w:after="0" w:line="240" w:lineRule="auto"/>
        <w:ind w:firstLine="426"/>
        <w:jc w:val="both"/>
        <w:rPr>
          <w:rFonts w:ascii="Times New Roman" w:hAnsi="Times New Roman" w:cs="Times New Roman"/>
          <w:sz w:val="24"/>
          <w:szCs w:val="24"/>
        </w:rPr>
      </w:pPr>
    </w:p>
    <w:p w14:paraId="7FD826CA" w14:textId="77777777" w:rsidR="009A0A5B" w:rsidRPr="003C2C16" w:rsidRDefault="009A0A5B" w:rsidP="009A0A5B">
      <w:pPr>
        <w:jc w:val="right"/>
        <w:rPr>
          <w:rFonts w:ascii="Times New Roman" w:hAnsi="Times New Roman" w:cs="Times New Roman"/>
          <w:b/>
          <w:color w:val="000000"/>
        </w:rPr>
      </w:pPr>
      <w:bookmarkStart w:id="0" w:name="_Hlk61247335"/>
      <w:r w:rsidRPr="003C2C16">
        <w:rPr>
          <w:rFonts w:ascii="Times New Roman" w:hAnsi="Times New Roman" w:cs="Times New Roman"/>
          <w:b/>
          <w:color w:val="000000"/>
        </w:rPr>
        <w:t>1 priedas</w:t>
      </w:r>
    </w:p>
    <w:p w14:paraId="22551C21" w14:textId="77777777" w:rsidR="009A0A5B" w:rsidRPr="003C2C16" w:rsidRDefault="009A0A5B" w:rsidP="009A0A5B">
      <w:pPr>
        <w:jc w:val="center"/>
        <w:rPr>
          <w:rFonts w:ascii="Times New Roman" w:hAnsi="Times New Roman" w:cs="Times New Roman"/>
          <w:b/>
          <w:bCs/>
        </w:rPr>
      </w:pPr>
      <w:r w:rsidRPr="003C2C16">
        <w:rPr>
          <w:rFonts w:ascii="Times New Roman" w:hAnsi="Times New Roman" w:cs="Times New Roman"/>
          <w:b/>
          <w:bCs/>
        </w:rPr>
        <w:t xml:space="preserve">REAGENTŲ IR PAPILDOMŲ PRIEMONIŲ </w:t>
      </w:r>
      <w:r w:rsidRPr="003C2C16">
        <w:rPr>
          <w:rFonts w:ascii="Times New Roman" w:hAnsi="Times New Roman" w:cs="Times New Roman"/>
          <w:b/>
          <w:bCs/>
          <w:color w:val="000000"/>
        </w:rPr>
        <w:t>KRAUJO KREŠĖJIMO</w:t>
      </w:r>
      <w:r w:rsidRPr="003C2C16">
        <w:rPr>
          <w:rFonts w:ascii="Times New Roman" w:hAnsi="Times New Roman" w:cs="Times New Roman"/>
          <w:b/>
          <w:bCs/>
        </w:rPr>
        <w:t xml:space="preserve"> TYRIMAMS ATLIKTI SU ĮRANGOS ĮSIGIJIMU PANAUDOS BŪDU</w:t>
      </w:r>
    </w:p>
    <w:p w14:paraId="3624E47F" w14:textId="77777777" w:rsidR="009A0A5B" w:rsidRPr="003C2C16" w:rsidRDefault="009A0A5B" w:rsidP="009A0A5B">
      <w:pPr>
        <w:jc w:val="center"/>
        <w:rPr>
          <w:rFonts w:ascii="Times New Roman" w:hAnsi="Times New Roman" w:cs="Times New Roman"/>
          <w:b/>
          <w:color w:val="000000"/>
        </w:rPr>
      </w:pPr>
      <w:r w:rsidRPr="003C2C16">
        <w:rPr>
          <w:rFonts w:ascii="Times New Roman" w:hAnsi="Times New Roman" w:cs="Times New Roman"/>
          <w:b/>
          <w:color w:val="000000"/>
        </w:rPr>
        <w:t>TECHNINĖ SPECIFIKACIJA</w:t>
      </w:r>
      <w:bookmarkStart w:id="1" w:name="_Hlk114755879"/>
    </w:p>
    <w:p w14:paraId="405EB30E" w14:textId="77777777" w:rsidR="009A0A5B" w:rsidRPr="003C2C16" w:rsidRDefault="009A0A5B" w:rsidP="009A0A5B">
      <w:pPr>
        <w:jc w:val="center"/>
        <w:outlineLvl w:val="0"/>
        <w:rPr>
          <w:rFonts w:ascii="Times New Roman" w:hAnsi="Times New Roman" w:cs="Times New Roman"/>
          <w:b/>
          <w:bCs/>
          <w:color w:val="000000"/>
        </w:rPr>
      </w:pPr>
    </w:p>
    <w:p w14:paraId="0C07EE8A" w14:textId="77777777" w:rsidR="009A0A5B" w:rsidRPr="003C2C16" w:rsidRDefault="009A0A5B" w:rsidP="009A0A5B">
      <w:pPr>
        <w:jc w:val="center"/>
        <w:outlineLvl w:val="0"/>
        <w:rPr>
          <w:rFonts w:ascii="Times New Roman" w:hAnsi="Times New Roman" w:cs="Times New Roman"/>
          <w:b/>
          <w:bCs/>
          <w:color w:val="000000"/>
        </w:rPr>
      </w:pPr>
      <w:r w:rsidRPr="003C2C16">
        <w:rPr>
          <w:rFonts w:ascii="Times New Roman" w:hAnsi="Times New Roman" w:cs="Times New Roman"/>
          <w:b/>
          <w:bCs/>
          <w:color w:val="000000"/>
        </w:rPr>
        <w:t>METODINIAI REIKALAVIMAI</w:t>
      </w:r>
    </w:p>
    <w:p w14:paraId="2756DE6E" w14:textId="77777777" w:rsidR="009A0A5B" w:rsidRPr="003C2C16" w:rsidRDefault="009A0A5B" w:rsidP="009A0A5B">
      <w:pPr>
        <w:tabs>
          <w:tab w:val="left" w:pos="1350"/>
          <w:tab w:val="left" w:pos="1440"/>
        </w:tabs>
        <w:suppressAutoHyphens/>
        <w:ind w:hanging="90"/>
        <w:jc w:val="right"/>
        <w:rPr>
          <w:rFonts w:ascii="Times New Roman" w:hAnsi="Times New Roman" w:cs="Times New Roman"/>
          <w:b/>
          <w:bCs/>
          <w:lang w:eastAsia="ar-SA"/>
        </w:rPr>
      </w:pPr>
    </w:p>
    <w:tbl>
      <w:tblPr>
        <w:tblW w:w="1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49"/>
        <w:gridCol w:w="2099"/>
        <w:gridCol w:w="5747"/>
        <w:gridCol w:w="5429"/>
      </w:tblGrid>
      <w:tr w:rsidR="009A0A5B" w:rsidRPr="003C2C16" w14:paraId="152F8E94" w14:textId="77777777" w:rsidTr="007B0414">
        <w:trPr>
          <w:trHeight w:val="269"/>
        </w:trPr>
        <w:tc>
          <w:tcPr>
            <w:tcW w:w="540" w:type="dxa"/>
            <w:shd w:val="clear" w:color="auto" w:fill="auto"/>
            <w:vAlign w:val="center"/>
            <w:hideMark/>
          </w:tcPr>
          <w:p w14:paraId="4A9FE193" w14:textId="77777777" w:rsidR="009A0A5B" w:rsidRPr="003C2C16" w:rsidRDefault="009A0A5B" w:rsidP="007B0414">
            <w:pPr>
              <w:jc w:val="center"/>
              <w:outlineLvl w:val="0"/>
              <w:rPr>
                <w:rFonts w:ascii="Times New Roman" w:hAnsi="Times New Roman" w:cs="Times New Roman"/>
                <w:b/>
                <w:bCs/>
              </w:rPr>
            </w:pPr>
            <w:r w:rsidRPr="003C2C16">
              <w:rPr>
                <w:rFonts w:ascii="Times New Roman" w:hAnsi="Times New Roman" w:cs="Times New Roman"/>
                <w:b/>
                <w:bCs/>
              </w:rPr>
              <w:t>Eil. Nr.</w:t>
            </w:r>
          </w:p>
        </w:tc>
        <w:tc>
          <w:tcPr>
            <w:tcW w:w="1549" w:type="dxa"/>
            <w:shd w:val="clear" w:color="auto" w:fill="auto"/>
            <w:vAlign w:val="center"/>
            <w:hideMark/>
          </w:tcPr>
          <w:p w14:paraId="729DA668" w14:textId="77777777" w:rsidR="009A0A5B" w:rsidRPr="003C2C16" w:rsidRDefault="009A0A5B" w:rsidP="007B0414">
            <w:pPr>
              <w:jc w:val="center"/>
              <w:outlineLvl w:val="0"/>
              <w:rPr>
                <w:rFonts w:ascii="Times New Roman" w:hAnsi="Times New Roman" w:cs="Times New Roman"/>
                <w:b/>
                <w:bCs/>
              </w:rPr>
            </w:pPr>
            <w:r w:rsidRPr="003C2C16">
              <w:rPr>
                <w:rFonts w:ascii="Times New Roman" w:hAnsi="Times New Roman" w:cs="Times New Roman"/>
                <w:b/>
                <w:bCs/>
              </w:rPr>
              <w:t>Tyrimo pavadinimas</w:t>
            </w:r>
          </w:p>
        </w:tc>
        <w:tc>
          <w:tcPr>
            <w:tcW w:w="2099" w:type="dxa"/>
            <w:shd w:val="clear" w:color="auto" w:fill="auto"/>
            <w:vAlign w:val="center"/>
            <w:hideMark/>
          </w:tcPr>
          <w:p w14:paraId="2505D41A" w14:textId="77777777" w:rsidR="009A0A5B" w:rsidRPr="003C2C16" w:rsidRDefault="009A0A5B" w:rsidP="007B0414">
            <w:pPr>
              <w:jc w:val="center"/>
              <w:outlineLvl w:val="0"/>
              <w:rPr>
                <w:rFonts w:ascii="Times New Roman" w:hAnsi="Times New Roman" w:cs="Times New Roman"/>
                <w:b/>
                <w:bCs/>
              </w:rPr>
            </w:pPr>
            <w:r w:rsidRPr="003C2C16">
              <w:rPr>
                <w:rFonts w:ascii="Times New Roman" w:hAnsi="Times New Roman" w:cs="Times New Roman"/>
                <w:b/>
                <w:bCs/>
              </w:rPr>
              <w:t>Privalomi reikalavimai tyrimo metodui</w:t>
            </w:r>
          </w:p>
        </w:tc>
        <w:tc>
          <w:tcPr>
            <w:tcW w:w="5747" w:type="dxa"/>
            <w:shd w:val="clear" w:color="auto" w:fill="auto"/>
            <w:hideMark/>
          </w:tcPr>
          <w:p w14:paraId="6BA6A7B5" w14:textId="77777777" w:rsidR="009A0A5B" w:rsidRPr="003C2C16" w:rsidRDefault="009A0A5B" w:rsidP="007B0414">
            <w:pPr>
              <w:jc w:val="center"/>
              <w:outlineLvl w:val="0"/>
              <w:rPr>
                <w:rFonts w:ascii="Times New Roman" w:hAnsi="Times New Roman" w:cs="Times New Roman"/>
                <w:b/>
                <w:bCs/>
              </w:rPr>
            </w:pPr>
            <w:r>
              <w:rPr>
                <w:rFonts w:ascii="Times New Roman" w:hAnsi="Times New Roman" w:cs="Times New Roman"/>
                <w:b/>
                <w:bCs/>
              </w:rPr>
              <w:t>Tiekėjų pastabos</w:t>
            </w:r>
          </w:p>
        </w:tc>
        <w:tc>
          <w:tcPr>
            <w:tcW w:w="5429" w:type="dxa"/>
          </w:tcPr>
          <w:p w14:paraId="737CC8C8" w14:textId="77777777" w:rsidR="009A0A5B" w:rsidRPr="003C2C16" w:rsidRDefault="009A0A5B" w:rsidP="007B0414">
            <w:pPr>
              <w:jc w:val="center"/>
              <w:outlineLvl w:val="0"/>
              <w:rPr>
                <w:rFonts w:ascii="Times New Roman" w:hAnsi="Times New Roman" w:cs="Times New Roman"/>
                <w:b/>
                <w:bCs/>
              </w:rPr>
            </w:pPr>
            <w:r>
              <w:rPr>
                <w:rFonts w:ascii="Times New Roman" w:hAnsi="Times New Roman" w:cs="Times New Roman"/>
                <w:b/>
                <w:bCs/>
              </w:rPr>
              <w:t>Perkančiosios organizacijos atsakymas</w:t>
            </w:r>
          </w:p>
        </w:tc>
      </w:tr>
      <w:tr w:rsidR="009A0A5B" w:rsidRPr="003C2C16" w14:paraId="18C520C1" w14:textId="77777777" w:rsidTr="007B0414">
        <w:trPr>
          <w:trHeight w:val="476"/>
        </w:trPr>
        <w:tc>
          <w:tcPr>
            <w:tcW w:w="540" w:type="dxa"/>
            <w:shd w:val="clear" w:color="auto" w:fill="auto"/>
            <w:hideMark/>
          </w:tcPr>
          <w:p w14:paraId="5C7D8939" w14:textId="77777777" w:rsidR="009A0A5B" w:rsidRPr="003C2C16" w:rsidRDefault="009A0A5B" w:rsidP="007B0414">
            <w:pPr>
              <w:jc w:val="center"/>
              <w:outlineLvl w:val="0"/>
              <w:rPr>
                <w:rFonts w:ascii="Times New Roman" w:hAnsi="Times New Roman" w:cs="Times New Roman"/>
              </w:rPr>
            </w:pPr>
            <w:r w:rsidRPr="003C2C16">
              <w:rPr>
                <w:rFonts w:ascii="Times New Roman" w:hAnsi="Times New Roman" w:cs="Times New Roman"/>
              </w:rPr>
              <w:t>1.</w:t>
            </w:r>
          </w:p>
        </w:tc>
        <w:tc>
          <w:tcPr>
            <w:tcW w:w="1549" w:type="dxa"/>
            <w:shd w:val="clear" w:color="auto" w:fill="auto"/>
            <w:hideMark/>
          </w:tcPr>
          <w:p w14:paraId="57063828" w14:textId="77777777" w:rsidR="009A0A5B" w:rsidRPr="003C2C16" w:rsidRDefault="009A0A5B" w:rsidP="007B0414">
            <w:pPr>
              <w:jc w:val="both"/>
              <w:outlineLvl w:val="0"/>
              <w:rPr>
                <w:rFonts w:ascii="Times New Roman" w:hAnsi="Times New Roman" w:cs="Times New Roman"/>
              </w:rPr>
            </w:pPr>
            <w:r w:rsidRPr="003C2C16">
              <w:rPr>
                <w:rFonts w:ascii="Times New Roman" w:hAnsi="Times New Roman" w:cs="Times New Roman"/>
              </w:rPr>
              <w:t>Protrombino komplekso II-VII-X faktorių aktyvumo nustatymas (ir TNS)</w:t>
            </w:r>
          </w:p>
        </w:tc>
        <w:tc>
          <w:tcPr>
            <w:tcW w:w="2099" w:type="dxa"/>
            <w:shd w:val="clear" w:color="auto" w:fill="auto"/>
            <w:hideMark/>
          </w:tcPr>
          <w:p w14:paraId="24A53851" w14:textId="77777777" w:rsidR="009A0A5B" w:rsidRPr="005856B5" w:rsidRDefault="009A0A5B" w:rsidP="007B0414">
            <w:pPr>
              <w:jc w:val="both"/>
              <w:outlineLvl w:val="0"/>
              <w:rPr>
                <w:rFonts w:ascii="Times New Roman" w:hAnsi="Times New Roman" w:cs="Times New Roman"/>
              </w:rPr>
            </w:pPr>
            <w:r w:rsidRPr="005856B5">
              <w:rPr>
                <w:rFonts w:ascii="Times New Roman" w:hAnsi="Times New Roman" w:cs="Times New Roman"/>
              </w:rPr>
              <w:t>Mėginys – citruota plazma: normali, bet kokio lygio  hemolizuota, ikterinė, lipeminė.</w:t>
            </w:r>
          </w:p>
          <w:p w14:paraId="716E3079" w14:textId="77777777" w:rsidR="009A0A5B" w:rsidRPr="003C2C16" w:rsidRDefault="009A0A5B" w:rsidP="007B0414">
            <w:pPr>
              <w:jc w:val="both"/>
              <w:outlineLvl w:val="0"/>
              <w:rPr>
                <w:rFonts w:ascii="Times New Roman" w:hAnsi="Times New Roman" w:cs="Times New Roman"/>
              </w:rPr>
            </w:pPr>
            <w:r w:rsidRPr="003C2C16">
              <w:rPr>
                <w:rFonts w:ascii="Times New Roman" w:hAnsi="Times New Roman" w:cs="Times New Roman"/>
              </w:rPr>
              <w:t>Owren metodas. Nejautrus heparinui iki 1 IU/ml.</w:t>
            </w:r>
          </w:p>
        </w:tc>
        <w:tc>
          <w:tcPr>
            <w:tcW w:w="5747" w:type="dxa"/>
            <w:shd w:val="clear" w:color="auto" w:fill="auto"/>
          </w:tcPr>
          <w:p w14:paraId="2B4682E0" w14:textId="77777777" w:rsidR="009A0A5B" w:rsidRPr="00AD5529" w:rsidRDefault="009A0A5B" w:rsidP="007B0414">
            <w:pPr>
              <w:jc w:val="both"/>
              <w:rPr>
                <w:rFonts w:ascii="Times New Roman" w:hAnsi="Times New Roman" w:cs="Times New Roman"/>
                <w:sz w:val="24"/>
                <w:szCs w:val="24"/>
              </w:rPr>
            </w:pPr>
            <w:r w:rsidRPr="006E78A1">
              <w:rPr>
                <w:rFonts w:ascii="Times New Roman" w:hAnsi="Times New Roman" w:cs="Times New Roman"/>
                <w:sz w:val="24"/>
                <w:szCs w:val="24"/>
                <w:highlight w:val="yellow"/>
              </w:rPr>
              <w:t>Tiekėjo A pastaba:</w:t>
            </w:r>
            <w:r w:rsidRPr="006E78A1">
              <w:rPr>
                <w:rFonts w:ascii="Times New Roman" w:hAnsi="Times New Roman" w:cs="Times New Roman"/>
                <w:sz w:val="24"/>
                <w:szCs w:val="24"/>
              </w:rPr>
              <w:t xml:space="preserve"> </w:t>
            </w:r>
            <w:r w:rsidRPr="00AD5529">
              <w:rPr>
                <w:rFonts w:ascii="Times New Roman" w:hAnsi="Times New Roman" w:cs="Times New Roman"/>
                <w:sz w:val="24"/>
                <w:szCs w:val="24"/>
              </w:rPr>
              <w:t xml:space="preserve">1 punkte numatytas reikalavimas, kad pirkimo dalyviai turi siūlyti analizatorių, atliekantį </w:t>
            </w:r>
            <w:r w:rsidRPr="00AD5529">
              <w:rPr>
                <w:rFonts w:ascii="Times New Roman" w:hAnsi="Times New Roman" w:cs="Times New Roman"/>
                <w:b/>
                <w:bCs/>
                <w:sz w:val="24"/>
                <w:szCs w:val="24"/>
              </w:rPr>
              <w:t xml:space="preserve">Protrombino laiko </w:t>
            </w:r>
            <w:r w:rsidRPr="00AD5529">
              <w:rPr>
                <w:rFonts w:ascii="Times New Roman" w:hAnsi="Times New Roman" w:cs="Times New Roman"/>
                <w:sz w:val="24"/>
                <w:szCs w:val="24"/>
              </w:rPr>
              <w:t xml:space="preserve">tyrimus </w:t>
            </w:r>
            <w:r w:rsidRPr="00AD5529">
              <w:rPr>
                <w:rFonts w:ascii="Times New Roman" w:hAnsi="Times New Roman" w:cs="Times New Roman"/>
                <w:b/>
                <w:bCs/>
                <w:sz w:val="24"/>
                <w:szCs w:val="24"/>
              </w:rPr>
              <w:t>tik Owren metodu</w:t>
            </w:r>
            <w:r w:rsidRPr="00AD5529">
              <w:rPr>
                <w:rFonts w:ascii="Times New Roman" w:hAnsi="Times New Roman" w:cs="Times New Roman"/>
                <w:sz w:val="24"/>
                <w:szCs w:val="24"/>
              </w:rPr>
              <w:t xml:space="preserve">. Šis metodas </w:t>
            </w:r>
            <w:r w:rsidRPr="00AD5529">
              <w:rPr>
                <w:rFonts w:ascii="Times New Roman" w:hAnsi="Times New Roman" w:cs="Times New Roman"/>
                <w:b/>
                <w:bCs/>
                <w:sz w:val="24"/>
                <w:szCs w:val="24"/>
              </w:rPr>
              <w:t xml:space="preserve">nėra </w:t>
            </w:r>
            <w:r w:rsidRPr="00AD5529">
              <w:rPr>
                <w:rFonts w:ascii="Times New Roman" w:hAnsi="Times New Roman" w:cs="Times New Roman"/>
                <w:sz w:val="24"/>
                <w:szCs w:val="24"/>
              </w:rPr>
              <w:t xml:space="preserve">plačiai paplitęs pasaulyje, tik 5% PTV nustatymo testų pasaulyje yra pagrįsti šiuo metodu. (https://zurnalas.llmd.lt/en/straipsnis/visas/459/2014). </w:t>
            </w:r>
            <w:r w:rsidRPr="00AD5529">
              <w:rPr>
                <w:rFonts w:ascii="Times New Roman" w:hAnsi="Times New Roman" w:cs="Times New Roman"/>
                <w:b/>
                <w:bCs/>
                <w:sz w:val="24"/>
                <w:szCs w:val="24"/>
              </w:rPr>
              <w:t xml:space="preserve">Quick </w:t>
            </w:r>
            <w:r w:rsidRPr="00AD5529">
              <w:rPr>
                <w:rFonts w:ascii="Times New Roman" w:hAnsi="Times New Roman" w:cs="Times New Roman"/>
                <w:sz w:val="24"/>
                <w:szCs w:val="24"/>
              </w:rPr>
              <w:t xml:space="preserve">metodas naudojamas 95% visų PTV testų pasaulyje. Šiuo metodu nustatytas INR yra standartas, stebint gydymą antikoaguliantais; visose klinikinėse antikoaguliantų gydymo rekomendacijose atsižvelgiama į INR pagal Quick metodą. </w:t>
            </w:r>
            <w:r w:rsidRPr="00AD5529">
              <w:rPr>
                <w:rFonts w:ascii="Times New Roman" w:hAnsi="Times New Roman" w:cs="Times New Roman"/>
                <w:b/>
                <w:bCs/>
                <w:sz w:val="24"/>
                <w:szCs w:val="24"/>
              </w:rPr>
              <w:t xml:space="preserve">Quick tyrimo metodas </w:t>
            </w:r>
            <w:r w:rsidRPr="00AD5529">
              <w:rPr>
                <w:rFonts w:ascii="Times New Roman" w:hAnsi="Times New Roman" w:cs="Times New Roman"/>
                <w:sz w:val="24"/>
                <w:szCs w:val="24"/>
              </w:rPr>
              <w:t xml:space="preserve">užtikrina vienodai kokybišką tyrimo atlikimą, kaip ir </w:t>
            </w:r>
            <w:r w:rsidRPr="00AD5529">
              <w:rPr>
                <w:rFonts w:ascii="Times New Roman" w:hAnsi="Times New Roman" w:cs="Times New Roman"/>
                <w:sz w:val="24"/>
                <w:szCs w:val="24"/>
              </w:rPr>
              <w:lastRenderedPageBreak/>
              <w:t xml:space="preserve">Owren metodas. Pabrėžiame, kad Owren metodas yra palankus </w:t>
            </w:r>
            <w:r w:rsidRPr="00AD5529">
              <w:rPr>
                <w:rFonts w:ascii="Times New Roman" w:hAnsi="Times New Roman" w:cs="Times New Roman"/>
                <w:b/>
                <w:bCs/>
                <w:sz w:val="24"/>
                <w:szCs w:val="24"/>
              </w:rPr>
              <w:t xml:space="preserve">tik vienam konkrečiam tiekėjui, ir, atitinkamai, įrangos gamintojui. </w:t>
            </w:r>
            <w:r w:rsidRPr="00AD5529">
              <w:rPr>
                <w:rFonts w:ascii="Times New Roman" w:hAnsi="Times New Roman" w:cs="Times New Roman"/>
                <w:sz w:val="24"/>
                <w:szCs w:val="24"/>
              </w:rPr>
              <w:t xml:space="preserve">Todėl, išskiriant tik Owren metodą, PO neužtikrina konkurencijos, lygiateisiškumo, racionalaus lėšų naudojimo, kadangi dėl techninės specifikacijos susiaurinimo kiti suinteresuoti tiekėjai būtų eliminuojami iš pirkimo procedūros, negalėtų įgyvendinti savo teisėto intereso pateikti pigesnį, bet kokybę užtikrinantį bei visiškai PO interesus bei pirkimo tikslą leidžiantį pasiekti pasiūlymą. </w:t>
            </w:r>
          </w:p>
          <w:p w14:paraId="4B179B06" w14:textId="77777777" w:rsidR="009A0A5B" w:rsidRPr="006E78A1" w:rsidRDefault="009A0A5B" w:rsidP="007B0414">
            <w:pPr>
              <w:jc w:val="both"/>
              <w:outlineLvl w:val="0"/>
              <w:rPr>
                <w:rFonts w:ascii="Times New Roman" w:hAnsi="Times New Roman" w:cs="Times New Roman"/>
                <w:sz w:val="24"/>
                <w:szCs w:val="24"/>
              </w:rPr>
            </w:pPr>
            <w:r w:rsidRPr="006E78A1">
              <w:rPr>
                <w:rFonts w:ascii="Times New Roman" w:hAnsi="Times New Roman" w:cs="Times New Roman"/>
                <w:sz w:val="24"/>
                <w:szCs w:val="24"/>
              </w:rPr>
              <w:t>Atsižvelgiant į tai reikalaujame aptariamame nurodyti “</w:t>
            </w:r>
            <w:r w:rsidRPr="006E78A1">
              <w:rPr>
                <w:rFonts w:ascii="Times New Roman" w:hAnsi="Times New Roman" w:cs="Times New Roman"/>
                <w:b/>
                <w:bCs/>
                <w:i/>
                <w:iCs/>
                <w:sz w:val="24"/>
                <w:szCs w:val="24"/>
              </w:rPr>
              <w:t>Protrombino laikas (PL) Owren arba Quick metodu</w:t>
            </w:r>
            <w:r w:rsidRPr="006E78A1">
              <w:rPr>
                <w:rFonts w:ascii="Times New Roman" w:hAnsi="Times New Roman" w:cs="Times New Roman"/>
                <w:sz w:val="24"/>
                <w:szCs w:val="24"/>
              </w:rPr>
              <w:t>”.</w:t>
            </w:r>
          </w:p>
          <w:p w14:paraId="63A3123D" w14:textId="77777777" w:rsidR="009A0A5B" w:rsidRDefault="009A0A5B" w:rsidP="007B0414">
            <w:pPr>
              <w:jc w:val="both"/>
              <w:outlineLvl w:val="0"/>
              <w:rPr>
                <w:rFonts w:ascii="Times New Roman" w:hAnsi="Times New Roman" w:cs="Times New Roman"/>
                <w:sz w:val="24"/>
                <w:szCs w:val="24"/>
                <w:u w:val="single"/>
              </w:rPr>
            </w:pPr>
          </w:p>
          <w:p w14:paraId="01FF9EEE" w14:textId="2CA2D1AA" w:rsidR="009A0A5B" w:rsidRPr="00B00E9E" w:rsidRDefault="009A0A5B" w:rsidP="007B0414">
            <w:pPr>
              <w:jc w:val="both"/>
              <w:outlineLvl w:val="0"/>
              <w:rPr>
                <w:rFonts w:ascii="Times New Roman" w:hAnsi="Times New Roman" w:cs="Times New Roman"/>
                <w:sz w:val="24"/>
                <w:szCs w:val="24"/>
              </w:rPr>
            </w:pPr>
            <w:r w:rsidRPr="000207CF">
              <w:rPr>
                <w:rFonts w:ascii="Times New Roman" w:hAnsi="Times New Roman" w:cs="Times New Roman"/>
                <w:sz w:val="24"/>
                <w:szCs w:val="24"/>
                <w:highlight w:val="green"/>
                <w:u w:val="single"/>
              </w:rPr>
              <w:t>Tiekėjo B pastaba:</w:t>
            </w:r>
            <w:r>
              <w:rPr>
                <w:rFonts w:ascii="Times New Roman" w:hAnsi="Times New Roman" w:cs="Times New Roman"/>
                <w:sz w:val="24"/>
                <w:szCs w:val="24"/>
                <w:u w:val="single"/>
              </w:rPr>
              <w:t xml:space="preserve"> </w:t>
            </w:r>
            <w:r w:rsidRPr="00B00E9E">
              <w:rPr>
                <w:rFonts w:ascii="Times New Roman" w:hAnsi="Times New Roman" w:cs="Times New Roman"/>
                <w:sz w:val="24"/>
                <w:szCs w:val="24"/>
              </w:rPr>
              <w:t>Punktas riboja konkurenciją nes yra pritaikytas išskirtinai  mechaniniam matavimo metodui. Tuomet, tiekėjams, siūlantiems kitokį matavimo metodą apribojama galimybė dalyvauti pirkime. Prašome punktą koreguoti sekančiai: "Analizatoriai turi nustatyti HIL (hemolizę, bilirubino kiekį, lipemiją) ir įspėti vartotoją esant kritinėms vertėms".</w:t>
            </w:r>
          </w:p>
          <w:p w14:paraId="4680D219" w14:textId="77777777" w:rsidR="009A0A5B" w:rsidRPr="008E2B73" w:rsidRDefault="009A0A5B" w:rsidP="007B0414">
            <w:pPr>
              <w:jc w:val="both"/>
              <w:outlineLvl w:val="0"/>
              <w:rPr>
                <w:rFonts w:ascii="Times New Roman" w:hAnsi="Times New Roman" w:cs="Times New Roman"/>
                <w:i/>
                <w:iCs/>
                <w:sz w:val="24"/>
                <w:szCs w:val="24"/>
              </w:rPr>
            </w:pPr>
            <w:r w:rsidRPr="00B00E9E">
              <w:rPr>
                <w:rFonts w:ascii="Times New Roman" w:hAnsi="Times New Roman" w:cs="Times New Roman"/>
                <w:sz w:val="24"/>
                <w:szCs w:val="24"/>
              </w:rPr>
              <w:t xml:space="preserve">Siekiant lygiavertės, sąžiningos konkurencijos, Protrombino laiko matavimui prašome nurodyti abu matavimo metodus tiek Owren tiek Quick. Pasaulyje Owren‘o metodu atliekamas tyrimas taikomas labai retai – tik apie 5% (Boston Business Consulting duomenys). Kadangi 95% procentai protrombino laiko tyrimų yra atliekama Quick’o metodu, įvairios reagentų tikslumo  savybės ir stabilumas yra vystomos ir atnaujinamos. Be to, prašome paaiškinti kaip gydymo įstaiga ketina vertinti pacientų prieš chirurgines operacijas krešėjimo </w:t>
            </w:r>
            <w:r w:rsidRPr="00B00E9E">
              <w:rPr>
                <w:rFonts w:ascii="Times New Roman" w:hAnsi="Times New Roman" w:cs="Times New Roman"/>
                <w:sz w:val="24"/>
                <w:szCs w:val="24"/>
              </w:rPr>
              <w:lastRenderedPageBreak/>
              <w:t>parametrus, kraujavimo riziką, jei renkasi išskirtinai Owren metodą, kuris tam netinkamas?</w:t>
            </w:r>
          </w:p>
        </w:tc>
        <w:tc>
          <w:tcPr>
            <w:tcW w:w="5429" w:type="dxa"/>
          </w:tcPr>
          <w:p w14:paraId="5708E76B" w14:textId="77777777" w:rsidR="009A0A5B" w:rsidRDefault="009A0A5B" w:rsidP="007B0414">
            <w:pPr>
              <w:tabs>
                <w:tab w:val="left" w:pos="646"/>
              </w:tabs>
              <w:jc w:val="both"/>
              <w:outlineLvl w:val="0"/>
              <w:rPr>
                <w:rFonts w:ascii="Times New Roman" w:hAnsi="Times New Roman" w:cs="Times New Roman"/>
                <w:iCs/>
                <w:color w:val="000000" w:themeColor="text1"/>
                <w:sz w:val="24"/>
                <w:szCs w:val="24"/>
              </w:rPr>
            </w:pPr>
            <w:r w:rsidRPr="00B137D9">
              <w:rPr>
                <w:rFonts w:ascii="Times New Roman" w:hAnsi="Times New Roman" w:cs="Times New Roman"/>
                <w:iCs/>
                <w:color w:val="000000" w:themeColor="text1"/>
                <w:sz w:val="24"/>
                <w:szCs w:val="24"/>
              </w:rPr>
              <w:lastRenderedPageBreak/>
              <w:t xml:space="preserve">Poliklinikoje yra daugybė pacientų, kurie yra gydomi netiesioginio veikimo oraliniais antikoaguliantais (vitamino K antagonistais), o šiuo atveju, vadovaujantis moksline literatūra, Owren metodas yra pranašesnis nei Quick, nes specifiškai tiria tik tų krešėjimo faktorių, kurie yra priklausomi nuo vitamino K (II, VII, X krešėjimo faktoriai), aktyvumą. </w:t>
            </w:r>
            <w:r w:rsidRPr="00B137D9">
              <w:rPr>
                <w:rFonts w:ascii="Times New Roman" w:hAnsi="Times New Roman" w:cs="Times New Roman"/>
                <w:color w:val="000000" w:themeColor="text1"/>
                <w:sz w:val="24"/>
                <w:szCs w:val="24"/>
              </w:rPr>
              <w:t xml:space="preserve">Pažymime, jog </w:t>
            </w:r>
            <w:r w:rsidRPr="00B137D9">
              <w:rPr>
                <w:rFonts w:ascii="Times New Roman" w:hAnsi="Times New Roman" w:cs="Times New Roman"/>
                <w:iCs/>
                <w:color w:val="000000" w:themeColor="text1"/>
                <w:sz w:val="24"/>
                <w:szCs w:val="24"/>
              </w:rPr>
              <w:t xml:space="preserve">Vilniaus universiteto Medicinos fakulteto patvirtintoje krešėjimo sistemos diagnostikos ir sutrikimų gydymo laboratorinės kontrolės metodikoje nurodyta, jog Vitamino K antagonisto terapijos efektyvumo „laboratorinis tyrimas – </w:t>
            </w:r>
            <w:r w:rsidRPr="00B137D9">
              <w:rPr>
                <w:rFonts w:ascii="Times New Roman" w:hAnsi="Times New Roman" w:cs="Times New Roman"/>
                <w:iCs/>
                <w:color w:val="000000" w:themeColor="text1"/>
                <w:sz w:val="24"/>
                <w:szCs w:val="24"/>
              </w:rPr>
              <w:lastRenderedPageBreak/>
              <w:t xml:space="preserve">protrombino komplekso (PKA) rodiklis OWREN metodu...“(Jatužis D, Davidavičius G, Kazėnaitė E, Tamošiūnas AE. ,,Krešėjimo sistemos diagnostikos ir gydymo laboratorinė kontrolė“ Vilniaus universiteto leidykla, 2020. ISBN </w:t>
            </w:r>
            <w:r w:rsidRPr="00B137D9">
              <w:rPr>
                <w:rFonts w:ascii="Times New Roman" w:hAnsi="Times New Roman" w:cs="Times New Roman"/>
                <w:bCs/>
                <w:iCs/>
                <w:color w:val="000000" w:themeColor="text1"/>
                <w:sz w:val="24"/>
                <w:szCs w:val="24"/>
              </w:rPr>
              <w:t>9786090704479)</w:t>
            </w:r>
            <w:r w:rsidRPr="00B137D9">
              <w:rPr>
                <w:rFonts w:ascii="Times New Roman" w:hAnsi="Times New Roman" w:cs="Times New Roman"/>
                <w:iCs/>
                <w:color w:val="000000" w:themeColor="text1"/>
                <w:sz w:val="24"/>
                <w:szCs w:val="24"/>
              </w:rPr>
              <w:t xml:space="preserve">. </w:t>
            </w:r>
          </w:p>
          <w:p w14:paraId="0BA2D8A7" w14:textId="77777777" w:rsidR="009A0A5B" w:rsidRDefault="009A0A5B" w:rsidP="007B0414">
            <w:pPr>
              <w:tabs>
                <w:tab w:val="left" w:pos="646"/>
              </w:tabs>
              <w:jc w:val="both"/>
              <w:outlineLvl w:val="0"/>
              <w:rPr>
                <w:rFonts w:ascii="Times New Roman" w:hAnsi="Times New Roman" w:cs="Times New Roman"/>
                <w:iCs/>
                <w:color w:val="000000" w:themeColor="text1"/>
                <w:sz w:val="24"/>
                <w:szCs w:val="24"/>
              </w:rPr>
            </w:pPr>
            <w:r w:rsidRPr="006C61FD">
              <w:rPr>
                <w:rFonts w:ascii="Times New Roman" w:hAnsi="Times New Roman" w:cs="Times New Roman"/>
                <w:iCs/>
                <w:color w:val="000000" w:themeColor="text1"/>
                <w:sz w:val="24"/>
                <w:szCs w:val="24"/>
              </w:rPr>
              <w:t xml:space="preserve">Pažymime, kad </w:t>
            </w:r>
            <w:proofErr w:type="spellStart"/>
            <w:r w:rsidRPr="006C61FD">
              <w:rPr>
                <w:rFonts w:ascii="Times New Roman" w:hAnsi="Times New Roman" w:cs="Times New Roman"/>
                <w:iCs/>
                <w:color w:val="000000" w:themeColor="text1"/>
                <w:sz w:val="24"/>
                <w:szCs w:val="24"/>
              </w:rPr>
              <w:t>Quick</w:t>
            </w:r>
            <w:proofErr w:type="spellEnd"/>
            <w:r w:rsidRPr="006C61FD">
              <w:rPr>
                <w:rFonts w:ascii="Times New Roman" w:hAnsi="Times New Roman" w:cs="Times New Roman"/>
                <w:iCs/>
                <w:color w:val="000000" w:themeColor="text1"/>
                <w:sz w:val="24"/>
                <w:szCs w:val="24"/>
              </w:rPr>
              <w:t xml:space="preserve">-o metodas nėra lygiavertis </w:t>
            </w:r>
            <w:proofErr w:type="spellStart"/>
            <w:r w:rsidRPr="006C61FD">
              <w:rPr>
                <w:rFonts w:ascii="Times New Roman" w:hAnsi="Times New Roman" w:cs="Times New Roman"/>
                <w:iCs/>
                <w:color w:val="000000" w:themeColor="text1"/>
                <w:sz w:val="24"/>
                <w:szCs w:val="24"/>
              </w:rPr>
              <w:t>Owren</w:t>
            </w:r>
            <w:proofErr w:type="spellEnd"/>
            <w:r w:rsidRPr="006C61FD">
              <w:rPr>
                <w:rFonts w:ascii="Times New Roman" w:hAnsi="Times New Roman" w:cs="Times New Roman"/>
                <w:iCs/>
                <w:color w:val="000000" w:themeColor="text1"/>
                <w:sz w:val="24"/>
                <w:szCs w:val="24"/>
              </w:rPr>
              <w:t xml:space="preserve">-o metodui. Metodinėse rekomendacijose „Netiesioginio veikimo antikoaguliantai (NVA) arba vitamino K antagonistai (VitKA)“ Kauno medicinos universitetas, 2009 m., kurioms pritarė Lietuvos bendrosios praktikos gydytojų draugija, Lietuvos kardiologų draugija, Lietuvos laboratorinės medicinos draugija, Lietuvos širdies asociacija, Lietuvos infektologų draugija, Lietuvos krūtinės ir širdies chirurgijos draugija ir Lietuvos trombozės ir hemostazės draugija, yra nurodyta, jog „Kviko ir Owreno protrombino laiko nustatymo rezultatai sunkiai koreliuojasi dėl skirtingų kalibracinių kreivių“ (rekomendacijų 29 psl.), o 8-oje lentelėje pateikiama informacija apie eilę klinikinių ir technologinių kriterijų skirtumų lyginant šiuos 2 metodus, tokius, kaip terapiniai intervalai, tarptautinio normalizuoto santykio (TNS) paklaidos su tromboplastinais, TNS rezultatų dispersija, VitKA kontrolė lipeminėje ir hemolizuotoje plazmoje, laikas, per kurį reikia atlikti tyrimą po kraujo paėmimo, būtinybė atlikti papildomus tyrimus, kontroliuojant VitKA terapiją ir eilė kitų (rekomendacijų 29-30 psl.). Rekomendacijose teigiama: „nustatyta, kad tiksliausias būdas, kuriuo galima nustatyti TNS – II, VII, X faktorių komplekso aktyvumą įvertinantis Owren metodas“ (rekomendacijų 29 psl.). Taip pat, 2017 m. lapkričio 3 </w:t>
            </w:r>
            <w:r w:rsidRPr="006C61FD">
              <w:rPr>
                <w:rFonts w:ascii="Times New Roman" w:hAnsi="Times New Roman" w:cs="Times New Roman"/>
                <w:iCs/>
                <w:color w:val="000000" w:themeColor="text1"/>
                <w:sz w:val="24"/>
                <w:szCs w:val="24"/>
              </w:rPr>
              <w:lastRenderedPageBreak/>
              <w:t xml:space="preserve">d. „Laboratorinės įrangos palyginimo ekspertizės akte“, atliktame civilinėje byloje Nr.e2A-486-381/217 (VšĮ Utenos ligoninė vs UAB „Roche“) taip pat nurodyta, kad Owreno ir Kviko metodai nėra lygiaverčiai. Į klausimą Nr. 1.5. „Ar Owren ir Quick metodai komplekso aktyvumui ištirti yra lygiaverčiai ir ar jos abu taikant gali būti gautas analogiškas rezultatas?“, ekspertizės akte buvo nustatyta: „Owren ir Quick metodai protrombino aktyvumui ištirti nėra lygiaverčiai...“ Taip pat, atsakydamas į klausimą Nr.1.4. „Kokiais gydymo įstaigos objektyviais poreikiais gali būti pagrįsti gydymo įstaigų nustatomi tam tikrų tyrimų atlikimo metodai “, ekspertas nurodė, jog „ Reikalavimas protrombino komplekso aktyvumą ištirti Owren ar Quick metodu gali būti grindžiamas perkančiosios organizacijos specialiais poreikiais tirti asmenis, kurie yra gydomi netiesioginio veikimo oraliniais antikoaguliantais (vitamino K antagonistais, pvz., varfarinu). Tam tikslui, vadovaujantis moksline literatūra, Owren metodas yra pranašesnis nei Quick, nes specifiškai tiria tik tų krešėjimo faktorių, kurie yra priklausomi nuo vitamino K (II, VII&lt; X krešėjimo faktoriai), aktyvumą “. </w:t>
            </w:r>
          </w:p>
          <w:p w14:paraId="015E3DE9" w14:textId="76006FC4" w:rsidR="009A0A5B" w:rsidRPr="00B137D9" w:rsidRDefault="009A0A5B" w:rsidP="007B0414">
            <w:pPr>
              <w:tabs>
                <w:tab w:val="left" w:pos="646"/>
              </w:tabs>
              <w:jc w:val="both"/>
              <w:outlineLvl w:val="0"/>
              <w:rPr>
                <w:rFonts w:ascii="Times New Roman" w:hAnsi="Times New Roman" w:cs="Times New Roman"/>
                <w:iCs/>
                <w:color w:val="000000" w:themeColor="text1"/>
                <w:sz w:val="24"/>
                <w:szCs w:val="24"/>
              </w:rPr>
            </w:pPr>
            <w:r w:rsidRPr="006C61FD">
              <w:rPr>
                <w:rFonts w:ascii="Times New Roman" w:hAnsi="Times New Roman" w:cs="Times New Roman"/>
                <w:iCs/>
                <w:color w:val="000000" w:themeColor="text1"/>
                <w:sz w:val="24"/>
                <w:szCs w:val="24"/>
              </w:rPr>
              <w:t>P</w:t>
            </w:r>
            <w:r w:rsidR="00FD7294">
              <w:rPr>
                <w:rFonts w:ascii="Times New Roman" w:hAnsi="Times New Roman" w:cs="Times New Roman"/>
                <w:iCs/>
                <w:color w:val="000000" w:themeColor="text1"/>
                <w:sz w:val="24"/>
                <w:szCs w:val="24"/>
              </w:rPr>
              <w:t xml:space="preserve">oliklinikoje </w:t>
            </w:r>
            <w:r w:rsidRPr="006C61FD">
              <w:rPr>
                <w:rFonts w:ascii="Times New Roman" w:hAnsi="Times New Roman" w:cs="Times New Roman"/>
                <w:iCs/>
                <w:color w:val="000000" w:themeColor="text1"/>
                <w:sz w:val="24"/>
                <w:szCs w:val="24"/>
              </w:rPr>
              <w:t xml:space="preserve">yra akivaizdus poreikis ištirti pacientus, kurie gydomi netiesioginio veikimo oraliniais antikoaguliantais, todėl klinikinėje praktikoje yra tikslingiau naudoti Owren-o metodą. Šis reikalavimas neriboja konkurencijos, nes rinkoje yra ne vienas tiekėjas galintis pasiūlyti Owren metodą. </w:t>
            </w:r>
          </w:p>
          <w:p w14:paraId="1779D2D0" w14:textId="19C50347" w:rsidR="009A0A5B" w:rsidRPr="00E14938" w:rsidRDefault="009A0A5B" w:rsidP="00E14938">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Poliklinikos </w:t>
            </w:r>
            <w:r w:rsidRPr="00497A26">
              <w:rPr>
                <w:rFonts w:ascii="Times New Roman" w:hAnsi="Times New Roman" w:cs="Times New Roman"/>
                <w:sz w:val="24"/>
                <w:szCs w:val="24"/>
              </w:rPr>
              <w:t xml:space="preserve">turima informacija, protrombino kompleksui Owren metodu reagentus gamina </w:t>
            </w:r>
            <w:r w:rsidRPr="00415C06">
              <w:rPr>
                <w:rFonts w:ascii="Times New Roman" w:hAnsi="Times New Roman" w:cs="Times New Roman"/>
                <w:sz w:val="24"/>
                <w:szCs w:val="24"/>
              </w:rPr>
              <w:t xml:space="preserve">ne </w:t>
            </w:r>
            <w:r w:rsidRPr="00415C06">
              <w:rPr>
                <w:rFonts w:ascii="Times New Roman" w:hAnsi="Times New Roman" w:cs="Times New Roman"/>
                <w:sz w:val="24"/>
                <w:szCs w:val="24"/>
              </w:rPr>
              <w:lastRenderedPageBreak/>
              <w:t>vienas gamintojas</w:t>
            </w:r>
            <w:r w:rsidR="00D25CB8">
              <w:rPr>
                <w:rFonts w:ascii="Times New Roman" w:hAnsi="Times New Roman" w:cs="Times New Roman"/>
                <w:sz w:val="24"/>
                <w:szCs w:val="24"/>
              </w:rPr>
              <w:t xml:space="preserve">. </w:t>
            </w:r>
            <w:r w:rsidR="00A16189" w:rsidRPr="00096BF8">
              <w:rPr>
                <w:rFonts w:ascii="Times New Roman" w:hAnsi="Times New Roman" w:cs="Times New Roman"/>
                <w:b/>
                <w:bCs/>
                <w:sz w:val="24"/>
                <w:szCs w:val="24"/>
              </w:rPr>
              <w:t>Rinkos tyrimo metu nustatyta, kad bent 3 gamintojai atitinka keliamą sąlygą</w:t>
            </w:r>
            <w:r w:rsidR="00A16189" w:rsidRPr="00E14938">
              <w:rPr>
                <w:rFonts w:ascii="Times New Roman" w:hAnsi="Times New Roman" w:cs="Times New Roman"/>
                <w:b/>
                <w:bCs/>
                <w:sz w:val="24"/>
                <w:szCs w:val="24"/>
              </w:rPr>
              <w:t xml:space="preserve">: </w:t>
            </w:r>
            <w:r w:rsidR="00E14938" w:rsidRPr="00E14938">
              <w:rPr>
                <w:rFonts w:ascii="Times New Roman" w:hAnsi="Times New Roman" w:cs="Times New Roman"/>
                <w:sz w:val="24"/>
                <w:szCs w:val="24"/>
              </w:rPr>
              <w:t>1.</w:t>
            </w:r>
            <w:r w:rsidR="00E14938" w:rsidRPr="005856B5">
              <w:rPr>
                <w:sz w:val="24"/>
                <w:szCs w:val="24"/>
              </w:rPr>
              <w:t xml:space="preserve"> </w:t>
            </w:r>
            <w:proofErr w:type="spellStart"/>
            <w:r w:rsidR="00E14938" w:rsidRPr="00E14938">
              <w:rPr>
                <w:rFonts w:ascii="Times New Roman" w:hAnsi="Times New Roman" w:cs="Times New Roman"/>
                <w:color w:val="000000" w:themeColor="text1"/>
                <w:sz w:val="24"/>
                <w:szCs w:val="24"/>
              </w:rPr>
              <w:t>Diagnostica</w:t>
            </w:r>
            <w:proofErr w:type="spellEnd"/>
            <w:r w:rsidR="00E14938" w:rsidRPr="00E14938">
              <w:rPr>
                <w:rFonts w:ascii="Times New Roman" w:hAnsi="Times New Roman" w:cs="Times New Roman"/>
                <w:color w:val="000000" w:themeColor="text1"/>
                <w:sz w:val="24"/>
                <w:szCs w:val="24"/>
              </w:rPr>
              <w:t xml:space="preserve"> </w:t>
            </w:r>
            <w:proofErr w:type="spellStart"/>
            <w:r w:rsidR="00E14938" w:rsidRPr="00E14938">
              <w:rPr>
                <w:rFonts w:ascii="Times New Roman" w:hAnsi="Times New Roman" w:cs="Times New Roman"/>
                <w:color w:val="000000" w:themeColor="text1"/>
                <w:sz w:val="24"/>
                <w:szCs w:val="24"/>
              </w:rPr>
              <w:t>Stago</w:t>
            </w:r>
            <w:proofErr w:type="spellEnd"/>
            <w:r w:rsidR="00E14938" w:rsidRPr="00E14938">
              <w:rPr>
                <w:rFonts w:ascii="Times New Roman" w:hAnsi="Times New Roman" w:cs="Times New Roman"/>
                <w:color w:val="000000" w:themeColor="text1"/>
                <w:sz w:val="24"/>
                <w:szCs w:val="24"/>
              </w:rPr>
              <w:t xml:space="preserve">, STA </w:t>
            </w:r>
            <w:proofErr w:type="spellStart"/>
            <w:r w:rsidR="00E14938" w:rsidRPr="00E14938">
              <w:rPr>
                <w:rFonts w:ascii="Times New Roman" w:hAnsi="Times New Roman" w:cs="Times New Roman"/>
                <w:color w:val="000000" w:themeColor="text1"/>
                <w:sz w:val="24"/>
                <w:szCs w:val="24"/>
              </w:rPr>
              <w:t>Compact</w:t>
            </w:r>
            <w:proofErr w:type="spellEnd"/>
            <w:r w:rsidR="00E14938" w:rsidRPr="00E14938">
              <w:rPr>
                <w:rFonts w:ascii="Times New Roman" w:hAnsi="Times New Roman" w:cs="Times New Roman"/>
                <w:color w:val="000000" w:themeColor="text1"/>
                <w:sz w:val="24"/>
                <w:szCs w:val="24"/>
              </w:rPr>
              <w:t xml:space="preserve"> </w:t>
            </w:r>
            <w:proofErr w:type="spellStart"/>
            <w:r w:rsidR="00E14938" w:rsidRPr="00E14938">
              <w:rPr>
                <w:rFonts w:ascii="Times New Roman" w:hAnsi="Times New Roman" w:cs="Times New Roman"/>
                <w:color w:val="000000" w:themeColor="text1"/>
                <w:sz w:val="24"/>
                <w:szCs w:val="24"/>
              </w:rPr>
              <w:t>Max</w:t>
            </w:r>
            <w:proofErr w:type="spellEnd"/>
            <w:r w:rsidR="00E14938" w:rsidRPr="00E14938">
              <w:rPr>
                <w:rFonts w:ascii="Times New Roman" w:hAnsi="Times New Roman" w:cs="Times New Roman"/>
                <w:color w:val="000000" w:themeColor="text1"/>
                <w:sz w:val="24"/>
                <w:szCs w:val="24"/>
              </w:rPr>
              <w:t xml:space="preserve">; 2. </w:t>
            </w:r>
            <w:proofErr w:type="spellStart"/>
            <w:r w:rsidR="00E14938" w:rsidRPr="00E14938">
              <w:rPr>
                <w:rFonts w:ascii="Times New Roman" w:hAnsi="Times New Roman" w:cs="Times New Roman"/>
                <w:color w:val="000000" w:themeColor="text1"/>
                <w:sz w:val="24"/>
                <w:szCs w:val="24"/>
              </w:rPr>
              <w:t>Mindray</w:t>
            </w:r>
            <w:proofErr w:type="spellEnd"/>
            <w:r w:rsidR="00E14938">
              <w:rPr>
                <w:rFonts w:ascii="Times New Roman" w:hAnsi="Times New Roman" w:cs="Times New Roman"/>
                <w:color w:val="000000" w:themeColor="text1"/>
                <w:sz w:val="24"/>
                <w:szCs w:val="24"/>
              </w:rPr>
              <w:t xml:space="preserve"> </w:t>
            </w:r>
            <w:r w:rsidR="00E14938" w:rsidRPr="00E14938">
              <w:rPr>
                <w:rFonts w:ascii="Times New Roman" w:hAnsi="Times New Roman" w:cs="Times New Roman"/>
                <w:color w:val="000000" w:themeColor="text1"/>
                <w:sz w:val="24"/>
                <w:szCs w:val="24"/>
              </w:rPr>
              <w:t xml:space="preserve">C3510; 3. </w:t>
            </w:r>
            <w:proofErr w:type="spellStart"/>
            <w:r w:rsidR="00E14938" w:rsidRPr="00E14938">
              <w:rPr>
                <w:rFonts w:ascii="Times New Roman" w:hAnsi="Times New Roman" w:cs="Times New Roman"/>
                <w:color w:val="000000" w:themeColor="text1"/>
                <w:sz w:val="24"/>
                <w:szCs w:val="24"/>
              </w:rPr>
              <w:t>Succeeder</w:t>
            </w:r>
            <w:proofErr w:type="spellEnd"/>
            <w:r w:rsidR="00E14938" w:rsidRPr="00E14938">
              <w:rPr>
                <w:rFonts w:ascii="Times New Roman" w:hAnsi="Times New Roman" w:cs="Times New Roman"/>
                <w:color w:val="000000" w:themeColor="text1"/>
                <w:sz w:val="24"/>
                <w:szCs w:val="24"/>
              </w:rPr>
              <w:t xml:space="preserve"> SF-810</w:t>
            </w:r>
            <w:r w:rsidR="00A16189" w:rsidRPr="00E14938">
              <w:rPr>
                <w:rFonts w:ascii="Times New Roman" w:hAnsi="Times New Roman" w:cs="Times New Roman"/>
                <w:color w:val="000000" w:themeColor="text1"/>
                <w:sz w:val="24"/>
                <w:szCs w:val="24"/>
              </w:rPr>
              <w:t>.</w:t>
            </w:r>
          </w:p>
          <w:p w14:paraId="37992DC3" w14:textId="77777777" w:rsidR="009A0A5B" w:rsidRDefault="009A0A5B" w:rsidP="007B0414">
            <w:pPr>
              <w:jc w:val="both"/>
              <w:rPr>
                <w:rFonts w:ascii="Times New Roman" w:hAnsi="Times New Roman" w:cs="Times New Roman"/>
                <w:sz w:val="24"/>
                <w:szCs w:val="24"/>
              </w:rPr>
            </w:pPr>
            <w:r w:rsidRPr="00743A4A">
              <w:rPr>
                <w:rFonts w:ascii="Times New Roman" w:hAnsi="Times New Roman" w:cs="Times New Roman"/>
                <w:color w:val="000000" w:themeColor="text1"/>
                <w:sz w:val="24"/>
                <w:szCs w:val="24"/>
              </w:rPr>
              <w:t>Viešųjų pirkimų tarnyba (toliau – VPT), aiškindama Lietuvos Respublikos Viešųjų pirkimų įstatymo 17 straipsnį, nurodo, jog: „</w:t>
            </w:r>
            <w:r w:rsidRPr="00743A4A">
              <w:rPr>
                <w:rFonts w:ascii="Times New Roman" w:hAnsi="Times New Roman" w:cs="Times New Roman"/>
                <w:i/>
                <w:iCs/>
                <w:color w:val="000000" w:themeColor="text1"/>
                <w:sz w:val="24"/>
                <w:szCs w:val="24"/>
              </w:rPr>
              <w:t>&lt;...&gt;</w:t>
            </w:r>
            <w:r w:rsidRPr="00743A4A">
              <w:rPr>
                <w:rFonts w:ascii="Times New Roman" w:hAnsi="Times New Roman" w:cs="Times New Roman"/>
                <w:color w:val="000000" w:themeColor="text1"/>
                <w:sz w:val="24"/>
                <w:szCs w:val="24"/>
              </w:rPr>
              <w:t xml:space="preserve"> „</w:t>
            </w:r>
            <w:r w:rsidRPr="00743A4A">
              <w:rPr>
                <w:rFonts w:ascii="Times New Roman" w:hAnsi="Times New Roman" w:cs="Times New Roman"/>
                <w:i/>
                <w:iCs/>
                <w:color w:val="000000" w:themeColor="text1"/>
                <w:sz w:val="24"/>
                <w:szCs w:val="24"/>
              </w:rPr>
              <w:t>vertė už pinigus</w:t>
            </w:r>
            <w:r w:rsidRPr="00743A4A">
              <w:rPr>
                <w:rFonts w:ascii="Times New Roman" w:hAnsi="Times New Roman" w:cs="Times New Roman"/>
                <w:color w:val="000000" w:themeColor="text1"/>
                <w:sz w:val="24"/>
                <w:szCs w:val="24"/>
              </w:rPr>
              <w:t xml:space="preserve">“ reiškia, kad </w:t>
            </w:r>
            <w:r w:rsidRPr="00743A4A">
              <w:rPr>
                <w:rFonts w:ascii="Times New Roman" w:hAnsi="Times New Roman" w:cs="Times New Roman"/>
                <w:b/>
                <w:i/>
                <w:color w:val="000000" w:themeColor="text1"/>
                <w:sz w:val="24"/>
                <w:szCs w:val="24"/>
              </w:rPr>
              <w:t>kiekvienas įgyvendinamas viešasis pirkimas turi sudaryti sąlygas perkančiajai organizacijai įsigyti tai, ko būtent jai reikia</w:t>
            </w:r>
            <w:r w:rsidRPr="00743A4A">
              <w:rPr>
                <w:rFonts w:ascii="Times New Roman" w:hAnsi="Times New Roman" w:cs="Times New Roman"/>
                <w:color w:val="000000" w:themeColor="text1"/>
                <w:sz w:val="24"/>
                <w:szCs w:val="24"/>
              </w:rPr>
              <w:t xml:space="preserve"> konkrečiu momentu. </w:t>
            </w:r>
            <w:r w:rsidRPr="00743A4A">
              <w:rPr>
                <w:rFonts w:ascii="Times New Roman" w:hAnsi="Times New Roman" w:cs="Times New Roman"/>
                <w:b/>
                <w:i/>
                <w:color w:val="000000" w:themeColor="text1"/>
                <w:sz w:val="24"/>
                <w:szCs w:val="24"/>
              </w:rPr>
              <w:t>Kitaip tariant, perkamos prekės, paslaugos arba darbai turi atitikti perkančiosios organizacijos poreikius.</w:t>
            </w:r>
            <w:r w:rsidRPr="00743A4A">
              <w:rPr>
                <w:rFonts w:ascii="Times New Roman" w:hAnsi="Times New Roman" w:cs="Times New Roman"/>
                <w:color w:val="000000" w:themeColor="text1"/>
                <w:sz w:val="24"/>
                <w:szCs w:val="24"/>
              </w:rPr>
              <w:t xml:space="preserve"> Šiuo aspektu </w:t>
            </w:r>
            <w:r w:rsidRPr="00743A4A">
              <w:rPr>
                <w:rFonts w:ascii="Times New Roman" w:hAnsi="Times New Roman" w:cs="Times New Roman"/>
                <w:b/>
                <w:i/>
                <w:color w:val="000000" w:themeColor="text1"/>
                <w:sz w:val="24"/>
                <w:szCs w:val="24"/>
              </w:rPr>
              <w:t>perkančiosioms organizacijoms yra suteikiama diskrecijos teisė nuspręsti, ką konkrečiai joms reikia įsigyti, kokias savybes turi atitikti pirkimo objektas</w:t>
            </w:r>
            <w:r w:rsidRPr="00743A4A">
              <w:rPr>
                <w:rFonts w:ascii="Times New Roman" w:hAnsi="Times New Roman" w:cs="Times New Roman"/>
                <w:color w:val="000000" w:themeColor="text1"/>
                <w:sz w:val="24"/>
                <w:szCs w:val="24"/>
              </w:rPr>
              <w:t xml:space="preserve"> (prekės, paslaugos arba darbai) ir kokios savybės yra geriausios ne apskritai, o būtent konkretų pirkimą organizuojančiai perkančiajai organizacijai &lt;...&gt;”</w:t>
            </w:r>
            <w:r>
              <w:rPr>
                <w:rFonts w:ascii="Times New Roman" w:hAnsi="Times New Roman" w:cs="Times New Roman"/>
                <w:color w:val="000000" w:themeColor="text1"/>
                <w:sz w:val="24"/>
                <w:szCs w:val="24"/>
              </w:rPr>
              <w:t>.</w:t>
            </w:r>
            <w:r w:rsidRPr="00743A4A">
              <w:rPr>
                <w:rFonts w:ascii="Times New Roman" w:hAnsi="Times New Roman" w:cs="Times New Roman"/>
                <w:color w:val="000000" w:themeColor="text1"/>
                <w:sz w:val="24"/>
                <w:szCs w:val="24"/>
              </w:rPr>
              <w:t xml:space="preserve"> </w:t>
            </w:r>
          </w:p>
          <w:p w14:paraId="0A7D59AA" w14:textId="77777777" w:rsidR="009A0A5B" w:rsidRDefault="009A0A5B" w:rsidP="007B0414">
            <w:pPr>
              <w:jc w:val="both"/>
              <w:rPr>
                <w:rFonts w:ascii="Times New Roman" w:hAnsi="Times New Roman" w:cs="Times New Roman"/>
                <w:sz w:val="24"/>
                <w:szCs w:val="24"/>
              </w:rPr>
            </w:pPr>
          </w:p>
          <w:p w14:paraId="05E57307" w14:textId="77777777" w:rsidR="009A0A5B" w:rsidRDefault="009A0A5B" w:rsidP="007B0414">
            <w:pPr>
              <w:jc w:val="both"/>
              <w:rPr>
                <w:rFonts w:ascii="Times New Roman" w:hAnsi="Times New Roman" w:cs="Times New Roman"/>
                <w:sz w:val="24"/>
                <w:szCs w:val="24"/>
              </w:rPr>
            </w:pPr>
            <w:r w:rsidRPr="0069376C">
              <w:rPr>
                <w:rFonts w:ascii="Times New Roman" w:hAnsi="Times New Roman" w:cs="Times New Roman"/>
                <w:sz w:val="24"/>
                <w:szCs w:val="24"/>
              </w:rPr>
              <w:t xml:space="preserve">Chronometrinis metodas, pagristas klampumo pokyčio nustatymu yra apibrėžtas kaip krešumo sistemos tyrimo standartas (CAP Hematology and Coagulation Check list HEM.37300, 2014, CLSI H57-A, Protocol for the Evaluation, Validation, and Implementation of Coagulometers; Approved Guideline). Šis metodinis standartas nurodo ir koagulometrinės sistemos techninį liudijimą bei techninės specifikacijos reikalavimą. Be to, atkreipiame Jūsų dėmesį, jog </w:t>
            </w:r>
            <w:r>
              <w:rPr>
                <w:rFonts w:ascii="Times New Roman" w:hAnsi="Times New Roman" w:cs="Times New Roman"/>
                <w:sz w:val="24"/>
                <w:szCs w:val="24"/>
              </w:rPr>
              <w:t xml:space="preserve">reagentų ir papildomų priemonių kraujo krešėjimo tyrimams atlikti su įrangos įsigijimu panaudos būdu (2 priedo) </w:t>
            </w:r>
            <w:r w:rsidRPr="0069376C">
              <w:rPr>
                <w:rFonts w:ascii="Times New Roman" w:hAnsi="Times New Roman" w:cs="Times New Roman"/>
                <w:sz w:val="24"/>
                <w:szCs w:val="24"/>
              </w:rPr>
              <w:t xml:space="preserve">techninės </w:t>
            </w:r>
            <w:r w:rsidRPr="0069376C">
              <w:rPr>
                <w:rFonts w:ascii="Times New Roman" w:hAnsi="Times New Roman" w:cs="Times New Roman"/>
                <w:sz w:val="24"/>
                <w:szCs w:val="24"/>
              </w:rPr>
              <w:lastRenderedPageBreak/>
              <w:t xml:space="preserve">specifikacijos 2 punkto </w:t>
            </w:r>
            <w:r>
              <w:rPr>
                <w:rFonts w:ascii="Times New Roman" w:hAnsi="Times New Roman" w:cs="Times New Roman"/>
                <w:sz w:val="24"/>
                <w:szCs w:val="24"/>
              </w:rPr>
              <w:t>„</w:t>
            </w:r>
            <w:r w:rsidRPr="0069376C">
              <w:rPr>
                <w:rFonts w:ascii="Times New Roman" w:hAnsi="Times New Roman" w:cs="Times New Roman"/>
                <w:sz w:val="24"/>
                <w:szCs w:val="24"/>
              </w:rPr>
              <w:t>Matavimo metodai</w:t>
            </w:r>
            <w:r>
              <w:rPr>
                <w:rFonts w:ascii="Times New Roman" w:hAnsi="Times New Roman" w:cs="Times New Roman"/>
                <w:sz w:val="24"/>
                <w:szCs w:val="24"/>
              </w:rPr>
              <w:t xml:space="preserve">“ </w:t>
            </w:r>
            <w:r w:rsidRPr="0069376C">
              <w:rPr>
                <w:rFonts w:ascii="Times New Roman" w:hAnsi="Times New Roman" w:cs="Times New Roman"/>
                <w:sz w:val="24"/>
                <w:szCs w:val="24"/>
              </w:rPr>
              <w:t>a) papunktis nustato, jog reikalaujamas „chronometrinis elektromagnetinis mechaninis arba lygiavertis metodas</w:t>
            </w:r>
            <w:r>
              <w:rPr>
                <w:rFonts w:ascii="Times New Roman" w:hAnsi="Times New Roman" w:cs="Times New Roman"/>
                <w:sz w:val="24"/>
                <w:szCs w:val="24"/>
              </w:rPr>
              <w:t xml:space="preserve"> &lt;</w:t>
            </w:r>
            <w:r w:rsidRPr="0069376C">
              <w:rPr>
                <w:rFonts w:ascii="Times New Roman" w:hAnsi="Times New Roman" w:cs="Times New Roman"/>
                <w:sz w:val="24"/>
                <w:szCs w:val="24"/>
              </w:rPr>
              <w:t xml:space="preserve">...&gt;“, todėl gali būti siūlomas ir kitas, lygiavertis metodas, leidžiantis išmatuoti normalias, bet kokio lygio lipemiškas, hemolizuotas, ikterines plazmas be įtakos analizei. Tokiu būdu negalime sutikti su </w:t>
            </w:r>
            <w:r>
              <w:rPr>
                <w:rFonts w:ascii="Times New Roman" w:hAnsi="Times New Roman" w:cs="Times New Roman"/>
                <w:sz w:val="24"/>
                <w:szCs w:val="24"/>
              </w:rPr>
              <w:t>tiekėjo</w:t>
            </w:r>
            <w:r w:rsidRPr="0069376C">
              <w:rPr>
                <w:rFonts w:ascii="Times New Roman" w:hAnsi="Times New Roman" w:cs="Times New Roman"/>
                <w:sz w:val="24"/>
                <w:szCs w:val="24"/>
              </w:rPr>
              <w:t xml:space="preserve"> teiginiu, jog „siūlantiems kitokį matavimo metodą apribojama galimybė dalyvauti pirkime“. Galimybė be papildomų procedūrų ištirti lipeminius, hemolizuotus ir ikterinius mėginius yra svarbi dėl šių moksliniais įrodymais pagrįstų priežasčių: </w:t>
            </w:r>
          </w:p>
          <w:p w14:paraId="4E7A83B9" w14:textId="77777777" w:rsidR="009A0A5B" w:rsidRDefault="009A0A5B" w:rsidP="007B0414">
            <w:pPr>
              <w:jc w:val="both"/>
              <w:rPr>
                <w:rFonts w:ascii="Times New Roman" w:hAnsi="Times New Roman" w:cs="Times New Roman"/>
                <w:sz w:val="24"/>
                <w:szCs w:val="24"/>
              </w:rPr>
            </w:pPr>
            <w:r>
              <w:rPr>
                <w:rFonts w:ascii="Times New Roman" w:hAnsi="Times New Roman" w:cs="Times New Roman"/>
                <w:sz w:val="24"/>
                <w:szCs w:val="24"/>
              </w:rPr>
              <w:t xml:space="preserve">- </w:t>
            </w:r>
            <w:r w:rsidRPr="0069376C">
              <w:rPr>
                <w:rFonts w:ascii="Times New Roman" w:hAnsi="Times New Roman" w:cs="Times New Roman"/>
                <w:sz w:val="24"/>
                <w:szCs w:val="24"/>
              </w:rPr>
              <w:t xml:space="preserve">yra nemaža lipeminių, hemolizuotų ir ikterinių mėginių dalis, kurių neįmanoma išvengti dėl objektyvių ir subjektyvių priežasčių; </w:t>
            </w:r>
          </w:p>
          <w:p w14:paraId="4D1C222E" w14:textId="77777777" w:rsidR="009A0A5B" w:rsidRDefault="009A0A5B" w:rsidP="007B0414">
            <w:pPr>
              <w:jc w:val="both"/>
              <w:rPr>
                <w:rFonts w:ascii="Times New Roman" w:hAnsi="Times New Roman" w:cs="Times New Roman"/>
                <w:sz w:val="24"/>
                <w:szCs w:val="24"/>
              </w:rPr>
            </w:pPr>
            <w:r>
              <w:rPr>
                <w:rFonts w:ascii="Times New Roman" w:hAnsi="Times New Roman" w:cs="Times New Roman"/>
                <w:sz w:val="24"/>
                <w:szCs w:val="24"/>
              </w:rPr>
              <w:t xml:space="preserve">- </w:t>
            </w:r>
            <w:r w:rsidRPr="0069376C">
              <w:rPr>
                <w:rFonts w:ascii="Times New Roman" w:hAnsi="Times New Roman" w:cs="Times New Roman"/>
                <w:sz w:val="24"/>
                <w:szCs w:val="24"/>
              </w:rPr>
              <w:t>pakartotinio kraujo mėginio ėmimo išvengimas;</w:t>
            </w:r>
          </w:p>
          <w:p w14:paraId="4B580D9C" w14:textId="77777777" w:rsidR="009A0A5B" w:rsidRPr="0069376C" w:rsidRDefault="009A0A5B" w:rsidP="007B0414">
            <w:pPr>
              <w:jc w:val="both"/>
              <w:rPr>
                <w:rFonts w:ascii="Times New Roman" w:hAnsi="Times New Roman" w:cs="Times New Roman"/>
                <w:sz w:val="24"/>
                <w:szCs w:val="24"/>
              </w:rPr>
            </w:pPr>
            <w:r>
              <w:rPr>
                <w:rFonts w:ascii="Times New Roman" w:hAnsi="Times New Roman" w:cs="Times New Roman"/>
                <w:sz w:val="24"/>
                <w:szCs w:val="24"/>
              </w:rPr>
              <w:t>-</w:t>
            </w:r>
            <w:r w:rsidRPr="0069376C">
              <w:rPr>
                <w:rFonts w:ascii="Times New Roman" w:hAnsi="Times New Roman" w:cs="Times New Roman"/>
                <w:sz w:val="24"/>
                <w:szCs w:val="24"/>
              </w:rPr>
              <w:t xml:space="preserve"> laboratorijos darbo efektyvumo ir tyrimų rezultatų gavimo greičio.</w:t>
            </w:r>
          </w:p>
          <w:p w14:paraId="0C0EFDC8" w14:textId="77777777" w:rsidR="009A0A5B" w:rsidRDefault="009A0A5B" w:rsidP="007B0414">
            <w:pPr>
              <w:jc w:val="both"/>
              <w:rPr>
                <w:rFonts w:ascii="Times New Roman" w:hAnsi="Times New Roman" w:cs="Times New Roman"/>
                <w:color w:val="000000" w:themeColor="text1"/>
                <w:sz w:val="24"/>
                <w:szCs w:val="24"/>
              </w:rPr>
            </w:pPr>
          </w:p>
          <w:p w14:paraId="362A888C" w14:textId="7FE9AD26" w:rsidR="009A0A5B" w:rsidRPr="007B0414" w:rsidRDefault="009A0A5B" w:rsidP="007B0414">
            <w:pPr>
              <w:jc w:val="both"/>
              <w:rPr>
                <w:rFonts w:ascii="Times New Roman" w:hAnsi="Times New Roman" w:cs="Times New Roman"/>
                <w:color w:val="FF0000"/>
                <w:sz w:val="24"/>
                <w:szCs w:val="24"/>
              </w:rPr>
            </w:pPr>
            <w:r>
              <w:rPr>
                <w:rFonts w:ascii="Times New Roman" w:hAnsi="Times New Roman" w:cs="Times New Roman"/>
                <w:sz w:val="24"/>
                <w:szCs w:val="24"/>
              </w:rPr>
              <w:t xml:space="preserve">Atsižvelgiant į aukščiau pateiktą informaciją, </w:t>
            </w:r>
            <w:r w:rsidRPr="005856B5">
              <w:rPr>
                <w:rFonts w:ascii="Times New Roman" w:hAnsi="Times New Roman" w:cs="Times New Roman"/>
                <w:b/>
                <w:sz w:val="24"/>
                <w:szCs w:val="24"/>
              </w:rPr>
              <w:t>iš</w:t>
            </w:r>
            <w:r w:rsidRPr="005856B5">
              <w:rPr>
                <w:rFonts w:ascii="Times New Roman" w:hAnsi="Times New Roman" w:cs="Times New Roman"/>
                <w:sz w:val="24"/>
                <w:szCs w:val="24"/>
              </w:rPr>
              <w:t xml:space="preserve"> </w:t>
            </w:r>
            <w:r w:rsidRPr="005856B5">
              <w:rPr>
                <w:rFonts w:ascii="Times New Roman" w:hAnsi="Times New Roman" w:cs="Times New Roman"/>
                <w:b/>
                <w:sz w:val="24"/>
                <w:szCs w:val="24"/>
              </w:rPr>
              <w:t>1 punkto reikalavimų bus išbrauktas sakinys: „Mėginys – citruota plazma: normali, bet kokio lygio  hemolizuota, ikterinė, lipeminė.“</w:t>
            </w:r>
          </w:p>
        </w:tc>
      </w:tr>
      <w:tr w:rsidR="009A0A5B" w:rsidRPr="003C2C16" w14:paraId="6AAD7530" w14:textId="77777777" w:rsidTr="007B0414">
        <w:trPr>
          <w:trHeight w:val="390"/>
        </w:trPr>
        <w:tc>
          <w:tcPr>
            <w:tcW w:w="540" w:type="dxa"/>
            <w:shd w:val="clear" w:color="auto" w:fill="auto"/>
            <w:hideMark/>
          </w:tcPr>
          <w:p w14:paraId="5D8640F0" w14:textId="77777777" w:rsidR="009A0A5B" w:rsidRPr="003C2C16" w:rsidRDefault="009A0A5B" w:rsidP="007B0414">
            <w:pPr>
              <w:jc w:val="center"/>
              <w:outlineLvl w:val="0"/>
              <w:rPr>
                <w:rFonts w:ascii="Times New Roman" w:hAnsi="Times New Roman" w:cs="Times New Roman"/>
              </w:rPr>
            </w:pPr>
            <w:r w:rsidRPr="003C2C16">
              <w:rPr>
                <w:rFonts w:ascii="Times New Roman" w:hAnsi="Times New Roman" w:cs="Times New Roman"/>
              </w:rPr>
              <w:lastRenderedPageBreak/>
              <w:t>2.</w:t>
            </w:r>
          </w:p>
        </w:tc>
        <w:tc>
          <w:tcPr>
            <w:tcW w:w="1549" w:type="dxa"/>
            <w:shd w:val="clear" w:color="auto" w:fill="auto"/>
            <w:hideMark/>
          </w:tcPr>
          <w:p w14:paraId="02761334" w14:textId="77777777" w:rsidR="009A0A5B" w:rsidRPr="003C2C16" w:rsidRDefault="009A0A5B" w:rsidP="007B0414">
            <w:pPr>
              <w:jc w:val="both"/>
              <w:outlineLvl w:val="0"/>
              <w:rPr>
                <w:rFonts w:ascii="Times New Roman" w:hAnsi="Times New Roman" w:cs="Times New Roman"/>
              </w:rPr>
            </w:pPr>
            <w:r w:rsidRPr="003C2C16">
              <w:rPr>
                <w:rFonts w:ascii="Times New Roman" w:hAnsi="Times New Roman" w:cs="Times New Roman"/>
              </w:rPr>
              <w:t xml:space="preserve">Aktyvinto dalinio tromboplastino laiko </w:t>
            </w:r>
            <w:r w:rsidRPr="003C2C16">
              <w:rPr>
                <w:rFonts w:ascii="Times New Roman" w:hAnsi="Times New Roman" w:cs="Times New Roman"/>
              </w:rPr>
              <w:lastRenderedPageBreak/>
              <w:t>nustatymas (ADTL)</w:t>
            </w:r>
          </w:p>
        </w:tc>
        <w:tc>
          <w:tcPr>
            <w:tcW w:w="2099" w:type="dxa"/>
            <w:shd w:val="clear" w:color="auto" w:fill="auto"/>
            <w:hideMark/>
          </w:tcPr>
          <w:p w14:paraId="06CB6778" w14:textId="77777777" w:rsidR="009A0A5B" w:rsidRPr="005856B5" w:rsidRDefault="009A0A5B" w:rsidP="007B0414">
            <w:pPr>
              <w:jc w:val="both"/>
              <w:outlineLvl w:val="0"/>
              <w:rPr>
                <w:rFonts w:ascii="Times New Roman" w:hAnsi="Times New Roman" w:cs="Times New Roman"/>
              </w:rPr>
            </w:pPr>
            <w:r w:rsidRPr="005856B5">
              <w:rPr>
                <w:rFonts w:ascii="Times New Roman" w:hAnsi="Times New Roman" w:cs="Times New Roman"/>
              </w:rPr>
              <w:lastRenderedPageBreak/>
              <w:t>Mėginys– citruota plazma: normali, bet kokio lygio  hemolizuota, ikterinė, lipeminė.</w:t>
            </w:r>
          </w:p>
          <w:p w14:paraId="444D1534" w14:textId="77777777" w:rsidR="009A0A5B" w:rsidRPr="003C2C16" w:rsidRDefault="009A0A5B" w:rsidP="007B0414">
            <w:pPr>
              <w:jc w:val="both"/>
              <w:outlineLvl w:val="0"/>
              <w:rPr>
                <w:rFonts w:ascii="Times New Roman" w:hAnsi="Times New Roman" w:cs="Times New Roman"/>
              </w:rPr>
            </w:pPr>
            <w:r w:rsidRPr="003C2C16">
              <w:rPr>
                <w:rFonts w:ascii="Times New Roman" w:hAnsi="Times New Roman" w:cs="Times New Roman"/>
              </w:rPr>
              <w:lastRenderedPageBreak/>
              <w:t>Rekalcifikacijos metodas.</w:t>
            </w:r>
          </w:p>
        </w:tc>
        <w:tc>
          <w:tcPr>
            <w:tcW w:w="5747" w:type="dxa"/>
            <w:shd w:val="clear" w:color="auto" w:fill="auto"/>
          </w:tcPr>
          <w:p w14:paraId="5C33359C" w14:textId="77777777" w:rsidR="009A0A5B" w:rsidRDefault="009A0A5B" w:rsidP="007B0414">
            <w:pPr>
              <w:spacing w:line="259" w:lineRule="auto"/>
              <w:jc w:val="both"/>
              <w:outlineLvl w:val="0"/>
              <w:rPr>
                <w:rFonts w:ascii="Times New Roman" w:hAnsi="Times New Roman" w:cs="Times New Roman"/>
                <w:i/>
                <w:iCs/>
                <w:sz w:val="24"/>
                <w:szCs w:val="24"/>
              </w:rPr>
            </w:pPr>
            <w:r w:rsidRPr="00F25274">
              <w:rPr>
                <w:rFonts w:ascii="Times New Roman" w:hAnsi="Times New Roman" w:cs="Times New Roman"/>
                <w:sz w:val="24"/>
                <w:szCs w:val="24"/>
                <w:highlight w:val="green"/>
              </w:rPr>
              <w:lastRenderedPageBreak/>
              <w:t>Tiekėjo B pastaba:</w:t>
            </w:r>
            <w:r>
              <w:rPr>
                <w:rFonts w:ascii="Times New Roman" w:hAnsi="Times New Roman" w:cs="Times New Roman"/>
                <w:sz w:val="24"/>
                <w:szCs w:val="24"/>
              </w:rPr>
              <w:t xml:space="preserve"> </w:t>
            </w:r>
            <w:r w:rsidRPr="003F6EDD">
              <w:rPr>
                <w:rFonts w:ascii="Times New Roman" w:hAnsi="Times New Roman" w:cs="Times New Roman"/>
                <w:sz w:val="24"/>
                <w:szCs w:val="24"/>
              </w:rPr>
              <w:t xml:space="preserve">Teigti, kad ADTL analitei tinka hemolizuoti, ikteriniai ir/ar lipeminiai mėginiai iš esmės klaidingas požiūris. Pateikiame straipsnio "Effects of haemolysis, icterus and lipemia on coagulation tests as performed on Stago STA_Compact_MAX analysers" </w:t>
            </w:r>
            <w:r w:rsidRPr="003F6EDD">
              <w:rPr>
                <w:rFonts w:ascii="Times New Roman" w:hAnsi="Times New Roman" w:cs="Times New Roman"/>
                <w:sz w:val="24"/>
                <w:szCs w:val="24"/>
              </w:rPr>
              <w:lastRenderedPageBreak/>
              <w:t>ištrauką kodėl ADTL analitei netinkami  hemolizuoti, ikteriniai ir/ar lipeminiai mėginiai. Prašome punktą koreguoti, numatant reikalavimą, kad analizatoriai turėtų galimybę nustatyti HIL (hemolizę, bilirubino kiekį, lipemiją) ir įspėti vartotoją esant kritinėms vertėms".</w:t>
            </w:r>
          </w:p>
          <w:p w14:paraId="339C8866" w14:textId="77777777" w:rsidR="009A0A5B" w:rsidRPr="00C457C2" w:rsidRDefault="009A0A5B" w:rsidP="007B0414">
            <w:pPr>
              <w:jc w:val="both"/>
              <w:rPr>
                <w:rFonts w:ascii="Times New Roman" w:hAnsi="Times New Roman" w:cs="Times New Roman"/>
                <w:i/>
                <w:iCs/>
                <w:sz w:val="24"/>
                <w:szCs w:val="24"/>
              </w:rPr>
            </w:pPr>
            <w:r>
              <w:rPr>
                <w:noProof/>
                <w:lang w:val="en-US"/>
              </w:rPr>
              <w:drawing>
                <wp:inline distT="0" distB="0" distL="0" distR="0" wp14:anchorId="6B220B22" wp14:editId="1412056D">
                  <wp:extent cx="3512714" cy="2489290"/>
                  <wp:effectExtent l="0" t="0" r="0" b="6350"/>
                  <wp:docPr id="12" name="Picture 11" descr="A document with text on it&#10;&#10;Description automatically generated">
                    <a:extLst xmlns:a="http://schemas.openxmlformats.org/drawingml/2006/main">
                      <a:ext uri="{FF2B5EF4-FFF2-40B4-BE49-F238E27FC236}">
                        <a16:creationId xmlns:a16="http://schemas.microsoft.com/office/drawing/2014/main" id="{A8D15D4D-D234-4DEF-8E42-CC0DCFAB83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document with text on it&#10;&#10;Description automatically generated">
                            <a:extLst>
                              <a:ext uri="{FF2B5EF4-FFF2-40B4-BE49-F238E27FC236}">
                                <a16:creationId xmlns:a16="http://schemas.microsoft.com/office/drawing/2014/main" id="{A8D15D4D-D234-4DEF-8E42-CC0DCFAB8359}"/>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9434" cy="2494052"/>
                          </a:xfrm>
                          <a:prstGeom prst="rect">
                            <a:avLst/>
                          </a:prstGeom>
                          <a:noFill/>
                          <a:ln>
                            <a:noFill/>
                          </a:ln>
                        </pic:spPr>
                      </pic:pic>
                    </a:graphicData>
                  </a:graphic>
                </wp:inline>
              </w:drawing>
            </w:r>
          </w:p>
          <w:p w14:paraId="17298C05" w14:textId="77777777" w:rsidR="009A0A5B" w:rsidRPr="003C2C16" w:rsidRDefault="009A0A5B" w:rsidP="007B0414">
            <w:pPr>
              <w:outlineLvl w:val="0"/>
              <w:rPr>
                <w:rFonts w:ascii="Times New Roman" w:hAnsi="Times New Roman" w:cs="Times New Roman"/>
                <w:i/>
                <w:iCs/>
              </w:rPr>
            </w:pPr>
          </w:p>
        </w:tc>
        <w:tc>
          <w:tcPr>
            <w:tcW w:w="5429" w:type="dxa"/>
          </w:tcPr>
          <w:p w14:paraId="2FED62ED" w14:textId="77777777" w:rsidR="009A0A5B" w:rsidRDefault="009A0A5B" w:rsidP="007B0414">
            <w:pPr>
              <w:ind w:firstLine="16"/>
              <w:jc w:val="both"/>
              <w:rPr>
                <w:rFonts w:ascii="Times New Roman" w:hAnsi="Times New Roman" w:cs="Times New Roman"/>
                <w:sz w:val="24"/>
                <w:szCs w:val="24"/>
              </w:rPr>
            </w:pPr>
            <w:r w:rsidRPr="00E47C50">
              <w:rPr>
                <w:rFonts w:ascii="Times New Roman" w:hAnsi="Times New Roman" w:cs="Times New Roman"/>
                <w:sz w:val="24"/>
                <w:szCs w:val="24"/>
              </w:rPr>
              <w:lastRenderedPageBreak/>
              <w:t xml:space="preserve">Vadovaujantis naujesne nei </w:t>
            </w:r>
            <w:r>
              <w:rPr>
                <w:rFonts w:ascii="Times New Roman" w:hAnsi="Times New Roman" w:cs="Times New Roman"/>
                <w:sz w:val="24"/>
                <w:szCs w:val="24"/>
              </w:rPr>
              <w:t>tiekėjo</w:t>
            </w:r>
            <w:r w:rsidRPr="00E47C50">
              <w:rPr>
                <w:rFonts w:ascii="Times New Roman" w:hAnsi="Times New Roman" w:cs="Times New Roman"/>
                <w:sz w:val="24"/>
                <w:szCs w:val="24"/>
              </w:rPr>
              <w:t xml:space="preserve"> nurodyt</w:t>
            </w:r>
            <w:r>
              <w:rPr>
                <w:rFonts w:ascii="Times New Roman" w:hAnsi="Times New Roman" w:cs="Times New Roman"/>
                <w:sz w:val="24"/>
                <w:szCs w:val="24"/>
              </w:rPr>
              <w:t>ame</w:t>
            </w:r>
            <w:r w:rsidRPr="00E47C50">
              <w:rPr>
                <w:rFonts w:ascii="Times New Roman" w:hAnsi="Times New Roman" w:cs="Times New Roman"/>
                <w:sz w:val="24"/>
                <w:szCs w:val="24"/>
              </w:rPr>
              <w:t xml:space="preserve"> šaltin</w:t>
            </w:r>
            <w:r>
              <w:rPr>
                <w:rFonts w:ascii="Times New Roman" w:hAnsi="Times New Roman" w:cs="Times New Roman"/>
                <w:sz w:val="24"/>
                <w:szCs w:val="24"/>
              </w:rPr>
              <w:t>yje</w:t>
            </w:r>
            <w:r w:rsidRPr="00E47C50">
              <w:rPr>
                <w:rFonts w:ascii="Times New Roman" w:hAnsi="Times New Roman" w:cs="Times New Roman"/>
                <w:sz w:val="24"/>
                <w:szCs w:val="24"/>
              </w:rPr>
              <w:t xml:space="preserve"> cituojama informacija, yra pateikiamos tokios rekomendacijos, kaip pvz.: „</w:t>
            </w:r>
            <w:r w:rsidRPr="00E47C50">
              <w:rPr>
                <w:rFonts w:ascii="Times New Roman" w:hAnsi="Times New Roman" w:cs="Times New Roman"/>
                <w:b/>
                <w:i/>
                <w:sz w:val="24"/>
                <w:szCs w:val="24"/>
              </w:rPr>
              <w:t>Pacientų, kuriems pasireiškė in vivo hemolizė, mėginiai krešėjimo tyrimams gali būti priimti ir ištirti</w:t>
            </w:r>
            <w:r w:rsidRPr="00E47C50">
              <w:rPr>
                <w:rFonts w:ascii="Times New Roman" w:hAnsi="Times New Roman" w:cs="Times New Roman"/>
                <w:sz w:val="24"/>
                <w:szCs w:val="24"/>
              </w:rPr>
              <w:t>“, „</w:t>
            </w:r>
            <w:r w:rsidRPr="00E47C50">
              <w:rPr>
                <w:rFonts w:ascii="Times New Roman" w:hAnsi="Times New Roman" w:cs="Times New Roman"/>
                <w:b/>
                <w:i/>
                <w:sz w:val="24"/>
                <w:szCs w:val="24"/>
              </w:rPr>
              <w:t xml:space="preserve">Citratuoti </w:t>
            </w:r>
            <w:r w:rsidRPr="00E47C50">
              <w:rPr>
                <w:rFonts w:ascii="Times New Roman" w:hAnsi="Times New Roman" w:cs="Times New Roman"/>
                <w:b/>
                <w:i/>
                <w:sz w:val="24"/>
                <w:szCs w:val="24"/>
              </w:rPr>
              <w:lastRenderedPageBreak/>
              <w:t>mėginiai su hiperbilirubinemija PT, APTT ir fibrinogeno krešėjimo tyrimams turi būti priimti analizei</w:t>
            </w:r>
            <w:r w:rsidRPr="00E47C50">
              <w:rPr>
                <w:rFonts w:ascii="Times New Roman" w:hAnsi="Times New Roman" w:cs="Times New Roman"/>
                <w:sz w:val="24"/>
                <w:szCs w:val="24"/>
              </w:rPr>
              <w:t>“, „</w:t>
            </w:r>
            <w:r w:rsidRPr="00E47C50">
              <w:rPr>
                <w:rFonts w:ascii="Times New Roman" w:hAnsi="Times New Roman" w:cs="Times New Roman"/>
                <w:b/>
                <w:i/>
                <w:sz w:val="24"/>
                <w:szCs w:val="24"/>
              </w:rPr>
              <w:t>Mėginiai su aptinkama lipemija neturėtų būti atmetami, nes pakaitiniai mėginiai gali turėti panašias savybes, o perteklinių lipidų poveikis paciento mėginiuose krešėjimo tyrimų rezultatams yra mažas ir paprastai kliniškai nereikšmingas</w:t>
            </w:r>
            <w:r w:rsidRPr="00E47C50">
              <w:rPr>
                <w:rFonts w:ascii="Times New Roman" w:hAnsi="Times New Roman" w:cs="Times New Roman"/>
                <w:sz w:val="24"/>
                <w:szCs w:val="24"/>
              </w:rPr>
              <w:t xml:space="preserve">“ (šaltinis: Kitchen S, Adcock DM, Dauer R, Kristoffersen AH, Lippi G, Mackie I, Marlar RA, Nair S. International Council for Standardization in Haematology (ICSH) recommendations for processing of blood samples for coagulation testing. Int J Lab Hematol. 2021 Dec;43(6):1272-1283. doi: 10.1111/ijlh.13702. Epub 2021 Sep 27. PMID: 34581008.). </w:t>
            </w:r>
          </w:p>
          <w:p w14:paraId="40F8E009" w14:textId="71C9C517" w:rsidR="009A0A5B" w:rsidRPr="007B0414" w:rsidRDefault="009A0A5B" w:rsidP="007B0414">
            <w:pPr>
              <w:ind w:firstLine="16"/>
              <w:jc w:val="both"/>
              <w:rPr>
                <w:rFonts w:ascii="Times New Roman" w:hAnsi="Times New Roman" w:cs="Times New Roman"/>
                <w:b/>
                <w:bCs/>
                <w:strike/>
                <w:color w:val="FF0000"/>
                <w:sz w:val="24"/>
                <w:szCs w:val="24"/>
              </w:rPr>
            </w:pPr>
            <w:r w:rsidRPr="00E47C50">
              <w:rPr>
                <w:rFonts w:ascii="Times New Roman" w:hAnsi="Times New Roman" w:cs="Times New Roman"/>
                <w:sz w:val="24"/>
                <w:szCs w:val="24"/>
              </w:rPr>
              <w:t xml:space="preserve">Atsižvelgiant į aukščiau pateiktą informaciją, </w:t>
            </w:r>
            <w:r w:rsidRPr="005856B5">
              <w:rPr>
                <w:rFonts w:ascii="Times New Roman" w:hAnsi="Times New Roman" w:cs="Times New Roman"/>
                <w:b/>
                <w:bCs/>
                <w:sz w:val="24"/>
                <w:szCs w:val="24"/>
              </w:rPr>
              <w:t>iš 2 punkto reikalavimų bus išbrauktas sakinys: „Mėginys – citruota plazma: normali, bet kokio lygio  hemolizuota, ikterinė, lipeminė.“</w:t>
            </w:r>
          </w:p>
          <w:p w14:paraId="26B78D1E" w14:textId="4DDC7412" w:rsidR="009A0A5B" w:rsidRPr="00E14938" w:rsidRDefault="00731A12" w:rsidP="00E14938">
            <w:pPr>
              <w:jc w:val="both"/>
              <w:rPr>
                <w:rFonts w:ascii="Times New Roman" w:hAnsi="Times New Roman" w:cs="Times New Roman"/>
                <w:color w:val="000000" w:themeColor="text1"/>
                <w:sz w:val="24"/>
                <w:szCs w:val="24"/>
              </w:rPr>
            </w:pPr>
            <w:r w:rsidRPr="00096BF8">
              <w:rPr>
                <w:rFonts w:ascii="Times New Roman" w:hAnsi="Times New Roman" w:cs="Times New Roman"/>
                <w:b/>
                <w:bCs/>
                <w:sz w:val="24"/>
                <w:szCs w:val="24"/>
              </w:rPr>
              <w:t>Rinkos tyrimo metu nustatyta, kad bent 3 gamintojai atitinka keliamą sąlygą:</w:t>
            </w:r>
            <w:r>
              <w:rPr>
                <w:rFonts w:ascii="Times New Roman" w:hAnsi="Times New Roman" w:cs="Times New Roman"/>
                <w:b/>
                <w:bCs/>
                <w:sz w:val="24"/>
                <w:szCs w:val="24"/>
              </w:rPr>
              <w:t xml:space="preserve"> </w:t>
            </w:r>
            <w:r w:rsidR="00E14938" w:rsidRPr="00E14938">
              <w:rPr>
                <w:rFonts w:ascii="Times New Roman" w:hAnsi="Times New Roman" w:cs="Times New Roman"/>
                <w:sz w:val="24"/>
                <w:szCs w:val="24"/>
              </w:rPr>
              <w:t>1.</w:t>
            </w:r>
            <w:r w:rsidR="00E14938" w:rsidRPr="005856B5">
              <w:rPr>
                <w:sz w:val="24"/>
                <w:szCs w:val="24"/>
              </w:rPr>
              <w:t xml:space="preserve"> </w:t>
            </w:r>
            <w:proofErr w:type="spellStart"/>
            <w:r w:rsidR="00E14938" w:rsidRPr="00E14938">
              <w:rPr>
                <w:rFonts w:ascii="Times New Roman" w:hAnsi="Times New Roman" w:cs="Times New Roman"/>
                <w:color w:val="000000" w:themeColor="text1"/>
                <w:sz w:val="24"/>
                <w:szCs w:val="24"/>
              </w:rPr>
              <w:t>Diagnostica</w:t>
            </w:r>
            <w:proofErr w:type="spellEnd"/>
            <w:r w:rsidR="00E14938" w:rsidRPr="00E14938">
              <w:rPr>
                <w:rFonts w:ascii="Times New Roman" w:hAnsi="Times New Roman" w:cs="Times New Roman"/>
                <w:color w:val="000000" w:themeColor="text1"/>
                <w:sz w:val="24"/>
                <w:szCs w:val="24"/>
              </w:rPr>
              <w:t xml:space="preserve"> </w:t>
            </w:r>
            <w:proofErr w:type="spellStart"/>
            <w:r w:rsidR="00E14938" w:rsidRPr="00E14938">
              <w:rPr>
                <w:rFonts w:ascii="Times New Roman" w:hAnsi="Times New Roman" w:cs="Times New Roman"/>
                <w:color w:val="000000" w:themeColor="text1"/>
                <w:sz w:val="24"/>
                <w:szCs w:val="24"/>
              </w:rPr>
              <w:t>Stago</w:t>
            </w:r>
            <w:proofErr w:type="spellEnd"/>
            <w:r w:rsidR="00E14938" w:rsidRPr="00E14938">
              <w:rPr>
                <w:rFonts w:ascii="Times New Roman" w:hAnsi="Times New Roman" w:cs="Times New Roman"/>
                <w:color w:val="000000" w:themeColor="text1"/>
                <w:sz w:val="24"/>
                <w:szCs w:val="24"/>
              </w:rPr>
              <w:t xml:space="preserve">, STA </w:t>
            </w:r>
            <w:proofErr w:type="spellStart"/>
            <w:r w:rsidR="00E14938" w:rsidRPr="00E14938">
              <w:rPr>
                <w:rFonts w:ascii="Times New Roman" w:hAnsi="Times New Roman" w:cs="Times New Roman"/>
                <w:color w:val="000000" w:themeColor="text1"/>
                <w:sz w:val="24"/>
                <w:szCs w:val="24"/>
              </w:rPr>
              <w:t>Compact</w:t>
            </w:r>
            <w:proofErr w:type="spellEnd"/>
            <w:r w:rsidR="00E14938" w:rsidRPr="00E14938">
              <w:rPr>
                <w:rFonts w:ascii="Times New Roman" w:hAnsi="Times New Roman" w:cs="Times New Roman"/>
                <w:color w:val="000000" w:themeColor="text1"/>
                <w:sz w:val="24"/>
                <w:szCs w:val="24"/>
              </w:rPr>
              <w:t xml:space="preserve"> </w:t>
            </w:r>
            <w:proofErr w:type="spellStart"/>
            <w:r w:rsidR="00E14938" w:rsidRPr="00E14938">
              <w:rPr>
                <w:rFonts w:ascii="Times New Roman" w:hAnsi="Times New Roman" w:cs="Times New Roman"/>
                <w:color w:val="000000" w:themeColor="text1"/>
                <w:sz w:val="24"/>
                <w:szCs w:val="24"/>
              </w:rPr>
              <w:t>Max</w:t>
            </w:r>
            <w:proofErr w:type="spellEnd"/>
            <w:r w:rsidR="00E14938" w:rsidRPr="00E14938">
              <w:rPr>
                <w:rFonts w:ascii="Times New Roman" w:hAnsi="Times New Roman" w:cs="Times New Roman"/>
                <w:color w:val="000000" w:themeColor="text1"/>
                <w:sz w:val="24"/>
                <w:szCs w:val="24"/>
              </w:rPr>
              <w:t xml:space="preserve">; 2. </w:t>
            </w:r>
            <w:proofErr w:type="spellStart"/>
            <w:r w:rsidR="00E14938" w:rsidRPr="00E14938">
              <w:rPr>
                <w:rFonts w:ascii="Times New Roman" w:hAnsi="Times New Roman" w:cs="Times New Roman"/>
                <w:color w:val="000000" w:themeColor="text1"/>
                <w:sz w:val="24"/>
                <w:szCs w:val="24"/>
              </w:rPr>
              <w:t>Mindray</w:t>
            </w:r>
            <w:proofErr w:type="spellEnd"/>
            <w:r w:rsidR="00E14938">
              <w:rPr>
                <w:rFonts w:ascii="Times New Roman" w:hAnsi="Times New Roman" w:cs="Times New Roman"/>
                <w:color w:val="000000" w:themeColor="text1"/>
                <w:sz w:val="24"/>
                <w:szCs w:val="24"/>
              </w:rPr>
              <w:t xml:space="preserve"> </w:t>
            </w:r>
            <w:r w:rsidR="00E14938" w:rsidRPr="00E14938">
              <w:rPr>
                <w:rFonts w:ascii="Times New Roman" w:hAnsi="Times New Roman" w:cs="Times New Roman"/>
                <w:color w:val="000000" w:themeColor="text1"/>
                <w:sz w:val="24"/>
                <w:szCs w:val="24"/>
              </w:rPr>
              <w:t xml:space="preserve">C3510; 3. </w:t>
            </w:r>
            <w:proofErr w:type="spellStart"/>
            <w:r w:rsidR="00E14938" w:rsidRPr="00E14938">
              <w:rPr>
                <w:rFonts w:ascii="Times New Roman" w:hAnsi="Times New Roman" w:cs="Times New Roman"/>
                <w:color w:val="000000" w:themeColor="text1"/>
                <w:sz w:val="24"/>
                <w:szCs w:val="24"/>
              </w:rPr>
              <w:t>Succeeder</w:t>
            </w:r>
            <w:proofErr w:type="spellEnd"/>
            <w:r w:rsidR="00E14938" w:rsidRPr="00E14938">
              <w:rPr>
                <w:rFonts w:ascii="Times New Roman" w:hAnsi="Times New Roman" w:cs="Times New Roman"/>
                <w:color w:val="000000" w:themeColor="text1"/>
                <w:sz w:val="24"/>
                <w:szCs w:val="24"/>
              </w:rPr>
              <w:t xml:space="preserve"> SF-810.</w:t>
            </w:r>
          </w:p>
        </w:tc>
      </w:tr>
      <w:tr w:rsidR="009A0A5B" w:rsidRPr="003C2C16" w14:paraId="5D13EA27" w14:textId="77777777" w:rsidTr="007B0414">
        <w:trPr>
          <w:trHeight w:val="876"/>
        </w:trPr>
        <w:tc>
          <w:tcPr>
            <w:tcW w:w="540" w:type="dxa"/>
            <w:shd w:val="clear" w:color="auto" w:fill="auto"/>
            <w:hideMark/>
          </w:tcPr>
          <w:p w14:paraId="1B75A29C" w14:textId="77777777" w:rsidR="009A0A5B" w:rsidRPr="003C2C16" w:rsidRDefault="009A0A5B" w:rsidP="007B0414">
            <w:pPr>
              <w:jc w:val="center"/>
              <w:outlineLvl w:val="0"/>
              <w:rPr>
                <w:rFonts w:ascii="Times New Roman" w:hAnsi="Times New Roman" w:cs="Times New Roman"/>
              </w:rPr>
            </w:pPr>
            <w:r w:rsidRPr="003C2C16">
              <w:rPr>
                <w:rFonts w:ascii="Times New Roman" w:hAnsi="Times New Roman" w:cs="Times New Roman"/>
              </w:rPr>
              <w:lastRenderedPageBreak/>
              <w:t>3.</w:t>
            </w:r>
          </w:p>
        </w:tc>
        <w:tc>
          <w:tcPr>
            <w:tcW w:w="1549" w:type="dxa"/>
            <w:shd w:val="clear" w:color="auto" w:fill="auto"/>
            <w:hideMark/>
          </w:tcPr>
          <w:p w14:paraId="0AEBEAEE" w14:textId="77777777" w:rsidR="009A0A5B" w:rsidRPr="003C2C16" w:rsidRDefault="009A0A5B" w:rsidP="007B0414">
            <w:pPr>
              <w:jc w:val="both"/>
              <w:outlineLvl w:val="0"/>
              <w:rPr>
                <w:rFonts w:ascii="Times New Roman" w:hAnsi="Times New Roman" w:cs="Times New Roman"/>
              </w:rPr>
            </w:pPr>
            <w:r w:rsidRPr="003C2C16">
              <w:rPr>
                <w:rFonts w:ascii="Times New Roman" w:hAnsi="Times New Roman" w:cs="Times New Roman"/>
              </w:rPr>
              <w:t>D-dimerų koncentracijos nustatymas</w:t>
            </w:r>
          </w:p>
        </w:tc>
        <w:tc>
          <w:tcPr>
            <w:tcW w:w="2099" w:type="dxa"/>
            <w:shd w:val="clear" w:color="auto" w:fill="auto"/>
            <w:hideMark/>
          </w:tcPr>
          <w:p w14:paraId="17A05F0A" w14:textId="77777777" w:rsidR="009A0A5B" w:rsidRPr="003C2C16" w:rsidRDefault="009A0A5B" w:rsidP="007B0414">
            <w:pPr>
              <w:jc w:val="both"/>
              <w:outlineLvl w:val="0"/>
              <w:rPr>
                <w:rFonts w:ascii="Times New Roman" w:hAnsi="Times New Roman" w:cs="Times New Roman"/>
              </w:rPr>
            </w:pPr>
            <w:r w:rsidRPr="003C2C16">
              <w:rPr>
                <w:rFonts w:ascii="Times New Roman" w:hAnsi="Times New Roman" w:cs="Times New Roman"/>
              </w:rPr>
              <w:t xml:space="preserve">Imunoturbidimetrinis metodas. Nejautrus heparinui iki 1 IU/ml. Metodo </w:t>
            </w:r>
            <w:r w:rsidRPr="005856B5">
              <w:rPr>
                <w:rFonts w:ascii="Times New Roman" w:hAnsi="Times New Roman" w:cs="Times New Roman"/>
              </w:rPr>
              <w:t xml:space="preserve">jautrumas  ≥97%, neigiama prognostinė vertė (NPV) ≥99,7%, PE </w:t>
            </w:r>
            <w:r w:rsidRPr="005856B5">
              <w:rPr>
                <w:rFonts w:ascii="Times New Roman" w:hAnsi="Times New Roman" w:cs="Times New Roman"/>
              </w:rPr>
              <w:lastRenderedPageBreak/>
              <w:t>specifiškumas ≥ 75 %.</w:t>
            </w:r>
            <w:r w:rsidRPr="003C2C16">
              <w:rPr>
                <w:rFonts w:ascii="Times New Roman" w:hAnsi="Times New Roman" w:cs="Times New Roman"/>
              </w:rPr>
              <w:t xml:space="preserve"> </w:t>
            </w:r>
          </w:p>
        </w:tc>
        <w:tc>
          <w:tcPr>
            <w:tcW w:w="5747" w:type="dxa"/>
            <w:shd w:val="clear" w:color="auto" w:fill="auto"/>
          </w:tcPr>
          <w:p w14:paraId="7E6ACD68" w14:textId="77777777" w:rsidR="009A0A5B" w:rsidRPr="00446E3A" w:rsidRDefault="009A0A5B" w:rsidP="007B0414">
            <w:pPr>
              <w:jc w:val="both"/>
              <w:rPr>
                <w:rFonts w:ascii="Times New Roman" w:hAnsi="Times New Roman" w:cs="Times New Roman"/>
                <w:sz w:val="24"/>
                <w:szCs w:val="24"/>
                <w:lang w:val="pt-BR"/>
              </w:rPr>
            </w:pPr>
            <w:r w:rsidRPr="00446E3A">
              <w:rPr>
                <w:rFonts w:ascii="Times New Roman" w:hAnsi="Times New Roman" w:cs="Times New Roman"/>
                <w:sz w:val="24"/>
                <w:szCs w:val="24"/>
                <w:highlight w:val="yellow"/>
              </w:rPr>
              <w:lastRenderedPageBreak/>
              <w:t>Tiekėjo A pastaba:</w:t>
            </w:r>
            <w:r>
              <w:rPr>
                <w:rFonts w:ascii="Times New Roman" w:hAnsi="Times New Roman" w:cs="Times New Roman"/>
                <w:sz w:val="24"/>
                <w:szCs w:val="24"/>
              </w:rPr>
              <w:t xml:space="preserve"> </w:t>
            </w:r>
            <w:r w:rsidRPr="00446E3A">
              <w:rPr>
                <w:rFonts w:ascii="Times New Roman" w:hAnsi="Times New Roman" w:cs="Times New Roman"/>
                <w:sz w:val="24"/>
                <w:szCs w:val="24"/>
              </w:rPr>
              <w:t xml:space="preserve">D-dimeras naudojamas išskirtinai ūminei venų tromboembolijai pašalinti, todėl pagrindinės šio tyrimo diagnostinės charakteristikos yra jautrumas ir NPV. </w:t>
            </w:r>
            <w:r w:rsidRPr="00446E3A">
              <w:rPr>
                <w:rFonts w:ascii="Times New Roman" w:hAnsi="Times New Roman" w:cs="Times New Roman"/>
                <w:sz w:val="24"/>
                <w:szCs w:val="24"/>
                <w:lang w:val="pt-BR"/>
              </w:rPr>
              <w:t xml:space="preserve">Pagal CSLI rekomendacijas (CSLI. Kiekybinis D-dimeras venų tromboembolinės ligos pašalinimui, patvirtintos gairės. CSLI dokumentas H69-A), D-dimerų jautrumas ūminei venų tromboembolijai pašalinti turėtų būti &gt;97% ir NPV &gt;98%. Tačiau </w:t>
            </w:r>
            <w:r w:rsidRPr="00446E3A">
              <w:rPr>
                <w:rFonts w:ascii="Times New Roman" w:hAnsi="Times New Roman" w:cs="Times New Roman"/>
                <w:b/>
                <w:bCs/>
                <w:sz w:val="24"/>
                <w:szCs w:val="24"/>
                <w:lang w:val="pt-BR"/>
              </w:rPr>
              <w:t xml:space="preserve">testo specifiškumo </w:t>
            </w:r>
            <w:r w:rsidRPr="00446E3A">
              <w:rPr>
                <w:rFonts w:ascii="Times New Roman" w:hAnsi="Times New Roman" w:cs="Times New Roman"/>
                <w:b/>
                <w:bCs/>
                <w:sz w:val="24"/>
                <w:szCs w:val="24"/>
                <w:lang w:val="pt-BR"/>
              </w:rPr>
              <w:lastRenderedPageBreak/>
              <w:t>reikšmės nėra reglamentuojamos</w:t>
            </w:r>
            <w:r w:rsidRPr="00446E3A">
              <w:rPr>
                <w:rFonts w:ascii="Times New Roman" w:hAnsi="Times New Roman" w:cs="Times New Roman"/>
                <w:sz w:val="24"/>
                <w:szCs w:val="24"/>
                <w:lang w:val="pt-BR"/>
              </w:rPr>
              <w:t xml:space="preserve">. Be to, tik itin ribotas gamintojų skaičius gali pasiūlyti numatytą specifiškumą, taigi nuostata yra diskriminacinė. </w:t>
            </w:r>
          </w:p>
          <w:p w14:paraId="6257199F" w14:textId="77777777" w:rsidR="009A0A5B" w:rsidRPr="008146AA" w:rsidRDefault="009A0A5B" w:rsidP="007B0414">
            <w:pPr>
              <w:jc w:val="both"/>
              <w:rPr>
                <w:rFonts w:ascii="Times New Roman" w:hAnsi="Times New Roman" w:cs="Times New Roman"/>
                <w:sz w:val="24"/>
                <w:szCs w:val="24"/>
                <w:lang w:val="pt-BR"/>
              </w:rPr>
            </w:pPr>
            <w:r w:rsidRPr="008146AA">
              <w:rPr>
                <w:rFonts w:ascii="Times New Roman" w:hAnsi="Times New Roman" w:cs="Times New Roman"/>
                <w:sz w:val="24"/>
                <w:szCs w:val="24"/>
                <w:lang w:val="pt-BR"/>
              </w:rPr>
              <w:t xml:space="preserve">Prašome planuojamo vykdyti pirkimo reikalavimus suderinti su tarptautinių organizacijų reikalavimais D-dimerų nustatymui, būtent išdėstyti aptariamą nuostatą taip: jautrumas ≥97%, </w:t>
            </w:r>
            <w:r w:rsidRPr="008146AA">
              <w:rPr>
                <w:rFonts w:ascii="Times New Roman" w:hAnsi="Times New Roman" w:cs="Times New Roman"/>
                <w:b/>
                <w:bCs/>
                <w:i/>
                <w:iCs/>
                <w:sz w:val="24"/>
                <w:szCs w:val="24"/>
                <w:lang w:val="pt-BR"/>
              </w:rPr>
              <w:t>specifiškumas ≥70,0%</w:t>
            </w:r>
            <w:r w:rsidRPr="008146AA">
              <w:rPr>
                <w:rFonts w:ascii="Times New Roman" w:hAnsi="Times New Roman" w:cs="Times New Roman"/>
                <w:b/>
                <w:bCs/>
                <w:sz w:val="24"/>
                <w:szCs w:val="24"/>
                <w:lang w:val="pt-BR"/>
              </w:rPr>
              <w:t xml:space="preserve">, NPV ≥98%, </w:t>
            </w:r>
            <w:r w:rsidRPr="008146AA">
              <w:rPr>
                <w:rFonts w:ascii="Times New Roman" w:hAnsi="Times New Roman" w:cs="Times New Roman"/>
                <w:sz w:val="24"/>
                <w:szCs w:val="24"/>
                <w:lang w:val="pt-BR"/>
              </w:rPr>
              <w:t>atitinkamai, užtikrinti didesnį dalyvių skaičių pirkime ir techninės specifikacijos nuostatų proporcingumą pirkimo tikslui.</w:t>
            </w:r>
          </w:p>
          <w:p w14:paraId="427ED8EE" w14:textId="77777777" w:rsidR="009A0A5B" w:rsidRPr="00305A20" w:rsidRDefault="009A0A5B" w:rsidP="007B0414">
            <w:pPr>
              <w:spacing w:line="259" w:lineRule="auto"/>
              <w:jc w:val="both"/>
              <w:rPr>
                <w:rFonts w:ascii="Times New Roman" w:hAnsi="Times New Roman" w:cs="Times New Roman"/>
                <w:sz w:val="24"/>
                <w:szCs w:val="24"/>
              </w:rPr>
            </w:pPr>
            <w:r w:rsidRPr="00F25274">
              <w:rPr>
                <w:rFonts w:ascii="Times New Roman" w:hAnsi="Times New Roman" w:cs="Times New Roman"/>
                <w:sz w:val="24"/>
                <w:szCs w:val="24"/>
                <w:highlight w:val="green"/>
              </w:rPr>
              <w:t>Tiekėjo B pastaba:</w:t>
            </w:r>
            <w:r>
              <w:rPr>
                <w:rFonts w:ascii="Times New Roman" w:hAnsi="Times New Roman" w:cs="Times New Roman"/>
                <w:sz w:val="24"/>
                <w:szCs w:val="24"/>
              </w:rPr>
              <w:t xml:space="preserve"> </w:t>
            </w:r>
            <w:r w:rsidRPr="00305A20">
              <w:rPr>
                <w:rFonts w:ascii="Times New Roman" w:hAnsi="Times New Roman" w:cs="Times New Roman"/>
                <w:sz w:val="24"/>
                <w:szCs w:val="24"/>
              </w:rPr>
              <w:t xml:space="preserve">Remiantis CLSI standartais D-Dimer tyrimų svarbiausios savybės yra Neigiama Prognostinė Vertė (NPV) ir tyrimo jautrumas.  Siūlome išbraukti specifiškumą, kadangi tai nėra svarbus rodiklis siekiant GVT (giliųjų venų trombozės – angl. DVT) atmetimo. Jūsų nurodytas "PE specifiškumas ≥ 75 %" riboja konkurenciją, suteikia galimybę tik Stago atstovui dalyvauti pirkime, todėl prašome jį išbraukti, antraip, net ir galėdami pasiūlyti ypač aukšto lygio D-Dimerų tyrimo atlikimą (pagal technines charaketeristikas Instrumentation Laboratory a Werfen Company: jautrumas ≥ 100 %,  NPV ≥ 100 %, PE specifiškumas 48,3 %), negalėsime dalyvaut pirkime.  Siemens Healthineers vertes pateikiame lentelėje žemiau, jie taip pat, dėl specifiškumo 33-39,3 - negalės dalyvauti pirkime. Lietuvos rinkoje yra 3-4 tiekėjai, atstovaujantys tris pagrindinius gamintojus (UAB Diagnostinės Sistemos (Stago gamintojas), UAB Werfen (IL a Werfen Company gamintojas), UAB Multilabo ir UAB Biovita (Siemens </w:t>
            </w:r>
            <w:r w:rsidRPr="00305A20">
              <w:rPr>
                <w:rFonts w:ascii="Times New Roman" w:hAnsi="Times New Roman" w:cs="Times New Roman"/>
                <w:sz w:val="24"/>
                <w:szCs w:val="24"/>
              </w:rPr>
              <w:lastRenderedPageBreak/>
              <w:t>gamintojas)). Iš pateiktų pavydžių aiškiai matome, kad punktas pritaikytas tik vienam tiekėjui/gamintojui.</w:t>
            </w:r>
          </w:p>
          <w:p w14:paraId="1754F915" w14:textId="77777777" w:rsidR="009A0A5B" w:rsidRDefault="009A0A5B" w:rsidP="007B0414">
            <w:pPr>
              <w:ind w:firstLine="360"/>
              <w:jc w:val="both"/>
              <w:outlineLvl w:val="0"/>
              <w:rPr>
                <w:rFonts w:ascii="Times New Roman" w:hAnsi="Times New Roman" w:cs="Times New Roman"/>
                <w:i/>
                <w:iCs/>
                <w:sz w:val="24"/>
                <w:szCs w:val="24"/>
              </w:rPr>
            </w:pPr>
            <w:r>
              <w:rPr>
                <w:noProof/>
                <w:lang w:val="en-US"/>
              </w:rPr>
              <w:drawing>
                <wp:inline distT="0" distB="0" distL="0" distR="0" wp14:anchorId="1266D3A2" wp14:editId="0DD1A7B3">
                  <wp:extent cx="2981326" cy="1387868"/>
                  <wp:effectExtent l="0" t="0" r="0" b="3175"/>
                  <wp:docPr id="14" name="Picture 13" descr="A white background with black text&#10;&#10;Description automatically generated">
                    <a:extLst xmlns:a="http://schemas.openxmlformats.org/drawingml/2006/main">
                      <a:ext uri="{FF2B5EF4-FFF2-40B4-BE49-F238E27FC236}">
                        <a16:creationId xmlns:a16="http://schemas.microsoft.com/office/drawing/2014/main" id="{14CA422F-1A99-7E43-56BC-2EDF280F4F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white background with black text&#10;&#10;Description automatically generated">
                            <a:extLst>
                              <a:ext uri="{FF2B5EF4-FFF2-40B4-BE49-F238E27FC236}">
                                <a16:creationId xmlns:a16="http://schemas.microsoft.com/office/drawing/2014/main" id="{14CA422F-1A99-7E43-56BC-2EDF280F4FB0}"/>
                              </a:ext>
                            </a:extLst>
                          </pic:cNvPr>
                          <pic:cNvPicPr>
                            <a:picLocks noChangeAspect="1"/>
                          </pic:cNvPicPr>
                        </pic:nvPicPr>
                        <pic:blipFill>
                          <a:blip r:embed="rId6"/>
                          <a:stretch>
                            <a:fillRect/>
                          </a:stretch>
                        </pic:blipFill>
                        <pic:spPr>
                          <a:xfrm>
                            <a:off x="0" y="0"/>
                            <a:ext cx="2984607" cy="1389395"/>
                          </a:xfrm>
                          <a:prstGeom prst="rect">
                            <a:avLst/>
                          </a:prstGeom>
                        </pic:spPr>
                      </pic:pic>
                    </a:graphicData>
                  </a:graphic>
                </wp:inline>
              </w:drawing>
            </w:r>
          </w:p>
          <w:p w14:paraId="31E44D35" w14:textId="77777777" w:rsidR="009A0A5B" w:rsidRPr="006E164F" w:rsidRDefault="009A0A5B" w:rsidP="007B0414">
            <w:pPr>
              <w:ind w:firstLine="360"/>
              <w:jc w:val="both"/>
              <w:outlineLvl w:val="0"/>
              <w:rPr>
                <w:rFonts w:ascii="Times New Roman" w:hAnsi="Times New Roman" w:cs="Times New Roman"/>
                <w:i/>
                <w:iCs/>
                <w:sz w:val="24"/>
                <w:szCs w:val="24"/>
              </w:rPr>
            </w:pPr>
            <w:r>
              <w:rPr>
                <w:noProof/>
                <w:lang w:val="en-US"/>
              </w:rPr>
              <w:drawing>
                <wp:inline distT="0" distB="0" distL="0" distR="0" wp14:anchorId="3F1B3A32" wp14:editId="12946489">
                  <wp:extent cx="3181350" cy="676986"/>
                  <wp:effectExtent l="0" t="0" r="0" b="8890"/>
                  <wp:docPr id="13" name="Picture 12" descr="A screenshot of a graph&#10;&#10;Description automatically generated">
                    <a:extLst xmlns:a="http://schemas.openxmlformats.org/drawingml/2006/main">
                      <a:ext uri="{FF2B5EF4-FFF2-40B4-BE49-F238E27FC236}">
                        <a16:creationId xmlns:a16="http://schemas.microsoft.com/office/drawing/2014/main" id="{E6521BB4-0952-D9A6-F245-8222F9A2BF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screenshot of a graph&#10;&#10;Description automatically generated">
                            <a:extLst>
                              <a:ext uri="{FF2B5EF4-FFF2-40B4-BE49-F238E27FC236}">
                                <a16:creationId xmlns:a16="http://schemas.microsoft.com/office/drawing/2014/main" id="{E6521BB4-0952-D9A6-F245-8222F9A2BFF4}"/>
                              </a:ext>
                            </a:extLst>
                          </pic:cNvPr>
                          <pic:cNvPicPr>
                            <a:picLocks noChangeAspect="1"/>
                          </pic:cNvPicPr>
                        </pic:nvPicPr>
                        <pic:blipFill>
                          <a:blip r:embed="rId7"/>
                          <a:stretch>
                            <a:fillRect/>
                          </a:stretch>
                        </pic:blipFill>
                        <pic:spPr>
                          <a:xfrm>
                            <a:off x="0" y="0"/>
                            <a:ext cx="3200901" cy="681146"/>
                          </a:xfrm>
                          <a:prstGeom prst="rect">
                            <a:avLst/>
                          </a:prstGeom>
                        </pic:spPr>
                      </pic:pic>
                    </a:graphicData>
                  </a:graphic>
                </wp:inline>
              </w:drawing>
            </w:r>
          </w:p>
        </w:tc>
        <w:tc>
          <w:tcPr>
            <w:tcW w:w="5429" w:type="dxa"/>
          </w:tcPr>
          <w:p w14:paraId="1E72B509" w14:textId="77777777" w:rsidR="009A0A5B" w:rsidRDefault="009A0A5B" w:rsidP="007B0414">
            <w:pPr>
              <w:jc w:val="both"/>
              <w:rPr>
                <w:rFonts w:ascii="Times New Roman" w:hAnsi="Times New Roman" w:cs="Times New Roman"/>
                <w:iCs/>
                <w:sz w:val="24"/>
                <w:szCs w:val="24"/>
              </w:rPr>
            </w:pPr>
            <w:r w:rsidRPr="00E47C50">
              <w:rPr>
                <w:rFonts w:ascii="Times New Roman" w:hAnsi="Times New Roman" w:cs="Times New Roman"/>
                <w:iCs/>
                <w:sz w:val="24"/>
                <w:szCs w:val="24"/>
              </w:rPr>
              <w:lastRenderedPageBreak/>
              <w:t xml:space="preserve">Vilniaus universiteto parengtoje mokomojoje ir metodinėje priemonėje „Krešėjimo sistemos diagnostikos ir gydymo laboratorinė kontrolė“ (D.Jatužis, G.Davidavičius, E.Kazėnaitė, A.E.Tamošiūnas, VU 2020) nurodyta:  „Kadangi pagrindinis D-dimerų tyrimo uždavinys – paneigti PE, atliekamas tik aukšto specifiškumo (≥ 75%) ir aukštos neigiamos predikcinės vertės (≥ 99%) D-dimerų </w:t>
            </w:r>
            <w:r w:rsidRPr="00E47C50">
              <w:rPr>
                <w:rFonts w:ascii="Times New Roman" w:hAnsi="Times New Roman" w:cs="Times New Roman"/>
                <w:iCs/>
                <w:sz w:val="24"/>
                <w:szCs w:val="24"/>
              </w:rPr>
              <w:lastRenderedPageBreak/>
              <w:t xml:space="preserve">tyrimas – tokiu būdu bus išvengiama klaidingai pozityvių tyrimų rezultatų ir, tuo pačiu, bereikalingai atliktų brangių ir komplikacijas galinčių sukelti instrumentinės diagnostikos, pvz. kompiuterinės tomografijos su angiografija tyrimų (algoritmuose nurodyta, kad pacientams, kuriems nustatyta nedidelė arba vidutinė PE rizika, tačiau atlikus D-Dimerų tyrimą jo rezultatai yra teigiami, būtina atlikti plaučių KT angiografiją bei kitus būtinus instrumentinės diagnostikos tyrimus)“. Neabejojame, jog VU mokslinikai ir praktikai yra kompetentingi, o jų parengta metodinė priemonė yra tinkama pritaikymui klinikinėje praktikoje.  </w:t>
            </w:r>
          </w:p>
          <w:p w14:paraId="3197D863" w14:textId="77777777" w:rsidR="009A0A5B" w:rsidRPr="008F4639" w:rsidRDefault="009A0A5B" w:rsidP="007B0414">
            <w:pPr>
              <w:spacing w:after="0" w:line="240" w:lineRule="auto"/>
              <w:jc w:val="both"/>
              <w:rPr>
                <w:rFonts w:ascii="Times New Roman" w:hAnsi="Times New Roman" w:cs="Times New Roman"/>
                <w:iCs/>
                <w:sz w:val="24"/>
                <w:szCs w:val="24"/>
              </w:rPr>
            </w:pPr>
            <w:r w:rsidRPr="008F4639">
              <w:rPr>
                <w:rFonts w:ascii="Times New Roman" w:hAnsi="Times New Roman" w:cs="Times New Roman"/>
                <w:iCs/>
                <w:sz w:val="24"/>
                <w:szCs w:val="24"/>
              </w:rPr>
              <w:t>D-Dimerų tyrimo specifiškumas yra kliniškai svarbus funkcionalumo kriterijus,</w:t>
            </w:r>
            <w:r>
              <w:rPr>
                <w:rFonts w:ascii="Times New Roman" w:hAnsi="Times New Roman" w:cs="Times New Roman"/>
                <w:iCs/>
                <w:sz w:val="24"/>
                <w:szCs w:val="24"/>
              </w:rPr>
              <w:t xml:space="preserve"> </w:t>
            </w:r>
            <w:r w:rsidRPr="008F4639">
              <w:rPr>
                <w:rFonts w:ascii="Times New Roman" w:hAnsi="Times New Roman" w:cs="Times New Roman"/>
                <w:iCs/>
                <w:sz w:val="24"/>
                <w:szCs w:val="24"/>
              </w:rPr>
              <w:t>apibūdinantis diagnostikos metodo tikslumą. Specifiškumas parodo tyrimo gebėjimą nustatyti, jog</w:t>
            </w:r>
            <w:r>
              <w:rPr>
                <w:rFonts w:ascii="Times New Roman" w:hAnsi="Times New Roman" w:cs="Times New Roman"/>
                <w:iCs/>
                <w:sz w:val="24"/>
                <w:szCs w:val="24"/>
              </w:rPr>
              <w:t xml:space="preserve"> </w:t>
            </w:r>
            <w:r w:rsidRPr="008F4639">
              <w:rPr>
                <w:rFonts w:ascii="Times New Roman" w:hAnsi="Times New Roman" w:cs="Times New Roman"/>
                <w:iCs/>
                <w:sz w:val="24"/>
                <w:szCs w:val="24"/>
              </w:rPr>
              <w:t xml:space="preserve">susirgimo nėra, kai jo iš tikrųjų nėra. </w:t>
            </w:r>
            <w:r w:rsidRPr="00813F93">
              <w:rPr>
                <w:rFonts w:ascii="Times New Roman" w:hAnsi="Times New Roman" w:cs="Times New Roman"/>
                <w:b/>
                <w:bCs/>
                <w:iCs/>
                <w:sz w:val="24"/>
                <w:szCs w:val="24"/>
              </w:rPr>
              <w:t>Esant mažam specifiškumui didėja klaidingai teigiamų tyrimų skaičius.</w:t>
            </w:r>
            <w:r w:rsidRPr="008F4639">
              <w:rPr>
                <w:rFonts w:ascii="Times New Roman" w:hAnsi="Times New Roman" w:cs="Times New Roman"/>
                <w:iCs/>
                <w:sz w:val="24"/>
                <w:szCs w:val="24"/>
              </w:rPr>
              <w:t xml:space="preserve"> D-Dimerai tiriami įtariant venų trombemboliją (VTE) ir plaučių arterijos emboliją (PE).</w:t>
            </w:r>
            <w:r>
              <w:rPr>
                <w:rFonts w:ascii="Times New Roman" w:hAnsi="Times New Roman" w:cs="Times New Roman"/>
                <w:iCs/>
                <w:sz w:val="24"/>
                <w:szCs w:val="24"/>
              </w:rPr>
              <w:t xml:space="preserve"> </w:t>
            </w:r>
            <w:r w:rsidRPr="008F4639">
              <w:rPr>
                <w:rFonts w:ascii="Times New Roman" w:hAnsi="Times New Roman" w:cs="Times New Roman"/>
                <w:iCs/>
                <w:sz w:val="24"/>
                <w:szCs w:val="24"/>
              </w:rPr>
              <w:t>Neigiamas D-Dimerų tyrimas leidžia atmesti VTE ir PE diagnozę (neigiama predikcinė vertė). Gavus</w:t>
            </w:r>
            <w:r>
              <w:rPr>
                <w:rFonts w:ascii="Times New Roman" w:hAnsi="Times New Roman" w:cs="Times New Roman"/>
                <w:iCs/>
                <w:sz w:val="24"/>
                <w:szCs w:val="24"/>
              </w:rPr>
              <w:t xml:space="preserve"> </w:t>
            </w:r>
            <w:r w:rsidRPr="008F4639">
              <w:rPr>
                <w:rFonts w:ascii="Times New Roman" w:hAnsi="Times New Roman" w:cs="Times New Roman"/>
                <w:iCs/>
                <w:sz w:val="24"/>
                <w:szCs w:val="24"/>
              </w:rPr>
              <w:t>teigiamą tyrimo rezultatą, diagnozei patvirtinti/atmesti privaloma atlikti instrumentinius tyrimus –</w:t>
            </w:r>
            <w:r>
              <w:rPr>
                <w:rFonts w:ascii="Times New Roman" w:hAnsi="Times New Roman" w:cs="Times New Roman"/>
                <w:iCs/>
                <w:sz w:val="24"/>
                <w:szCs w:val="24"/>
              </w:rPr>
              <w:t xml:space="preserve"> </w:t>
            </w:r>
            <w:r w:rsidRPr="008F4639">
              <w:rPr>
                <w:rFonts w:ascii="Times New Roman" w:hAnsi="Times New Roman" w:cs="Times New Roman"/>
                <w:iCs/>
                <w:sz w:val="24"/>
                <w:szCs w:val="24"/>
              </w:rPr>
              <w:t xml:space="preserve">kompiuterinę tomografiją, angiografiją ar venų ultragarsinį tyrimą. Taigi, </w:t>
            </w:r>
            <w:r w:rsidRPr="00A577D0">
              <w:rPr>
                <w:rFonts w:ascii="Times New Roman" w:hAnsi="Times New Roman" w:cs="Times New Roman"/>
                <w:b/>
                <w:bCs/>
                <w:iCs/>
                <w:sz w:val="24"/>
                <w:szCs w:val="24"/>
              </w:rPr>
              <w:t>kuo D-Dimerų tyrimo specifiškumas yra mažesnis, tuo daugiau instrumentinių tyrimų reikia atlikti,</w:t>
            </w:r>
            <w:r w:rsidRPr="008F4639">
              <w:rPr>
                <w:rFonts w:ascii="Times New Roman" w:hAnsi="Times New Roman" w:cs="Times New Roman"/>
                <w:iCs/>
                <w:sz w:val="24"/>
                <w:szCs w:val="24"/>
              </w:rPr>
              <w:t xml:space="preserve"> taip padaroma didesnė</w:t>
            </w:r>
            <w:r>
              <w:rPr>
                <w:rFonts w:ascii="Times New Roman" w:hAnsi="Times New Roman" w:cs="Times New Roman"/>
                <w:iCs/>
                <w:sz w:val="24"/>
                <w:szCs w:val="24"/>
              </w:rPr>
              <w:t xml:space="preserve"> </w:t>
            </w:r>
            <w:r w:rsidRPr="008F4639">
              <w:rPr>
                <w:rFonts w:ascii="Times New Roman" w:hAnsi="Times New Roman" w:cs="Times New Roman"/>
                <w:iCs/>
                <w:sz w:val="24"/>
                <w:szCs w:val="24"/>
              </w:rPr>
              <w:t>žala pacientui – kiekvienas papildomas tyrimas/procedūra sukelia papildomą riziką paciento sveikatai</w:t>
            </w:r>
            <w:r>
              <w:rPr>
                <w:rFonts w:ascii="Times New Roman" w:hAnsi="Times New Roman" w:cs="Times New Roman"/>
                <w:iCs/>
                <w:sz w:val="24"/>
                <w:szCs w:val="24"/>
              </w:rPr>
              <w:t xml:space="preserve"> </w:t>
            </w:r>
            <w:r w:rsidRPr="008F4639">
              <w:rPr>
                <w:rFonts w:ascii="Times New Roman" w:hAnsi="Times New Roman" w:cs="Times New Roman"/>
                <w:iCs/>
                <w:sz w:val="24"/>
                <w:szCs w:val="24"/>
              </w:rPr>
              <w:t>(pvz., medicininė apšvita ir kt.) bei susidaro papildomi kaštai perkančiajai organizacijai.</w:t>
            </w:r>
            <w:r>
              <w:rPr>
                <w:rFonts w:ascii="Times New Roman" w:hAnsi="Times New Roman" w:cs="Times New Roman"/>
                <w:iCs/>
                <w:sz w:val="24"/>
                <w:szCs w:val="24"/>
              </w:rPr>
              <w:t xml:space="preserve"> </w:t>
            </w:r>
            <w:r w:rsidRPr="008F4639">
              <w:rPr>
                <w:rFonts w:ascii="Times New Roman" w:hAnsi="Times New Roman" w:cs="Times New Roman"/>
                <w:iCs/>
                <w:sz w:val="24"/>
                <w:szCs w:val="24"/>
              </w:rPr>
              <w:t xml:space="preserve">Specifiškumas yra rodiklis svarbus tiek klinikine, tiek </w:t>
            </w:r>
            <w:r w:rsidRPr="008F4639">
              <w:rPr>
                <w:rFonts w:ascii="Times New Roman" w:hAnsi="Times New Roman" w:cs="Times New Roman"/>
                <w:iCs/>
                <w:sz w:val="24"/>
                <w:szCs w:val="24"/>
              </w:rPr>
              <w:lastRenderedPageBreak/>
              <w:t xml:space="preserve">ekonomine prasme. </w:t>
            </w:r>
            <w:r w:rsidRPr="000A7EC0">
              <w:rPr>
                <w:rFonts w:ascii="Times New Roman" w:hAnsi="Times New Roman" w:cs="Times New Roman"/>
                <w:b/>
                <w:bCs/>
                <w:iCs/>
                <w:sz w:val="24"/>
                <w:szCs w:val="24"/>
              </w:rPr>
              <w:t xml:space="preserve">D-Dimerų tyrimai ženkliai pigesni, nei jau minėti instrumentiniai tyrimai. </w:t>
            </w:r>
            <w:r w:rsidRPr="008F4639">
              <w:rPr>
                <w:rFonts w:ascii="Times New Roman" w:hAnsi="Times New Roman" w:cs="Times New Roman"/>
                <w:iCs/>
                <w:sz w:val="24"/>
                <w:szCs w:val="24"/>
              </w:rPr>
              <w:t>Kiekvieno papildomo tyrimo/procedūros atlikimas</w:t>
            </w:r>
            <w:r>
              <w:rPr>
                <w:rFonts w:ascii="Times New Roman" w:hAnsi="Times New Roman" w:cs="Times New Roman"/>
                <w:iCs/>
                <w:sz w:val="24"/>
                <w:szCs w:val="24"/>
              </w:rPr>
              <w:t xml:space="preserve"> </w:t>
            </w:r>
            <w:r w:rsidRPr="008F4639">
              <w:rPr>
                <w:rFonts w:ascii="Times New Roman" w:hAnsi="Times New Roman" w:cs="Times New Roman"/>
                <w:iCs/>
                <w:sz w:val="24"/>
                <w:szCs w:val="24"/>
              </w:rPr>
              <w:t>asmens sveikatos priežiūros įstaigai kainuoja.</w:t>
            </w:r>
          </w:p>
          <w:p w14:paraId="295517B2" w14:textId="77777777" w:rsidR="009A0A5B" w:rsidRPr="008F4639" w:rsidRDefault="009A0A5B" w:rsidP="007B0414">
            <w:pPr>
              <w:spacing w:after="0" w:line="240" w:lineRule="auto"/>
              <w:jc w:val="both"/>
              <w:rPr>
                <w:rFonts w:ascii="Times New Roman" w:hAnsi="Times New Roman" w:cs="Times New Roman"/>
                <w:iCs/>
                <w:sz w:val="24"/>
                <w:szCs w:val="24"/>
              </w:rPr>
            </w:pPr>
            <w:r w:rsidRPr="008F4639">
              <w:rPr>
                <w:rFonts w:ascii="Times New Roman" w:hAnsi="Times New Roman" w:cs="Times New Roman"/>
                <w:iCs/>
                <w:sz w:val="24"/>
                <w:szCs w:val="24"/>
              </w:rPr>
              <w:t>Vilniaus universiteto parengtoje mokomojoje ir metodinėje priemonėje „Krešėjimo sistemos</w:t>
            </w:r>
            <w:r>
              <w:rPr>
                <w:rFonts w:ascii="Times New Roman" w:hAnsi="Times New Roman" w:cs="Times New Roman"/>
                <w:iCs/>
                <w:sz w:val="24"/>
                <w:szCs w:val="24"/>
              </w:rPr>
              <w:t xml:space="preserve"> </w:t>
            </w:r>
            <w:r w:rsidRPr="008F4639">
              <w:rPr>
                <w:rFonts w:ascii="Times New Roman" w:hAnsi="Times New Roman" w:cs="Times New Roman"/>
                <w:iCs/>
                <w:sz w:val="24"/>
                <w:szCs w:val="24"/>
              </w:rPr>
              <w:t>diagnostikos ir gydymo laboratorinė kontrolė“ (D.Jatužis, G.Davidavičius, E.Kazėnaitė,</w:t>
            </w:r>
            <w:r>
              <w:rPr>
                <w:rFonts w:ascii="Times New Roman" w:hAnsi="Times New Roman" w:cs="Times New Roman"/>
                <w:iCs/>
                <w:sz w:val="24"/>
                <w:szCs w:val="24"/>
              </w:rPr>
              <w:t xml:space="preserve"> </w:t>
            </w:r>
            <w:r w:rsidRPr="008F4639">
              <w:rPr>
                <w:rFonts w:ascii="Times New Roman" w:hAnsi="Times New Roman" w:cs="Times New Roman"/>
                <w:iCs/>
                <w:sz w:val="24"/>
                <w:szCs w:val="24"/>
              </w:rPr>
              <w:t>A.E.Tamošiūnas, VU 2020) nurodyta, jog trombembolinės rizikos įvertinimui „būtina atlikti: DDimerų,</w:t>
            </w:r>
            <w:r>
              <w:rPr>
                <w:rFonts w:ascii="Times New Roman" w:hAnsi="Times New Roman" w:cs="Times New Roman"/>
                <w:iCs/>
                <w:sz w:val="24"/>
                <w:szCs w:val="24"/>
              </w:rPr>
              <w:t xml:space="preserve"> </w:t>
            </w:r>
            <w:r w:rsidRPr="008F4639">
              <w:rPr>
                <w:rFonts w:ascii="Times New Roman" w:hAnsi="Times New Roman" w:cs="Times New Roman"/>
                <w:iCs/>
                <w:sz w:val="24"/>
                <w:szCs w:val="24"/>
              </w:rPr>
              <w:t>kurių jautrumas ne mažesnis, negu 99.7%, o specifiškumas ne mažesnis, negu 75%, tyrimą“;</w:t>
            </w:r>
            <w:r>
              <w:rPr>
                <w:rFonts w:ascii="Times New Roman" w:hAnsi="Times New Roman" w:cs="Times New Roman"/>
                <w:iCs/>
                <w:sz w:val="24"/>
                <w:szCs w:val="24"/>
              </w:rPr>
              <w:t xml:space="preserve"> </w:t>
            </w:r>
            <w:r w:rsidRPr="008F4639">
              <w:rPr>
                <w:rFonts w:ascii="Times New Roman" w:hAnsi="Times New Roman" w:cs="Times New Roman"/>
                <w:iCs/>
                <w:sz w:val="24"/>
                <w:szCs w:val="24"/>
              </w:rPr>
              <w:t>o ankstyvajai trombembolijų (GVT ir PATE) laboratorinei diagnostikai ir gydymo efekto kontrolei –</w:t>
            </w:r>
          </w:p>
          <w:p w14:paraId="407AD750" w14:textId="77777777" w:rsidR="009A0A5B" w:rsidRPr="008F4639" w:rsidRDefault="009A0A5B" w:rsidP="007B0414">
            <w:pPr>
              <w:spacing w:after="0" w:line="240" w:lineRule="auto"/>
              <w:jc w:val="both"/>
              <w:rPr>
                <w:rFonts w:ascii="Times New Roman" w:hAnsi="Times New Roman" w:cs="Times New Roman"/>
                <w:iCs/>
                <w:sz w:val="24"/>
                <w:szCs w:val="24"/>
              </w:rPr>
            </w:pPr>
            <w:r w:rsidRPr="008F4639">
              <w:rPr>
                <w:rFonts w:ascii="Times New Roman" w:hAnsi="Times New Roman" w:cs="Times New Roman"/>
                <w:iCs/>
                <w:sz w:val="24"/>
                <w:szCs w:val="24"/>
              </w:rPr>
              <w:t>„atliekamas tik aukšto specifiškumo (≥ 75%) ir aukštos neigiamos predikcinės vertės (≥ 99%) DDimerų</w:t>
            </w:r>
            <w:r>
              <w:rPr>
                <w:rFonts w:ascii="Times New Roman" w:hAnsi="Times New Roman" w:cs="Times New Roman"/>
                <w:iCs/>
                <w:sz w:val="24"/>
                <w:szCs w:val="24"/>
              </w:rPr>
              <w:t xml:space="preserve"> </w:t>
            </w:r>
            <w:r w:rsidRPr="008F4639">
              <w:rPr>
                <w:rFonts w:ascii="Times New Roman" w:hAnsi="Times New Roman" w:cs="Times New Roman"/>
                <w:iCs/>
                <w:sz w:val="24"/>
                <w:szCs w:val="24"/>
              </w:rPr>
              <w:t>tyrimas – tokiu būdu bus išvengiama klaidingai pozityvių tyrimų rezultatų ir, tuo pačiu,</w:t>
            </w:r>
            <w:r>
              <w:rPr>
                <w:rFonts w:ascii="Times New Roman" w:hAnsi="Times New Roman" w:cs="Times New Roman"/>
                <w:iCs/>
                <w:sz w:val="24"/>
                <w:szCs w:val="24"/>
              </w:rPr>
              <w:t xml:space="preserve"> </w:t>
            </w:r>
            <w:r w:rsidRPr="008F4639">
              <w:rPr>
                <w:rFonts w:ascii="Times New Roman" w:hAnsi="Times New Roman" w:cs="Times New Roman"/>
                <w:iCs/>
                <w:sz w:val="24"/>
                <w:szCs w:val="24"/>
              </w:rPr>
              <w:t>bereikalingai atliktų brangių ir komplikacijas galinčių sukelti instrumentinės diagnostikos, pvz.</w:t>
            </w:r>
            <w:r>
              <w:rPr>
                <w:rFonts w:ascii="Times New Roman" w:hAnsi="Times New Roman" w:cs="Times New Roman"/>
                <w:iCs/>
                <w:sz w:val="24"/>
                <w:szCs w:val="24"/>
              </w:rPr>
              <w:t xml:space="preserve"> </w:t>
            </w:r>
            <w:r w:rsidRPr="008F4639">
              <w:rPr>
                <w:rFonts w:ascii="Times New Roman" w:hAnsi="Times New Roman" w:cs="Times New Roman"/>
                <w:iCs/>
                <w:sz w:val="24"/>
                <w:szCs w:val="24"/>
              </w:rPr>
              <w:t>kompiuterinės tomografijos su angiografija tyrimų (algoritmuose nurodyta, kad pacientams, kuriems</w:t>
            </w:r>
            <w:r>
              <w:rPr>
                <w:rFonts w:ascii="Times New Roman" w:hAnsi="Times New Roman" w:cs="Times New Roman"/>
                <w:iCs/>
                <w:sz w:val="24"/>
                <w:szCs w:val="24"/>
              </w:rPr>
              <w:t xml:space="preserve"> </w:t>
            </w:r>
            <w:r w:rsidRPr="008F4639">
              <w:rPr>
                <w:rFonts w:ascii="Times New Roman" w:hAnsi="Times New Roman" w:cs="Times New Roman"/>
                <w:iCs/>
                <w:sz w:val="24"/>
                <w:szCs w:val="24"/>
              </w:rPr>
              <w:t>nustatyta nedidelė arba vidutinė PE rizika, tačiau atlikus D-Dimerų tyrimą jo rezultatai yra teigiami,</w:t>
            </w:r>
            <w:r>
              <w:rPr>
                <w:rFonts w:ascii="Times New Roman" w:hAnsi="Times New Roman" w:cs="Times New Roman"/>
                <w:iCs/>
                <w:sz w:val="24"/>
                <w:szCs w:val="24"/>
              </w:rPr>
              <w:t xml:space="preserve"> </w:t>
            </w:r>
            <w:r w:rsidRPr="008F4639">
              <w:rPr>
                <w:rFonts w:ascii="Times New Roman" w:hAnsi="Times New Roman" w:cs="Times New Roman"/>
                <w:iCs/>
                <w:sz w:val="24"/>
                <w:szCs w:val="24"/>
              </w:rPr>
              <w:t>būtina atlikti plaučių KT angiografiją bei kitus būtinus instrumentinės diagnostikos tyrimus)“.</w:t>
            </w:r>
          </w:p>
          <w:p w14:paraId="43A2F520" w14:textId="77777777" w:rsidR="009A0A5B" w:rsidRPr="00132617" w:rsidRDefault="009A0A5B" w:rsidP="007B041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w:t>
            </w:r>
            <w:r w:rsidRPr="008F4639">
              <w:rPr>
                <w:rFonts w:ascii="Times New Roman" w:hAnsi="Times New Roman" w:cs="Times New Roman"/>
                <w:iCs/>
                <w:sz w:val="24"/>
                <w:szCs w:val="24"/>
              </w:rPr>
              <w:t>smens sveikatos priežiūros įstaigoje, kurioje gydomi</w:t>
            </w:r>
            <w:r>
              <w:rPr>
                <w:rFonts w:ascii="Times New Roman" w:hAnsi="Times New Roman" w:cs="Times New Roman"/>
                <w:iCs/>
                <w:sz w:val="24"/>
                <w:szCs w:val="24"/>
              </w:rPr>
              <w:t xml:space="preserve"> </w:t>
            </w:r>
            <w:r w:rsidRPr="008F4639">
              <w:rPr>
                <w:rFonts w:ascii="Times New Roman" w:hAnsi="Times New Roman" w:cs="Times New Roman"/>
                <w:iCs/>
                <w:sz w:val="24"/>
                <w:szCs w:val="24"/>
              </w:rPr>
              <w:t>ir konsultuojami įvairias patologijas turintys pacientai, kurioje sprendžiami įvairaus sudėtingumo</w:t>
            </w:r>
            <w:r>
              <w:rPr>
                <w:rFonts w:ascii="Times New Roman" w:hAnsi="Times New Roman" w:cs="Times New Roman"/>
                <w:iCs/>
                <w:sz w:val="24"/>
                <w:szCs w:val="24"/>
              </w:rPr>
              <w:t xml:space="preserve"> </w:t>
            </w:r>
            <w:r w:rsidRPr="00132617">
              <w:rPr>
                <w:rFonts w:ascii="Times New Roman" w:hAnsi="Times New Roman" w:cs="Times New Roman"/>
                <w:iCs/>
                <w:sz w:val="24"/>
                <w:szCs w:val="24"/>
              </w:rPr>
              <w:t>diagnostikos ir gydymo klausimai, būtina siekti pacientui geriausio kokybiško rezultato pagal</w:t>
            </w:r>
            <w:r>
              <w:rPr>
                <w:rFonts w:ascii="Times New Roman" w:hAnsi="Times New Roman" w:cs="Times New Roman"/>
                <w:iCs/>
                <w:sz w:val="24"/>
                <w:szCs w:val="24"/>
              </w:rPr>
              <w:t xml:space="preserve"> </w:t>
            </w:r>
            <w:r w:rsidRPr="00132617">
              <w:rPr>
                <w:rFonts w:ascii="Times New Roman" w:hAnsi="Times New Roman" w:cs="Times New Roman"/>
                <w:iCs/>
                <w:sz w:val="24"/>
                <w:szCs w:val="24"/>
              </w:rPr>
              <w:t>šiuolaikinius mokslo pasiekimus. Taigi perkančioji organizacija sprendžia, kokie pirkimo objekto</w:t>
            </w:r>
            <w:r>
              <w:rPr>
                <w:rFonts w:ascii="Times New Roman" w:hAnsi="Times New Roman" w:cs="Times New Roman"/>
                <w:iCs/>
                <w:sz w:val="24"/>
                <w:szCs w:val="24"/>
              </w:rPr>
              <w:t xml:space="preserve"> </w:t>
            </w:r>
            <w:r w:rsidRPr="00132617">
              <w:rPr>
                <w:rFonts w:ascii="Times New Roman" w:hAnsi="Times New Roman" w:cs="Times New Roman"/>
                <w:iCs/>
                <w:sz w:val="24"/>
                <w:szCs w:val="24"/>
              </w:rPr>
              <w:t xml:space="preserve">funkciniai reikalavimai yra reikalingi perkančiajai </w:t>
            </w:r>
            <w:r w:rsidRPr="00132617">
              <w:rPr>
                <w:rFonts w:ascii="Times New Roman" w:hAnsi="Times New Roman" w:cs="Times New Roman"/>
                <w:iCs/>
                <w:sz w:val="24"/>
                <w:szCs w:val="24"/>
              </w:rPr>
              <w:lastRenderedPageBreak/>
              <w:t>organizacijai, patenkinantys teisėtus pacientų</w:t>
            </w:r>
            <w:r>
              <w:rPr>
                <w:rFonts w:ascii="Times New Roman" w:hAnsi="Times New Roman" w:cs="Times New Roman"/>
                <w:iCs/>
                <w:sz w:val="24"/>
                <w:szCs w:val="24"/>
              </w:rPr>
              <w:t xml:space="preserve"> </w:t>
            </w:r>
            <w:r w:rsidRPr="00132617">
              <w:rPr>
                <w:rFonts w:ascii="Times New Roman" w:hAnsi="Times New Roman" w:cs="Times New Roman"/>
                <w:iCs/>
                <w:sz w:val="24"/>
                <w:szCs w:val="24"/>
              </w:rPr>
              <w:t>lūkesčius bei jų poreikius atitinkančias asmens sveikatos priežiūros paslaugas, bei tuo pačiu</w:t>
            </w:r>
            <w:r>
              <w:rPr>
                <w:rFonts w:ascii="Times New Roman" w:hAnsi="Times New Roman" w:cs="Times New Roman"/>
                <w:iCs/>
                <w:sz w:val="24"/>
                <w:szCs w:val="24"/>
              </w:rPr>
              <w:t xml:space="preserve"> </w:t>
            </w:r>
            <w:r w:rsidRPr="00132617">
              <w:rPr>
                <w:rFonts w:ascii="Times New Roman" w:hAnsi="Times New Roman" w:cs="Times New Roman"/>
                <w:iCs/>
                <w:sz w:val="24"/>
                <w:szCs w:val="24"/>
              </w:rPr>
              <w:t>užtikrinant teikiamų paslaugų kokybę.</w:t>
            </w:r>
          </w:p>
          <w:p w14:paraId="2E0D5735" w14:textId="34EA8435" w:rsidR="00290D8E" w:rsidRPr="00E14938" w:rsidRDefault="009A0A5B" w:rsidP="00290D8E">
            <w:pPr>
              <w:jc w:val="both"/>
              <w:rPr>
                <w:rFonts w:ascii="Times New Roman" w:hAnsi="Times New Roman" w:cs="Times New Roman"/>
                <w:color w:val="000000" w:themeColor="text1"/>
                <w:sz w:val="24"/>
                <w:szCs w:val="24"/>
              </w:rPr>
            </w:pPr>
            <w:r w:rsidRPr="00132617">
              <w:rPr>
                <w:rFonts w:ascii="Times New Roman" w:hAnsi="Times New Roman" w:cs="Times New Roman"/>
                <w:iCs/>
                <w:sz w:val="24"/>
                <w:szCs w:val="24"/>
              </w:rPr>
              <w:t>Perkančiosios organizacijos turimomis žiniomis yra keletas gamintojų, kurių D-Dimerų</w:t>
            </w:r>
            <w:r>
              <w:rPr>
                <w:rFonts w:ascii="Times New Roman" w:hAnsi="Times New Roman" w:cs="Times New Roman"/>
                <w:iCs/>
                <w:sz w:val="24"/>
                <w:szCs w:val="24"/>
              </w:rPr>
              <w:t xml:space="preserve"> </w:t>
            </w:r>
            <w:r w:rsidRPr="00132617">
              <w:rPr>
                <w:rFonts w:ascii="Times New Roman" w:hAnsi="Times New Roman" w:cs="Times New Roman"/>
                <w:iCs/>
                <w:sz w:val="24"/>
                <w:szCs w:val="24"/>
              </w:rPr>
              <w:t>tyrimo specifiškumas atitinka techninės specifikacijoje sąlygas. Gamintojai, kurių D-dimerų tyrimo</w:t>
            </w:r>
            <w:r>
              <w:rPr>
                <w:rFonts w:ascii="Times New Roman" w:hAnsi="Times New Roman" w:cs="Times New Roman"/>
                <w:iCs/>
                <w:sz w:val="24"/>
                <w:szCs w:val="24"/>
              </w:rPr>
              <w:t xml:space="preserve"> </w:t>
            </w:r>
            <w:r w:rsidRPr="00132617">
              <w:rPr>
                <w:rFonts w:ascii="Times New Roman" w:hAnsi="Times New Roman" w:cs="Times New Roman"/>
                <w:iCs/>
                <w:sz w:val="24"/>
                <w:szCs w:val="24"/>
              </w:rPr>
              <w:t>specifiškumas atitinka techninės specifikacijos sąlygas Perkančiosios organizacijos duomenimis yra</w:t>
            </w:r>
            <w:r>
              <w:rPr>
                <w:rFonts w:ascii="Times New Roman" w:hAnsi="Times New Roman" w:cs="Times New Roman"/>
                <w:iCs/>
                <w:sz w:val="24"/>
                <w:szCs w:val="24"/>
              </w:rPr>
              <w:t xml:space="preserve"> </w:t>
            </w:r>
            <w:r w:rsidR="00290D8E" w:rsidRPr="005856B5">
              <w:rPr>
                <w:sz w:val="24"/>
                <w:szCs w:val="24"/>
              </w:rPr>
              <w:t xml:space="preserve"> </w:t>
            </w:r>
            <w:proofErr w:type="spellStart"/>
            <w:r w:rsidR="00290D8E" w:rsidRPr="00E14938">
              <w:rPr>
                <w:rFonts w:ascii="Times New Roman" w:hAnsi="Times New Roman" w:cs="Times New Roman"/>
                <w:color w:val="000000" w:themeColor="text1"/>
                <w:sz w:val="24"/>
                <w:szCs w:val="24"/>
              </w:rPr>
              <w:t>Diagnostica</w:t>
            </w:r>
            <w:proofErr w:type="spellEnd"/>
            <w:r w:rsidR="00290D8E" w:rsidRPr="00E14938">
              <w:rPr>
                <w:rFonts w:ascii="Times New Roman" w:hAnsi="Times New Roman" w:cs="Times New Roman"/>
                <w:color w:val="000000" w:themeColor="text1"/>
                <w:sz w:val="24"/>
                <w:szCs w:val="24"/>
              </w:rPr>
              <w:t xml:space="preserve"> </w:t>
            </w:r>
            <w:proofErr w:type="spellStart"/>
            <w:r w:rsidR="00290D8E" w:rsidRPr="00E14938">
              <w:rPr>
                <w:rFonts w:ascii="Times New Roman" w:hAnsi="Times New Roman" w:cs="Times New Roman"/>
                <w:color w:val="000000" w:themeColor="text1"/>
                <w:sz w:val="24"/>
                <w:szCs w:val="24"/>
              </w:rPr>
              <w:t>Stago</w:t>
            </w:r>
            <w:proofErr w:type="spellEnd"/>
            <w:r w:rsidR="00290D8E">
              <w:rPr>
                <w:rFonts w:ascii="Times New Roman" w:hAnsi="Times New Roman" w:cs="Times New Roman"/>
                <w:color w:val="000000" w:themeColor="text1"/>
                <w:sz w:val="24"/>
                <w:szCs w:val="24"/>
              </w:rPr>
              <w:t>,</w:t>
            </w:r>
            <w:r w:rsidR="00290D8E" w:rsidRPr="00E14938">
              <w:rPr>
                <w:rFonts w:ascii="Times New Roman" w:hAnsi="Times New Roman" w:cs="Times New Roman"/>
                <w:color w:val="000000" w:themeColor="text1"/>
                <w:sz w:val="24"/>
                <w:szCs w:val="24"/>
              </w:rPr>
              <w:t xml:space="preserve"> </w:t>
            </w:r>
            <w:proofErr w:type="spellStart"/>
            <w:r w:rsidR="00290D8E" w:rsidRPr="00E14938">
              <w:rPr>
                <w:rFonts w:ascii="Times New Roman" w:hAnsi="Times New Roman" w:cs="Times New Roman"/>
                <w:color w:val="000000" w:themeColor="text1"/>
                <w:sz w:val="24"/>
                <w:szCs w:val="24"/>
              </w:rPr>
              <w:t>Mindray</w:t>
            </w:r>
            <w:proofErr w:type="spellEnd"/>
            <w:r w:rsidR="00290D8E">
              <w:rPr>
                <w:rFonts w:ascii="Times New Roman" w:hAnsi="Times New Roman" w:cs="Times New Roman"/>
                <w:color w:val="000000" w:themeColor="text1"/>
                <w:sz w:val="24"/>
                <w:szCs w:val="24"/>
              </w:rPr>
              <w:t xml:space="preserve">, </w:t>
            </w:r>
            <w:proofErr w:type="spellStart"/>
            <w:r w:rsidR="00290D8E" w:rsidRPr="00E14938">
              <w:rPr>
                <w:rFonts w:ascii="Times New Roman" w:hAnsi="Times New Roman" w:cs="Times New Roman"/>
                <w:color w:val="000000" w:themeColor="text1"/>
                <w:sz w:val="24"/>
                <w:szCs w:val="24"/>
              </w:rPr>
              <w:t>Succeeder</w:t>
            </w:r>
            <w:proofErr w:type="spellEnd"/>
            <w:r w:rsidR="00290D8E" w:rsidRPr="00E14938">
              <w:rPr>
                <w:rFonts w:ascii="Times New Roman" w:hAnsi="Times New Roman" w:cs="Times New Roman"/>
                <w:color w:val="000000" w:themeColor="text1"/>
                <w:sz w:val="24"/>
                <w:szCs w:val="24"/>
              </w:rPr>
              <w:t>.</w:t>
            </w:r>
          </w:p>
          <w:p w14:paraId="5DA29707" w14:textId="50D75156" w:rsidR="009A0A5B" w:rsidRPr="00132617" w:rsidRDefault="009A0A5B" w:rsidP="007B0414">
            <w:pPr>
              <w:spacing w:after="0" w:line="240" w:lineRule="auto"/>
              <w:jc w:val="both"/>
              <w:rPr>
                <w:rFonts w:ascii="Times New Roman" w:hAnsi="Times New Roman" w:cs="Times New Roman"/>
                <w:iCs/>
                <w:sz w:val="24"/>
                <w:szCs w:val="24"/>
              </w:rPr>
            </w:pPr>
          </w:p>
          <w:p w14:paraId="4188CF8B" w14:textId="77777777" w:rsidR="009A0A5B" w:rsidRPr="004A46B4" w:rsidRDefault="009A0A5B" w:rsidP="007B0414">
            <w:pPr>
              <w:jc w:val="both"/>
              <w:rPr>
                <w:rFonts w:ascii="Times New Roman" w:hAnsi="Times New Roman" w:cs="Times New Roman"/>
                <w:b/>
                <w:bCs/>
                <w:iCs/>
                <w:sz w:val="24"/>
                <w:szCs w:val="24"/>
              </w:rPr>
            </w:pPr>
            <w:r w:rsidRPr="00E47C50">
              <w:rPr>
                <w:rFonts w:ascii="Times New Roman" w:hAnsi="Times New Roman" w:cs="Times New Roman"/>
                <w:iCs/>
                <w:sz w:val="24"/>
                <w:szCs w:val="24"/>
              </w:rPr>
              <w:t xml:space="preserve">Atsižvelgiant į aukščiau nurodytą informaciją, </w:t>
            </w:r>
            <w:r w:rsidRPr="004A46B4">
              <w:rPr>
                <w:rFonts w:ascii="Times New Roman" w:hAnsi="Times New Roman" w:cs="Times New Roman"/>
                <w:b/>
                <w:bCs/>
                <w:iCs/>
                <w:sz w:val="24"/>
                <w:szCs w:val="24"/>
              </w:rPr>
              <w:t xml:space="preserve">3 punkto reikalavimai nekeičiami. </w:t>
            </w:r>
          </w:p>
          <w:p w14:paraId="388EE5D5" w14:textId="77777777" w:rsidR="009A0A5B" w:rsidRPr="00EA272F" w:rsidRDefault="009A0A5B" w:rsidP="007B0414">
            <w:pPr>
              <w:ind w:firstLine="720"/>
              <w:jc w:val="both"/>
              <w:rPr>
                <w:rFonts w:ascii="Times New Roman" w:hAnsi="Times New Roman" w:cs="Times New Roman"/>
              </w:rPr>
            </w:pPr>
          </w:p>
        </w:tc>
      </w:tr>
      <w:tr w:rsidR="009A0A5B" w:rsidRPr="003C2C16" w14:paraId="4AE42344" w14:textId="77777777" w:rsidTr="007B0414">
        <w:trPr>
          <w:trHeight w:val="55"/>
        </w:trPr>
        <w:tc>
          <w:tcPr>
            <w:tcW w:w="540" w:type="dxa"/>
            <w:shd w:val="clear" w:color="auto" w:fill="auto"/>
            <w:hideMark/>
          </w:tcPr>
          <w:p w14:paraId="600AC8D6" w14:textId="77777777" w:rsidR="009A0A5B" w:rsidRPr="003C2C16" w:rsidRDefault="009A0A5B" w:rsidP="007B0414">
            <w:pPr>
              <w:jc w:val="center"/>
              <w:outlineLvl w:val="0"/>
              <w:rPr>
                <w:rFonts w:ascii="Times New Roman" w:hAnsi="Times New Roman" w:cs="Times New Roman"/>
              </w:rPr>
            </w:pPr>
            <w:r w:rsidRPr="003C2C16">
              <w:rPr>
                <w:rFonts w:ascii="Times New Roman" w:hAnsi="Times New Roman" w:cs="Times New Roman"/>
              </w:rPr>
              <w:lastRenderedPageBreak/>
              <w:t>4.</w:t>
            </w:r>
          </w:p>
        </w:tc>
        <w:tc>
          <w:tcPr>
            <w:tcW w:w="1549" w:type="dxa"/>
            <w:shd w:val="clear" w:color="auto" w:fill="auto"/>
            <w:hideMark/>
          </w:tcPr>
          <w:p w14:paraId="18C79E73" w14:textId="77777777" w:rsidR="009A0A5B" w:rsidRPr="003C2C16" w:rsidRDefault="009A0A5B" w:rsidP="007B0414">
            <w:pPr>
              <w:jc w:val="both"/>
              <w:outlineLvl w:val="0"/>
              <w:rPr>
                <w:rFonts w:ascii="Times New Roman" w:hAnsi="Times New Roman" w:cs="Times New Roman"/>
              </w:rPr>
            </w:pPr>
            <w:r w:rsidRPr="003C2C16">
              <w:rPr>
                <w:rFonts w:ascii="Times New Roman" w:hAnsi="Times New Roman" w:cs="Times New Roman"/>
              </w:rPr>
              <w:t>Fibrinogeno koncentracijos nustatymas</w:t>
            </w:r>
          </w:p>
        </w:tc>
        <w:tc>
          <w:tcPr>
            <w:tcW w:w="2099" w:type="dxa"/>
            <w:shd w:val="clear" w:color="auto" w:fill="auto"/>
            <w:hideMark/>
          </w:tcPr>
          <w:p w14:paraId="3D165A0D" w14:textId="77777777" w:rsidR="009A0A5B" w:rsidRPr="005856B5" w:rsidRDefault="009A0A5B" w:rsidP="007B0414">
            <w:pPr>
              <w:jc w:val="both"/>
              <w:outlineLvl w:val="0"/>
              <w:rPr>
                <w:rFonts w:ascii="Times New Roman" w:hAnsi="Times New Roman" w:cs="Times New Roman"/>
              </w:rPr>
            </w:pPr>
            <w:r w:rsidRPr="005856B5">
              <w:rPr>
                <w:rFonts w:ascii="Times New Roman" w:hAnsi="Times New Roman" w:cs="Times New Roman"/>
              </w:rPr>
              <w:t>Mėginys– citruota plazma: normali, bet kokio lygio  hemolizuota, ikterinė, lipeminė.</w:t>
            </w:r>
          </w:p>
          <w:p w14:paraId="1D896803" w14:textId="77777777" w:rsidR="009A0A5B" w:rsidRPr="00FD1A14" w:rsidRDefault="009A0A5B" w:rsidP="007B0414">
            <w:pPr>
              <w:jc w:val="both"/>
              <w:outlineLvl w:val="0"/>
              <w:rPr>
                <w:rFonts w:ascii="Times New Roman" w:hAnsi="Times New Roman" w:cs="Times New Roman"/>
              </w:rPr>
            </w:pPr>
            <w:r w:rsidRPr="00FD1A14">
              <w:rPr>
                <w:rFonts w:ascii="Times New Roman" w:hAnsi="Times New Roman" w:cs="Times New Roman"/>
              </w:rPr>
              <w:t>Klauso metodas.</w:t>
            </w:r>
          </w:p>
          <w:p w14:paraId="3B67F2E9" w14:textId="77777777" w:rsidR="009A0A5B" w:rsidRPr="00FD1A14" w:rsidRDefault="009A0A5B" w:rsidP="007B0414">
            <w:pPr>
              <w:jc w:val="both"/>
              <w:outlineLvl w:val="0"/>
              <w:rPr>
                <w:rFonts w:ascii="Times New Roman" w:hAnsi="Times New Roman" w:cs="Times New Roman"/>
              </w:rPr>
            </w:pPr>
            <w:r w:rsidRPr="00FD1A14">
              <w:rPr>
                <w:rFonts w:ascii="Times New Roman" w:hAnsi="Times New Roman" w:cs="Times New Roman"/>
              </w:rPr>
              <w:t xml:space="preserve">Reagentas turi būti nejautrus fibrino skilimo produktams ne mažiau kaip iki 100 μg/ml. </w:t>
            </w:r>
          </w:p>
          <w:p w14:paraId="1DDEBAD9" w14:textId="77777777" w:rsidR="009A0A5B" w:rsidRPr="00FD1A14" w:rsidRDefault="009A0A5B" w:rsidP="007B0414">
            <w:pPr>
              <w:jc w:val="both"/>
              <w:outlineLvl w:val="0"/>
              <w:rPr>
                <w:rFonts w:ascii="Times New Roman" w:hAnsi="Times New Roman" w:cs="Times New Roman"/>
              </w:rPr>
            </w:pPr>
            <w:r w:rsidRPr="00FD1A14">
              <w:rPr>
                <w:rFonts w:ascii="Times New Roman" w:hAnsi="Times New Roman" w:cs="Times New Roman"/>
              </w:rPr>
              <w:t>Darbinio tirpalo stabilumas ≥ 45 d. 2-8 °C.</w:t>
            </w:r>
          </w:p>
          <w:p w14:paraId="04B2E762" w14:textId="77777777" w:rsidR="009A0A5B" w:rsidRPr="00FD1A14" w:rsidRDefault="009A0A5B" w:rsidP="007B0414">
            <w:pPr>
              <w:jc w:val="both"/>
              <w:outlineLvl w:val="0"/>
              <w:rPr>
                <w:rFonts w:ascii="Times New Roman" w:hAnsi="Times New Roman" w:cs="Times New Roman"/>
              </w:rPr>
            </w:pPr>
            <w:r w:rsidRPr="00FD1A14">
              <w:rPr>
                <w:rFonts w:ascii="Times New Roman" w:hAnsi="Times New Roman" w:cs="Times New Roman"/>
              </w:rPr>
              <w:lastRenderedPageBreak/>
              <w:t>Matavimo intervalas nuo 0,4 g/l iki 12,0 g/l</w:t>
            </w:r>
          </w:p>
        </w:tc>
        <w:tc>
          <w:tcPr>
            <w:tcW w:w="5747" w:type="dxa"/>
            <w:shd w:val="clear" w:color="auto" w:fill="auto"/>
          </w:tcPr>
          <w:p w14:paraId="5E635831" w14:textId="77777777" w:rsidR="009A0A5B" w:rsidRDefault="009A0A5B" w:rsidP="007B0414">
            <w:pPr>
              <w:jc w:val="both"/>
              <w:outlineLvl w:val="0"/>
              <w:rPr>
                <w:rFonts w:ascii="Times New Roman" w:hAnsi="Times New Roman" w:cs="Times New Roman"/>
                <w:sz w:val="24"/>
                <w:szCs w:val="24"/>
              </w:rPr>
            </w:pPr>
            <w:r w:rsidRPr="00F25274">
              <w:rPr>
                <w:rFonts w:ascii="Times New Roman" w:hAnsi="Times New Roman" w:cs="Times New Roman"/>
                <w:sz w:val="24"/>
                <w:szCs w:val="24"/>
                <w:highlight w:val="green"/>
              </w:rPr>
              <w:lastRenderedPageBreak/>
              <w:t>Tiekėjo B pastaba:</w:t>
            </w:r>
            <w:r>
              <w:rPr>
                <w:rFonts w:ascii="Times New Roman" w:hAnsi="Times New Roman" w:cs="Times New Roman"/>
                <w:sz w:val="24"/>
                <w:szCs w:val="24"/>
              </w:rPr>
              <w:t xml:space="preserve"> </w:t>
            </w:r>
          </w:p>
          <w:p w14:paraId="243B357B" w14:textId="77777777" w:rsidR="009A0A5B" w:rsidRPr="005D2B4C" w:rsidRDefault="009A0A5B" w:rsidP="009A0A5B">
            <w:pPr>
              <w:pStyle w:val="Sraopastraipa"/>
              <w:numPr>
                <w:ilvl w:val="0"/>
                <w:numId w:val="4"/>
              </w:numPr>
              <w:tabs>
                <w:tab w:val="left" w:pos="374"/>
              </w:tabs>
              <w:ind w:left="0" w:hanging="51"/>
              <w:jc w:val="both"/>
              <w:outlineLvl w:val="0"/>
              <w:rPr>
                <w:rFonts w:ascii="Times New Roman" w:hAnsi="Times New Roman" w:cs="Times New Roman"/>
                <w:sz w:val="24"/>
                <w:szCs w:val="24"/>
              </w:rPr>
            </w:pPr>
            <w:r w:rsidRPr="005D2B4C">
              <w:rPr>
                <w:rFonts w:ascii="Times New Roman" w:hAnsi="Times New Roman" w:cs="Times New Roman"/>
                <w:sz w:val="24"/>
                <w:szCs w:val="24"/>
              </w:rPr>
              <w:t>Siekdami, kad konkurencija nebūtų dirbtinai apribota, siūlome koreguoti punktą dėl bet kokio lygio hemolizuoto, ikterinio ir/ar lipeminio (HIL) mėginio ištyrimo, papildant TS sąlygas reikalavimu tiksliai nurodyti (pažymėti gamintojo dokumentacijoje) kokio lygio HIL gali turėti įtakos rezultatams. Perkančioji organizacija turėtų pati numatyti ir prašyto tiekėjų pateikti galimas, ribines, HIL koncentracijas fibrinogeno matavime. Numatyti reikėtų tokias kliniškai patvirtintas ribines HIL koncentracijas, kurios neribotų konkurencijos. Pateikiame X gamintojo ribines HIL vertes:</w:t>
            </w:r>
          </w:p>
          <w:p w14:paraId="0E7F75D2" w14:textId="77777777" w:rsidR="009A0A5B" w:rsidRDefault="009A0A5B" w:rsidP="007B0414">
            <w:pPr>
              <w:jc w:val="both"/>
              <w:outlineLvl w:val="0"/>
              <w:rPr>
                <w:rFonts w:ascii="Times New Roman" w:hAnsi="Times New Roman" w:cs="Times New Roman"/>
                <w:color w:val="0070C0"/>
                <w:sz w:val="24"/>
                <w:szCs w:val="24"/>
              </w:rPr>
            </w:pPr>
            <w:r w:rsidRPr="00E47C50">
              <w:rPr>
                <w:rFonts w:ascii="Times New Roman" w:hAnsi="Times New Roman" w:cs="Times New Roman"/>
                <w:noProof/>
                <w:color w:val="0070C0"/>
                <w:sz w:val="24"/>
                <w:szCs w:val="24"/>
                <w:lang w:val="en-US"/>
              </w:rPr>
              <w:lastRenderedPageBreak/>
              <w:drawing>
                <wp:inline distT="0" distB="0" distL="0" distR="0" wp14:anchorId="61E1A379" wp14:editId="284952A4">
                  <wp:extent cx="3288334" cy="367728"/>
                  <wp:effectExtent l="0" t="0" r="7620" b="0"/>
                  <wp:docPr id="1123219867" name="Picture 1"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19867" name="Picture 1" descr="A yellow and black text&#10;&#10;Description automatically generated"/>
                          <pic:cNvPicPr/>
                        </pic:nvPicPr>
                        <pic:blipFill>
                          <a:blip r:embed="rId8"/>
                          <a:stretch>
                            <a:fillRect/>
                          </a:stretch>
                        </pic:blipFill>
                        <pic:spPr>
                          <a:xfrm>
                            <a:off x="0" y="0"/>
                            <a:ext cx="3481324" cy="389310"/>
                          </a:xfrm>
                          <a:prstGeom prst="rect">
                            <a:avLst/>
                          </a:prstGeom>
                        </pic:spPr>
                      </pic:pic>
                    </a:graphicData>
                  </a:graphic>
                </wp:inline>
              </w:drawing>
            </w:r>
          </w:p>
          <w:p w14:paraId="4AD7AD5D" w14:textId="77777777" w:rsidR="009A0A5B" w:rsidRPr="005D2B4C" w:rsidRDefault="009A0A5B" w:rsidP="007B0414">
            <w:pPr>
              <w:tabs>
                <w:tab w:val="left" w:pos="516"/>
              </w:tabs>
              <w:jc w:val="both"/>
              <w:outlineLvl w:val="0"/>
              <w:rPr>
                <w:rFonts w:ascii="Times New Roman" w:hAnsi="Times New Roman" w:cs="Times New Roman"/>
                <w:sz w:val="24"/>
                <w:szCs w:val="24"/>
              </w:rPr>
            </w:pPr>
            <w:r>
              <w:rPr>
                <w:rFonts w:ascii="Times New Roman" w:hAnsi="Times New Roman" w:cs="Times New Roman"/>
                <w:sz w:val="24"/>
                <w:szCs w:val="24"/>
              </w:rPr>
              <w:t>2)</w:t>
            </w:r>
            <w:r w:rsidRPr="005D2B4C">
              <w:rPr>
                <w:rFonts w:ascii="Times New Roman" w:hAnsi="Times New Roman" w:cs="Times New Roman"/>
                <w:sz w:val="24"/>
                <w:szCs w:val="24"/>
              </w:rPr>
              <w:t xml:space="preserve"> </w:t>
            </w:r>
            <w:r>
              <w:rPr>
                <w:rFonts w:ascii="Times New Roman" w:hAnsi="Times New Roman" w:cs="Times New Roman"/>
                <w:sz w:val="24"/>
                <w:szCs w:val="24"/>
              </w:rPr>
              <w:t>P</w:t>
            </w:r>
            <w:r w:rsidRPr="005D2B4C">
              <w:rPr>
                <w:rFonts w:ascii="Times New Roman" w:hAnsi="Times New Roman" w:cs="Times New Roman"/>
                <w:sz w:val="24"/>
                <w:szCs w:val="24"/>
              </w:rPr>
              <w:t xml:space="preserve">rašome išbraukti </w:t>
            </w:r>
            <w:r w:rsidRPr="005D2B4C">
              <w:rPr>
                <w:rFonts w:ascii="Times New Roman" w:hAnsi="Times New Roman" w:cs="Times New Roman"/>
                <w:sz w:val="24"/>
                <w:szCs w:val="24"/>
                <w:u w:val="single"/>
              </w:rPr>
              <w:t>nejautrumą fibrino degradacijos produktams</w:t>
            </w:r>
            <w:r w:rsidRPr="005D2B4C">
              <w:rPr>
                <w:rFonts w:ascii="Times New Roman" w:hAnsi="Times New Roman" w:cs="Times New Roman"/>
                <w:sz w:val="24"/>
                <w:szCs w:val="24"/>
              </w:rPr>
              <w:t xml:space="preserve">, nes juo t.p. ribojama konkurencija. </w:t>
            </w:r>
          </w:p>
          <w:p w14:paraId="4F22ABD7" w14:textId="77777777" w:rsidR="009A0A5B" w:rsidRPr="007B0414" w:rsidRDefault="009A0A5B" w:rsidP="009A0A5B">
            <w:pPr>
              <w:pStyle w:val="Sraopastraipa"/>
              <w:numPr>
                <w:ilvl w:val="0"/>
                <w:numId w:val="5"/>
              </w:numPr>
              <w:tabs>
                <w:tab w:val="left" w:pos="374"/>
              </w:tabs>
              <w:ind w:left="0" w:firstLine="0"/>
              <w:jc w:val="both"/>
              <w:outlineLvl w:val="0"/>
              <w:rPr>
                <w:rFonts w:ascii="Times New Roman" w:hAnsi="Times New Roman" w:cs="Times New Roman"/>
                <w:sz w:val="24"/>
                <w:szCs w:val="24"/>
              </w:rPr>
            </w:pPr>
            <w:r w:rsidRPr="007B0414">
              <w:rPr>
                <w:rFonts w:ascii="Times New Roman" w:hAnsi="Times New Roman" w:cs="Times New Roman"/>
                <w:sz w:val="24"/>
                <w:szCs w:val="24"/>
              </w:rPr>
              <w:t xml:space="preserve">Šis konkretus nurodytas </w:t>
            </w:r>
            <w:r w:rsidRPr="007B0414">
              <w:rPr>
                <w:rFonts w:ascii="Times New Roman" w:hAnsi="Times New Roman" w:cs="Times New Roman"/>
                <w:sz w:val="24"/>
                <w:szCs w:val="24"/>
                <w:u w:val="single"/>
              </w:rPr>
              <w:t>darbinio tirpalo stabilumas</w:t>
            </w:r>
            <w:r w:rsidRPr="007B0414">
              <w:rPr>
                <w:rFonts w:ascii="Times New Roman" w:hAnsi="Times New Roman" w:cs="Times New Roman"/>
                <w:sz w:val="24"/>
                <w:szCs w:val="24"/>
              </w:rPr>
              <w:t xml:space="preserve"> riboja konkurenciją. Prašome punktą išbraukti, nes konkrečiu, kiekvieno tiekėjo atveju bus paskaičiuota ir pasiūlyta tiek reagentų, kiek jo reikės, skaičiuojant pagal konkretaus gamintojo reagento stabilumą.</w:t>
            </w:r>
          </w:p>
          <w:p w14:paraId="002735E5" w14:textId="77777777" w:rsidR="009A0A5B" w:rsidRPr="00A01152" w:rsidRDefault="009A0A5B" w:rsidP="009A0A5B">
            <w:pPr>
              <w:pStyle w:val="Sraopastraipa"/>
              <w:numPr>
                <w:ilvl w:val="0"/>
                <w:numId w:val="5"/>
              </w:numPr>
              <w:tabs>
                <w:tab w:val="left" w:pos="374"/>
              </w:tabs>
              <w:ind w:left="-51" w:firstLine="51"/>
              <w:jc w:val="both"/>
              <w:rPr>
                <w:rFonts w:ascii="Times New Roman" w:hAnsi="Times New Roman" w:cs="Times New Roman"/>
                <w:sz w:val="24"/>
                <w:szCs w:val="24"/>
              </w:rPr>
            </w:pPr>
            <w:r>
              <w:rPr>
                <w:rFonts w:ascii="Times New Roman" w:hAnsi="Times New Roman" w:cs="Times New Roman"/>
                <w:sz w:val="24"/>
                <w:szCs w:val="24"/>
              </w:rPr>
              <w:t>P</w:t>
            </w:r>
            <w:r w:rsidRPr="00A01152">
              <w:rPr>
                <w:rFonts w:ascii="Times New Roman" w:hAnsi="Times New Roman" w:cs="Times New Roman"/>
                <w:sz w:val="24"/>
                <w:szCs w:val="24"/>
              </w:rPr>
              <w:t xml:space="preserve">rašome koreguoti </w:t>
            </w:r>
            <w:r w:rsidRPr="00156B41">
              <w:rPr>
                <w:rFonts w:ascii="Times New Roman" w:hAnsi="Times New Roman" w:cs="Times New Roman"/>
                <w:sz w:val="24"/>
                <w:szCs w:val="24"/>
                <w:u w:val="single"/>
              </w:rPr>
              <w:t>viršutinę matavimo ribą iki 10,0 g/l</w:t>
            </w:r>
            <w:r w:rsidRPr="00A01152">
              <w:rPr>
                <w:rFonts w:ascii="Times New Roman" w:hAnsi="Times New Roman" w:cs="Times New Roman"/>
                <w:sz w:val="24"/>
                <w:szCs w:val="24"/>
              </w:rPr>
              <w:t>, nes tai nebūtų esmę keičiantis sąlygų tikslinimas, tačiau konkurencija nebūtų dirbtinai apribota, daugiau tiekėjų galėtų dalyvauti pirkime.</w:t>
            </w:r>
          </w:p>
          <w:p w14:paraId="7B4B3D0C" w14:textId="77777777" w:rsidR="009A0A5B" w:rsidRPr="000D79C8" w:rsidRDefault="009A0A5B" w:rsidP="007B0414">
            <w:pPr>
              <w:jc w:val="both"/>
              <w:outlineLvl w:val="0"/>
              <w:rPr>
                <w:rFonts w:ascii="Times New Roman" w:hAnsi="Times New Roman" w:cs="Times New Roman"/>
                <w:i/>
                <w:iCs/>
                <w:sz w:val="24"/>
                <w:szCs w:val="24"/>
              </w:rPr>
            </w:pPr>
          </w:p>
          <w:p w14:paraId="1071F1AC" w14:textId="77777777" w:rsidR="009A0A5B" w:rsidRPr="003C2C16" w:rsidRDefault="009A0A5B" w:rsidP="007B0414">
            <w:pPr>
              <w:jc w:val="both"/>
              <w:outlineLvl w:val="0"/>
              <w:rPr>
                <w:rFonts w:ascii="Times New Roman" w:hAnsi="Times New Roman" w:cs="Times New Roman"/>
              </w:rPr>
            </w:pPr>
          </w:p>
        </w:tc>
        <w:tc>
          <w:tcPr>
            <w:tcW w:w="5429" w:type="dxa"/>
          </w:tcPr>
          <w:p w14:paraId="7E50FC2B" w14:textId="77777777" w:rsidR="009A0A5B" w:rsidRPr="005D2B4C" w:rsidRDefault="009A0A5B" w:rsidP="009A0A5B">
            <w:pPr>
              <w:pStyle w:val="Sraopastraipa"/>
              <w:numPr>
                <w:ilvl w:val="0"/>
                <w:numId w:val="6"/>
              </w:numPr>
              <w:tabs>
                <w:tab w:val="left" w:pos="481"/>
              </w:tabs>
              <w:ind w:left="16" w:firstLine="0"/>
              <w:jc w:val="both"/>
              <w:outlineLvl w:val="0"/>
              <w:rPr>
                <w:rFonts w:ascii="Times New Roman" w:hAnsi="Times New Roman" w:cs="Times New Roman"/>
                <w:sz w:val="24"/>
                <w:szCs w:val="24"/>
              </w:rPr>
            </w:pPr>
            <w:r w:rsidRPr="005D2B4C">
              <w:rPr>
                <w:rFonts w:ascii="Times New Roman" w:hAnsi="Times New Roman" w:cs="Times New Roman"/>
                <w:iCs/>
                <w:sz w:val="24"/>
                <w:szCs w:val="24"/>
              </w:rPr>
              <w:lastRenderedPageBreak/>
              <w:t xml:space="preserve">Priešingai nei tiekėjo teigiama, </w:t>
            </w:r>
            <w:r w:rsidRPr="005D2B4C">
              <w:rPr>
                <w:rFonts w:ascii="Times New Roman" w:hAnsi="Times New Roman" w:cs="Times New Roman"/>
                <w:sz w:val="24"/>
                <w:szCs w:val="24"/>
              </w:rPr>
              <w:t xml:space="preserve">nurodžius konkretų HIL lygį ar jo intervalą, </w:t>
            </w:r>
            <w:r w:rsidRPr="005D2B4C">
              <w:rPr>
                <w:rFonts w:ascii="Times New Roman" w:hAnsi="Times New Roman" w:cs="Times New Roman"/>
                <w:iCs/>
                <w:sz w:val="24"/>
                <w:szCs w:val="24"/>
              </w:rPr>
              <w:t xml:space="preserve">bus ženkliai apribojama konkurencija - skirtingų gamintojų atstovaujami tiekėjai gali turėti skirtingų HIL lygių ar jų ribų analizatorius ir reagentus, todėl dėl šio konkretaus parametro gali neatitikti reikalavimų. </w:t>
            </w:r>
          </w:p>
          <w:p w14:paraId="03E6EFAA" w14:textId="1BFD6E88" w:rsidR="009A0A5B" w:rsidRPr="005856B5" w:rsidRDefault="009A0A5B" w:rsidP="007B0414">
            <w:pPr>
              <w:ind w:firstLine="441"/>
              <w:jc w:val="both"/>
              <w:outlineLvl w:val="0"/>
              <w:rPr>
                <w:rFonts w:ascii="Times New Roman" w:hAnsi="Times New Roman" w:cs="Times New Roman"/>
                <w:b/>
                <w:bCs/>
                <w:iCs/>
                <w:sz w:val="24"/>
                <w:szCs w:val="24"/>
              </w:rPr>
            </w:pPr>
            <w:r w:rsidRPr="00696E14">
              <w:rPr>
                <w:rFonts w:ascii="Times New Roman" w:hAnsi="Times New Roman" w:cs="Times New Roman"/>
                <w:iCs/>
                <w:sz w:val="24"/>
                <w:szCs w:val="24"/>
              </w:rPr>
              <w:t xml:space="preserve">Atsižvelgiant į aukščiau nurodytą informaciją, </w:t>
            </w:r>
            <w:r w:rsidRPr="005856B5">
              <w:rPr>
                <w:rFonts w:ascii="Times New Roman" w:hAnsi="Times New Roman" w:cs="Times New Roman"/>
                <w:b/>
                <w:iCs/>
                <w:sz w:val="24"/>
                <w:szCs w:val="24"/>
              </w:rPr>
              <w:t>iš</w:t>
            </w:r>
            <w:r w:rsidRPr="005856B5">
              <w:rPr>
                <w:rFonts w:ascii="Times New Roman" w:hAnsi="Times New Roman" w:cs="Times New Roman"/>
                <w:iCs/>
                <w:sz w:val="24"/>
                <w:szCs w:val="24"/>
              </w:rPr>
              <w:t xml:space="preserve"> </w:t>
            </w:r>
            <w:r w:rsidRPr="005856B5">
              <w:rPr>
                <w:rFonts w:ascii="Times New Roman" w:hAnsi="Times New Roman" w:cs="Times New Roman"/>
                <w:b/>
                <w:iCs/>
                <w:sz w:val="24"/>
                <w:szCs w:val="24"/>
              </w:rPr>
              <w:t xml:space="preserve">4 punkto reikalavimų </w:t>
            </w:r>
            <w:r w:rsidRPr="005856B5">
              <w:rPr>
                <w:rFonts w:ascii="Times New Roman" w:hAnsi="Times New Roman" w:cs="Times New Roman"/>
                <w:b/>
                <w:bCs/>
                <w:iCs/>
                <w:sz w:val="24"/>
                <w:szCs w:val="24"/>
              </w:rPr>
              <w:t>bus išbrauktas sakinys: „Mėginys – citruota plazma: normali, bet kokio lygio  hemolizuota, ikterinė, lipeminė.“</w:t>
            </w:r>
          </w:p>
          <w:p w14:paraId="4D8511EB" w14:textId="77777777" w:rsidR="009A0A5B" w:rsidRPr="008F2D3D" w:rsidRDefault="009A0A5B" w:rsidP="007B0414">
            <w:pPr>
              <w:ind w:firstLine="441"/>
              <w:jc w:val="both"/>
              <w:outlineLvl w:val="0"/>
              <w:rPr>
                <w:rFonts w:ascii="Times New Roman" w:hAnsi="Times New Roman" w:cs="Times New Roman"/>
                <w:iCs/>
                <w:sz w:val="24"/>
                <w:szCs w:val="24"/>
              </w:rPr>
            </w:pPr>
          </w:p>
          <w:p w14:paraId="050D30F4" w14:textId="77777777" w:rsidR="009A0A5B" w:rsidRPr="00A70B3F" w:rsidRDefault="009A0A5B" w:rsidP="009A0A5B">
            <w:pPr>
              <w:pStyle w:val="Sraopastraipa"/>
              <w:numPr>
                <w:ilvl w:val="0"/>
                <w:numId w:val="6"/>
              </w:numPr>
              <w:tabs>
                <w:tab w:val="left" w:pos="511"/>
              </w:tabs>
              <w:spacing w:after="0"/>
              <w:ind w:left="16" w:firstLine="0"/>
              <w:jc w:val="both"/>
              <w:outlineLvl w:val="0"/>
              <w:rPr>
                <w:rFonts w:ascii="Times New Roman" w:hAnsi="Times New Roman" w:cs="Times New Roman"/>
                <w:sz w:val="24"/>
                <w:szCs w:val="24"/>
              </w:rPr>
            </w:pPr>
            <w:r w:rsidRPr="00A70B3F">
              <w:rPr>
                <w:rFonts w:ascii="Times New Roman" w:hAnsi="Times New Roman" w:cs="Times New Roman"/>
                <w:sz w:val="24"/>
                <w:szCs w:val="24"/>
              </w:rPr>
              <w:t>Fibrinogeno koncentracijos nustatymo tyrimas turi būti nejautrus fibrino skilimo ar degradacijos produktams (FDP), dėl:</w:t>
            </w:r>
          </w:p>
          <w:p w14:paraId="661BA62D" w14:textId="77777777" w:rsidR="009A0A5B" w:rsidRPr="00731A2B" w:rsidRDefault="009A0A5B" w:rsidP="009A0A5B">
            <w:pPr>
              <w:numPr>
                <w:ilvl w:val="0"/>
                <w:numId w:val="1"/>
              </w:numPr>
              <w:spacing w:after="0" w:line="259" w:lineRule="auto"/>
              <w:jc w:val="both"/>
              <w:outlineLvl w:val="0"/>
              <w:rPr>
                <w:rFonts w:ascii="Times New Roman" w:hAnsi="Times New Roman" w:cs="Times New Roman"/>
                <w:sz w:val="24"/>
                <w:szCs w:val="24"/>
              </w:rPr>
            </w:pPr>
            <w:r w:rsidRPr="00731A2B">
              <w:rPr>
                <w:rFonts w:ascii="Times New Roman" w:hAnsi="Times New Roman" w:cs="Times New Roman"/>
                <w:bCs/>
                <w:sz w:val="24"/>
                <w:szCs w:val="24"/>
              </w:rPr>
              <w:lastRenderedPageBreak/>
              <w:t>Tikslumo ir specifiškumo</w:t>
            </w:r>
            <w:r w:rsidRPr="00731A2B">
              <w:rPr>
                <w:rFonts w:ascii="Times New Roman" w:hAnsi="Times New Roman" w:cs="Times New Roman"/>
                <w:sz w:val="24"/>
                <w:szCs w:val="24"/>
              </w:rPr>
              <w:t xml:space="preserve"> – jei tyrimas reaguotų į FDP, jis galėtų klaidingai parodyti aukštesnę fibrinogeno koncentraciją, nes FDP yra fibrinogeno skilimo produktai, bet ne pats fibrinogenas.</w:t>
            </w:r>
          </w:p>
          <w:p w14:paraId="4DC30CA0" w14:textId="77777777" w:rsidR="009A0A5B" w:rsidRPr="00731A2B" w:rsidRDefault="009A0A5B" w:rsidP="009A0A5B">
            <w:pPr>
              <w:numPr>
                <w:ilvl w:val="0"/>
                <w:numId w:val="1"/>
              </w:numPr>
              <w:spacing w:after="0" w:line="259" w:lineRule="auto"/>
              <w:jc w:val="both"/>
              <w:outlineLvl w:val="0"/>
              <w:rPr>
                <w:rFonts w:ascii="Times New Roman" w:hAnsi="Times New Roman" w:cs="Times New Roman"/>
                <w:sz w:val="24"/>
                <w:szCs w:val="24"/>
              </w:rPr>
            </w:pPr>
            <w:r w:rsidRPr="00731A2B">
              <w:rPr>
                <w:rFonts w:ascii="Times New Roman" w:hAnsi="Times New Roman" w:cs="Times New Roman"/>
                <w:bCs/>
                <w:sz w:val="24"/>
                <w:szCs w:val="24"/>
              </w:rPr>
              <w:t>Diferenciacijos tarp aktyviosios ir degradacinės būklės</w:t>
            </w:r>
            <w:r w:rsidRPr="00731A2B">
              <w:rPr>
                <w:rFonts w:ascii="Times New Roman" w:hAnsi="Times New Roman" w:cs="Times New Roman"/>
                <w:sz w:val="24"/>
                <w:szCs w:val="24"/>
              </w:rPr>
              <w:t xml:space="preserve"> – fibrinogenas yra kraujo krešėjimo baltymas, tačiau jo skilimo produktai gali būti padidėję esant įvairioms patologinėms būklėms. Tyrimas turi atskirti fibrinogeną nuo jo skilimo produktų, kad būtų galima tinkamai įvertinti krešėjimo sistemos būklę.</w:t>
            </w:r>
          </w:p>
          <w:p w14:paraId="4EC82EC4" w14:textId="77777777" w:rsidR="009A0A5B" w:rsidRPr="00731A2B" w:rsidRDefault="009A0A5B" w:rsidP="009A0A5B">
            <w:pPr>
              <w:numPr>
                <w:ilvl w:val="0"/>
                <w:numId w:val="1"/>
              </w:numPr>
              <w:spacing w:after="0" w:line="259" w:lineRule="auto"/>
              <w:jc w:val="both"/>
              <w:outlineLvl w:val="0"/>
              <w:rPr>
                <w:rFonts w:ascii="Times New Roman" w:hAnsi="Times New Roman" w:cs="Times New Roman"/>
                <w:sz w:val="24"/>
                <w:szCs w:val="24"/>
              </w:rPr>
            </w:pPr>
            <w:r w:rsidRPr="00731A2B">
              <w:rPr>
                <w:rFonts w:ascii="Times New Roman" w:hAnsi="Times New Roman" w:cs="Times New Roman"/>
                <w:bCs/>
                <w:sz w:val="24"/>
                <w:szCs w:val="24"/>
              </w:rPr>
              <w:t>Diagnostinių klaidų prevencijų</w:t>
            </w:r>
            <w:r w:rsidRPr="00731A2B">
              <w:rPr>
                <w:rFonts w:ascii="Times New Roman" w:hAnsi="Times New Roman" w:cs="Times New Roman"/>
                <w:sz w:val="24"/>
                <w:szCs w:val="24"/>
              </w:rPr>
              <w:t xml:space="preserve"> – jei tyrimas būtų jautrus FDP, pacientams, turintiems fibrinolizės ar krešėjimo sutrikimų, fibrinogeno kiekis galėtų būti neteisingai interpretuojamas. Tai galėtų lemti neteisingą diagnozę ar gydymo taktikos parinkimą.</w:t>
            </w:r>
          </w:p>
          <w:p w14:paraId="70B6EA78" w14:textId="77777777" w:rsidR="009A0A5B" w:rsidRPr="00965075" w:rsidRDefault="009A0A5B" w:rsidP="009A0A5B">
            <w:pPr>
              <w:numPr>
                <w:ilvl w:val="0"/>
                <w:numId w:val="1"/>
              </w:numPr>
              <w:spacing w:after="0" w:line="259" w:lineRule="auto"/>
              <w:jc w:val="both"/>
              <w:outlineLvl w:val="0"/>
              <w:rPr>
                <w:rFonts w:ascii="Times New Roman" w:hAnsi="Times New Roman" w:cs="Times New Roman"/>
                <w:sz w:val="24"/>
                <w:szCs w:val="24"/>
              </w:rPr>
            </w:pPr>
            <w:r w:rsidRPr="00731A2B">
              <w:rPr>
                <w:rFonts w:ascii="Times New Roman" w:hAnsi="Times New Roman" w:cs="Times New Roman"/>
                <w:bCs/>
                <w:sz w:val="24"/>
                <w:szCs w:val="24"/>
              </w:rPr>
              <w:t>Klinikinio pritaikymo</w:t>
            </w:r>
            <w:r w:rsidRPr="00731A2B">
              <w:rPr>
                <w:rFonts w:ascii="Times New Roman" w:hAnsi="Times New Roman" w:cs="Times New Roman"/>
                <w:sz w:val="24"/>
                <w:szCs w:val="24"/>
              </w:rPr>
              <w:t xml:space="preserve"> – kadangi fibrinogeno kiekis svarbus vertinant krešėjimo funkciją (pvz., prieš operacijas, esant kraujavimo rizikai ar trombozės būklėms), būtina, kad tyrimo metodas tiksliai matuotų tik funkcinį ar absoliutų fibrinogeno kiekį be FDP įtakos.</w:t>
            </w:r>
          </w:p>
          <w:p w14:paraId="344DF28F" w14:textId="77777777" w:rsidR="009A0A5B" w:rsidRDefault="009A0A5B" w:rsidP="007B0414">
            <w:pPr>
              <w:spacing w:after="0"/>
              <w:ind w:left="360"/>
              <w:jc w:val="both"/>
              <w:outlineLvl w:val="0"/>
              <w:rPr>
                <w:rFonts w:ascii="Times New Roman" w:hAnsi="Times New Roman" w:cs="Times New Roman"/>
                <w:color w:val="0070C0"/>
                <w:sz w:val="24"/>
                <w:szCs w:val="24"/>
              </w:rPr>
            </w:pPr>
          </w:p>
          <w:p w14:paraId="2D5F2042" w14:textId="18E4A28C" w:rsidR="009A0A5B" w:rsidRDefault="009A0A5B" w:rsidP="007B0414">
            <w:pPr>
              <w:ind w:left="16" w:firstLine="425"/>
              <w:jc w:val="both"/>
              <w:outlineLvl w:val="0"/>
              <w:rPr>
                <w:rFonts w:ascii="Times New Roman" w:hAnsi="Times New Roman" w:cs="Times New Roman"/>
                <w:sz w:val="24"/>
                <w:szCs w:val="24"/>
              </w:rPr>
            </w:pPr>
            <w:r w:rsidRPr="00990BE9">
              <w:rPr>
                <w:rFonts w:ascii="Times New Roman" w:hAnsi="Times New Roman" w:cs="Times New Roman"/>
                <w:sz w:val="24"/>
                <w:szCs w:val="24"/>
              </w:rPr>
              <w:t xml:space="preserve">Atsižvelgiant į aukščiau pateiktą informaciją, </w:t>
            </w:r>
            <w:r w:rsidR="001C6EBB" w:rsidRPr="007D7AF0">
              <w:rPr>
                <w:rFonts w:ascii="Times New Roman" w:hAnsi="Times New Roman" w:cs="Times New Roman"/>
                <w:b/>
                <w:bCs/>
                <w:sz w:val="24"/>
                <w:szCs w:val="24"/>
              </w:rPr>
              <w:t xml:space="preserve">iš 4 punkto bus išbrauktas sakinys: „Reagentas turi būti nejautrus fibrino skilimo produktams ne mažiau kaip iki 100 </w:t>
            </w:r>
            <w:proofErr w:type="spellStart"/>
            <w:r w:rsidR="001C6EBB" w:rsidRPr="007D7AF0">
              <w:rPr>
                <w:rFonts w:ascii="Times New Roman" w:hAnsi="Times New Roman" w:cs="Times New Roman"/>
                <w:b/>
                <w:bCs/>
                <w:sz w:val="24"/>
                <w:szCs w:val="24"/>
              </w:rPr>
              <w:t>μg</w:t>
            </w:r>
            <w:proofErr w:type="spellEnd"/>
            <w:r w:rsidR="001C6EBB" w:rsidRPr="007D7AF0">
              <w:rPr>
                <w:rFonts w:ascii="Times New Roman" w:hAnsi="Times New Roman" w:cs="Times New Roman"/>
                <w:b/>
                <w:bCs/>
                <w:sz w:val="24"/>
                <w:szCs w:val="24"/>
              </w:rPr>
              <w:t>/ml“.</w:t>
            </w:r>
            <w:r w:rsidRPr="00990BE9">
              <w:rPr>
                <w:rFonts w:ascii="Times New Roman" w:hAnsi="Times New Roman" w:cs="Times New Roman"/>
                <w:sz w:val="24"/>
                <w:szCs w:val="24"/>
              </w:rPr>
              <w:t xml:space="preserve"> </w:t>
            </w:r>
          </w:p>
          <w:p w14:paraId="35654251" w14:textId="77777777" w:rsidR="009A0A5B" w:rsidRPr="00806117" w:rsidRDefault="009A0A5B" w:rsidP="009A0A5B">
            <w:pPr>
              <w:pStyle w:val="Sraopastraipa"/>
              <w:numPr>
                <w:ilvl w:val="0"/>
                <w:numId w:val="6"/>
              </w:numPr>
              <w:tabs>
                <w:tab w:val="left" w:pos="441"/>
              </w:tabs>
              <w:spacing w:after="0"/>
              <w:ind w:left="0" w:firstLine="16"/>
              <w:jc w:val="both"/>
              <w:rPr>
                <w:rFonts w:ascii="Times New Roman" w:hAnsi="Times New Roman" w:cs="Times New Roman"/>
                <w:iCs/>
                <w:sz w:val="24"/>
                <w:szCs w:val="24"/>
              </w:rPr>
            </w:pPr>
            <w:r w:rsidRPr="00806117">
              <w:rPr>
                <w:rFonts w:ascii="Times New Roman" w:hAnsi="Times New Roman" w:cs="Times New Roman"/>
                <w:iCs/>
                <w:sz w:val="24"/>
                <w:szCs w:val="24"/>
              </w:rPr>
              <w:lastRenderedPageBreak/>
              <w:t>Perkančioji organizacija savo praktikoje ne vieną kartą patyrė, kai tiekėjai pateikia siūlymus atsižvelgdami tik į nurodytą planuojamų atlikti tyrimų skaičių, visiškai nevertindami reagentų stabilumo. Tai sudaro sąlygas tiekėjams apskaičiuoti minimalų reagentų pakuočių kiekį nurodytam tyrimų skaičiui atlikti, tokiu būdu siūlant mažesnę galutinę kainą. Todėl tiekėjo teiginys „</w:t>
            </w:r>
            <w:r w:rsidRPr="00806117">
              <w:rPr>
                <w:rFonts w:ascii="Times New Roman" w:hAnsi="Times New Roman" w:cs="Times New Roman"/>
                <w:i/>
                <w:sz w:val="24"/>
                <w:szCs w:val="24"/>
              </w:rPr>
              <w:t>kiekvieno tiekėjo atveju bus paskaičiuota ir pasiūlyta tiek reagentų, kiek jo reikės, skaičiuojant pagal konkretaus gamintojo reagento stabilumą</w:t>
            </w:r>
            <w:r w:rsidRPr="00806117">
              <w:rPr>
                <w:rFonts w:ascii="Times New Roman" w:hAnsi="Times New Roman" w:cs="Times New Roman"/>
                <w:iCs/>
                <w:sz w:val="24"/>
                <w:szCs w:val="24"/>
              </w:rPr>
              <w:t>“ visiškai neatitinka realios situacijos. Laboratorijoms, kurios atlieka santykinai nedaug tyrimų, ilgesnio stabilumo reagentai yra ekonomiškai efektyvesni, leidžia išvengti nereikalingų pertrūkių, mažina švaistymą ir užtikrina tyrimų rezultatų patikimumą. Akivaizdu, jog esant ilgesniam reagentų stabilumui:</w:t>
            </w:r>
          </w:p>
          <w:p w14:paraId="08ADFC10" w14:textId="77777777" w:rsidR="009A0A5B" w:rsidRPr="00D7269B" w:rsidRDefault="009A0A5B" w:rsidP="009A0A5B">
            <w:pPr>
              <w:pStyle w:val="Sraopastraipa"/>
              <w:numPr>
                <w:ilvl w:val="0"/>
                <w:numId w:val="2"/>
              </w:numPr>
              <w:spacing w:after="0" w:line="259" w:lineRule="auto"/>
              <w:ind w:left="426" w:hanging="426"/>
              <w:jc w:val="both"/>
              <w:rPr>
                <w:rFonts w:ascii="Times New Roman" w:hAnsi="Times New Roman" w:cs="Times New Roman"/>
                <w:iCs/>
                <w:sz w:val="24"/>
                <w:szCs w:val="24"/>
              </w:rPr>
            </w:pPr>
            <w:r>
              <w:rPr>
                <w:rFonts w:ascii="Times New Roman" w:hAnsi="Times New Roman" w:cs="Times New Roman"/>
                <w:bCs/>
                <w:iCs/>
                <w:sz w:val="24"/>
                <w:szCs w:val="24"/>
              </w:rPr>
              <w:t>s</w:t>
            </w:r>
            <w:r w:rsidRPr="00D7269B">
              <w:rPr>
                <w:rFonts w:ascii="Times New Roman" w:hAnsi="Times New Roman" w:cs="Times New Roman"/>
                <w:bCs/>
                <w:iCs/>
                <w:sz w:val="24"/>
                <w:szCs w:val="24"/>
              </w:rPr>
              <w:t xml:space="preserve">umažėja reagentų švaistymas. </w:t>
            </w:r>
            <w:r w:rsidRPr="00D7269B">
              <w:rPr>
                <w:rFonts w:ascii="Times New Roman" w:hAnsi="Times New Roman" w:cs="Times New Roman"/>
                <w:iCs/>
                <w:sz w:val="24"/>
                <w:szCs w:val="24"/>
              </w:rPr>
              <w:t>Kai reagentų stabilumas yra trumpesnis, o tyrimų atliekama santykinai nedaug, gali būti sunku sunaudoti visą reagentų pakuotę. Ilgesnis stabilumo laikas leidžia išvengti situacijų, kai reagentai turi būti utilizuojami dėl pasibaigusio galiojimo.</w:t>
            </w:r>
          </w:p>
          <w:p w14:paraId="15ABB51A" w14:textId="77777777" w:rsidR="009A0A5B" w:rsidRPr="00D7269B" w:rsidRDefault="009A0A5B" w:rsidP="009A0A5B">
            <w:pPr>
              <w:pStyle w:val="Sraopastraipa"/>
              <w:numPr>
                <w:ilvl w:val="0"/>
                <w:numId w:val="2"/>
              </w:numPr>
              <w:spacing w:line="259"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u</w:t>
            </w:r>
            <w:r w:rsidRPr="00D7269B">
              <w:rPr>
                <w:rFonts w:ascii="Times New Roman" w:hAnsi="Times New Roman" w:cs="Times New Roman"/>
                <w:iCs/>
                <w:sz w:val="24"/>
                <w:szCs w:val="24"/>
              </w:rPr>
              <w:t>žtikrinamas didesnis ekonomiškumas. Dažnesnis reagentų pirkimas ir jų keitimas dėl trumpesnio stabilumo didina išlaidas, nes laboratorijai tenka dažniau užsakinėti naujus reagentus.</w:t>
            </w:r>
          </w:p>
          <w:p w14:paraId="774F5E44" w14:textId="77777777" w:rsidR="009A0A5B" w:rsidRPr="00D7269B" w:rsidRDefault="009A0A5B" w:rsidP="009A0A5B">
            <w:pPr>
              <w:pStyle w:val="Sraopastraipa"/>
              <w:numPr>
                <w:ilvl w:val="0"/>
                <w:numId w:val="2"/>
              </w:numPr>
              <w:spacing w:line="259"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p</w:t>
            </w:r>
            <w:r w:rsidRPr="00D7269B">
              <w:rPr>
                <w:rFonts w:ascii="Times New Roman" w:hAnsi="Times New Roman" w:cs="Times New Roman"/>
                <w:iCs/>
                <w:sz w:val="24"/>
                <w:szCs w:val="24"/>
              </w:rPr>
              <w:t xml:space="preserve">atogiau valdomos atsargos. Ilgiau stabilūs reagentai sumažina poreikį dažnai atnaujinti atsargas, todėl laboratorija gali turėti pastovų kiekį reagentų ilgą laiką, be nuolatinės būtinybės stebėti </w:t>
            </w:r>
            <w:r w:rsidRPr="00D7269B">
              <w:rPr>
                <w:rFonts w:ascii="Times New Roman" w:hAnsi="Times New Roman" w:cs="Times New Roman"/>
                <w:iCs/>
                <w:sz w:val="24"/>
                <w:szCs w:val="24"/>
              </w:rPr>
              <w:lastRenderedPageBreak/>
              <w:t xml:space="preserve">jų galiojimą. Tai ypač svarbu tyrimams, kurių atliekama santykinai nedaug. </w:t>
            </w:r>
          </w:p>
          <w:p w14:paraId="3AE03CE8" w14:textId="77777777" w:rsidR="009A0A5B" w:rsidRPr="00FD2E60" w:rsidRDefault="009A0A5B" w:rsidP="009A0A5B">
            <w:pPr>
              <w:pStyle w:val="Sraopastraipa"/>
              <w:numPr>
                <w:ilvl w:val="0"/>
                <w:numId w:val="2"/>
              </w:numPr>
              <w:spacing w:line="259" w:lineRule="auto"/>
              <w:ind w:left="426" w:hanging="426"/>
              <w:jc w:val="both"/>
              <w:rPr>
                <w:rFonts w:ascii="Times New Roman" w:hAnsi="Times New Roman" w:cs="Times New Roman"/>
                <w:iCs/>
                <w:sz w:val="24"/>
                <w:szCs w:val="24"/>
              </w:rPr>
            </w:pPr>
            <w:r>
              <w:rPr>
                <w:rFonts w:ascii="Times New Roman" w:hAnsi="Times New Roman" w:cs="Times New Roman"/>
                <w:bCs/>
                <w:iCs/>
                <w:sz w:val="24"/>
                <w:szCs w:val="24"/>
              </w:rPr>
              <w:t>m</w:t>
            </w:r>
            <w:r w:rsidRPr="00D7269B">
              <w:rPr>
                <w:rFonts w:ascii="Times New Roman" w:hAnsi="Times New Roman" w:cs="Times New Roman"/>
                <w:bCs/>
                <w:iCs/>
                <w:sz w:val="24"/>
                <w:szCs w:val="24"/>
              </w:rPr>
              <w:t>ažesnė rizika neatlikti reikiamų tyrimų.</w:t>
            </w:r>
            <w:r w:rsidRPr="00D7269B">
              <w:rPr>
                <w:rFonts w:ascii="Times New Roman" w:hAnsi="Times New Roman" w:cs="Times New Roman"/>
                <w:b/>
                <w:bCs/>
                <w:iCs/>
                <w:sz w:val="24"/>
                <w:szCs w:val="24"/>
              </w:rPr>
              <w:t xml:space="preserve"> </w:t>
            </w:r>
            <w:r w:rsidRPr="00D7269B">
              <w:rPr>
                <w:rFonts w:ascii="Times New Roman" w:hAnsi="Times New Roman" w:cs="Times New Roman"/>
                <w:iCs/>
                <w:sz w:val="24"/>
                <w:szCs w:val="24"/>
              </w:rPr>
              <w:t xml:space="preserve">Kai reagentų stabilumo laikas trumpas, laboratorija gali susidurti su situacijomis, kuomet reagentai baigiasi arba tampa nebetinkami naudoti, kol dar nėra pristatyti nauji. Ilgiau stabilūs reagentai užtikrina sklandesnį nepertraukiamą laboratorinių tyrimų atlikimą. </w:t>
            </w:r>
          </w:p>
          <w:p w14:paraId="478D60D4" w14:textId="54639A0A" w:rsidR="009A0A5B" w:rsidRPr="00A0011C" w:rsidRDefault="009A0A5B" w:rsidP="00A0011C">
            <w:pPr>
              <w:jc w:val="both"/>
              <w:outlineLvl w:val="0"/>
              <w:rPr>
                <w:rFonts w:ascii="Times New Roman" w:hAnsi="Times New Roman" w:cs="Times New Roman"/>
                <w:b/>
                <w:bCs/>
                <w:sz w:val="24"/>
                <w:szCs w:val="24"/>
              </w:rPr>
            </w:pPr>
            <w:r w:rsidRPr="00990BE9">
              <w:rPr>
                <w:rFonts w:ascii="Times New Roman" w:hAnsi="Times New Roman" w:cs="Times New Roman"/>
                <w:sz w:val="24"/>
                <w:szCs w:val="24"/>
              </w:rPr>
              <w:t xml:space="preserve">Atsižvelgiant į aukščiau pateiktą informaciją, </w:t>
            </w:r>
            <w:r w:rsidR="00A0011C" w:rsidRPr="007D7AF0">
              <w:rPr>
                <w:rFonts w:ascii="Times New Roman" w:hAnsi="Times New Roman" w:cs="Times New Roman"/>
                <w:b/>
                <w:bCs/>
                <w:sz w:val="24"/>
                <w:szCs w:val="24"/>
              </w:rPr>
              <w:t>4 punkto reikalavimą pakeičiame: „</w:t>
            </w:r>
            <w:r w:rsidR="00A0011C" w:rsidRPr="007D7AF0">
              <w:rPr>
                <w:rFonts w:ascii="Times New Roman" w:hAnsi="Times New Roman" w:cs="Times New Roman"/>
                <w:b/>
                <w:bCs/>
              </w:rPr>
              <w:t xml:space="preserve">Darbinio tirpalo </w:t>
            </w:r>
            <w:r w:rsidR="00A0011C" w:rsidRPr="007D7AF0">
              <w:rPr>
                <w:rFonts w:ascii="Times New Roman" w:hAnsi="Times New Roman" w:cs="Times New Roman"/>
                <w:b/>
                <w:bCs/>
                <w:sz w:val="24"/>
                <w:szCs w:val="24"/>
              </w:rPr>
              <w:t>stabilumas ≥ 30 d. 2-8 °C“</w:t>
            </w:r>
            <w:r w:rsidRPr="00990BE9">
              <w:rPr>
                <w:rFonts w:ascii="Times New Roman" w:hAnsi="Times New Roman" w:cs="Times New Roman"/>
                <w:sz w:val="24"/>
                <w:szCs w:val="24"/>
              </w:rPr>
              <w:t xml:space="preserve">. </w:t>
            </w:r>
          </w:p>
          <w:p w14:paraId="15C888F9" w14:textId="77777777" w:rsidR="009A0A5B" w:rsidRPr="00234535" w:rsidRDefault="009A0A5B" w:rsidP="009A0A5B">
            <w:pPr>
              <w:pStyle w:val="Sraopastraipa"/>
              <w:numPr>
                <w:ilvl w:val="0"/>
                <w:numId w:val="6"/>
              </w:numPr>
              <w:tabs>
                <w:tab w:val="left" w:pos="496"/>
              </w:tabs>
              <w:spacing w:after="0"/>
              <w:ind w:left="16" w:firstLine="0"/>
              <w:jc w:val="both"/>
              <w:rPr>
                <w:rFonts w:ascii="Times New Roman" w:hAnsi="Times New Roman" w:cs="Times New Roman"/>
                <w:sz w:val="24"/>
                <w:szCs w:val="24"/>
              </w:rPr>
            </w:pPr>
            <w:r w:rsidRPr="00234535">
              <w:rPr>
                <w:rFonts w:ascii="Times New Roman" w:hAnsi="Times New Roman" w:cs="Times New Roman"/>
                <w:sz w:val="24"/>
                <w:szCs w:val="24"/>
              </w:rPr>
              <w:t>Fibrinogeno koncentracijos nustatymo tyrimo matavimo intervalas nuo 0,4 g/l iki 12,0 g/l parenkamas siekiant užtikrinti tikslų ir patikimą rezultatų interpretavimą įvairiose klinikinėse situacijose dėl šių priežasčių:</w:t>
            </w:r>
          </w:p>
          <w:p w14:paraId="493B77C5" w14:textId="77777777" w:rsidR="009A0A5B" w:rsidRPr="00731A2B" w:rsidRDefault="009A0A5B" w:rsidP="009A0A5B">
            <w:pPr>
              <w:numPr>
                <w:ilvl w:val="0"/>
                <w:numId w:val="3"/>
              </w:numPr>
              <w:spacing w:after="0" w:line="259" w:lineRule="auto"/>
              <w:jc w:val="both"/>
              <w:rPr>
                <w:rFonts w:ascii="Times New Roman" w:hAnsi="Times New Roman" w:cs="Times New Roman"/>
                <w:sz w:val="24"/>
                <w:szCs w:val="24"/>
              </w:rPr>
            </w:pPr>
            <w:r w:rsidRPr="00976205">
              <w:rPr>
                <w:rFonts w:ascii="Times New Roman" w:hAnsi="Times New Roman" w:cs="Times New Roman"/>
                <w:bCs/>
                <w:sz w:val="24"/>
                <w:szCs w:val="24"/>
                <w:u w:val="single"/>
              </w:rPr>
              <w:t>fiziologinė normos riba ir patologiniai pokyčiai</w:t>
            </w:r>
            <w:r>
              <w:rPr>
                <w:rFonts w:ascii="Times New Roman" w:hAnsi="Times New Roman" w:cs="Times New Roman"/>
                <w:bCs/>
                <w:sz w:val="24"/>
                <w:szCs w:val="24"/>
              </w:rPr>
              <w:t xml:space="preserve">. </w:t>
            </w:r>
            <w:r w:rsidRPr="00731A2B">
              <w:rPr>
                <w:rFonts w:ascii="Times New Roman" w:hAnsi="Times New Roman" w:cs="Times New Roman"/>
                <w:sz w:val="24"/>
                <w:szCs w:val="24"/>
              </w:rPr>
              <w:t>Įprastinė fibrinogeno koncentracija kraujyje svyruoja nuo 2,0 iki 4,0 g/l. Tačiau tam tikros būklės gali lemti reikšmingus šio baltymo koncentracijos pokyčius:</w:t>
            </w:r>
          </w:p>
          <w:p w14:paraId="096EAD11" w14:textId="77777777" w:rsidR="009A0A5B" w:rsidRPr="00976205" w:rsidRDefault="009A0A5B" w:rsidP="009A0A5B">
            <w:pPr>
              <w:numPr>
                <w:ilvl w:val="1"/>
                <w:numId w:val="3"/>
              </w:numPr>
              <w:spacing w:after="0" w:line="259" w:lineRule="auto"/>
              <w:jc w:val="both"/>
              <w:rPr>
                <w:rFonts w:ascii="Times New Roman" w:hAnsi="Times New Roman" w:cs="Times New Roman"/>
                <w:sz w:val="24"/>
                <w:szCs w:val="24"/>
              </w:rPr>
            </w:pPr>
            <w:r w:rsidRPr="00976205">
              <w:rPr>
                <w:rFonts w:ascii="Times New Roman" w:hAnsi="Times New Roman" w:cs="Times New Roman"/>
                <w:bCs/>
                <w:sz w:val="24"/>
                <w:szCs w:val="24"/>
              </w:rPr>
              <w:t>padidėjimą</w:t>
            </w:r>
            <w:r w:rsidRPr="00976205">
              <w:rPr>
                <w:rFonts w:ascii="Times New Roman" w:hAnsi="Times New Roman" w:cs="Times New Roman"/>
                <w:sz w:val="24"/>
                <w:szCs w:val="24"/>
              </w:rPr>
              <w:t xml:space="preserve">: ūminiai uždegimai, miokardo infarktas, tromboflebitas, sisteminės jungiamojo audinio ligos, nėštumas ar kontraceptinių tablečių vartojimas gali padidinti fibrinogeno koncentraciją. Kai kuriais atvejais koncentracija gali siekti iki 10-12 g/l. </w:t>
            </w:r>
          </w:p>
          <w:p w14:paraId="75F2193F" w14:textId="77777777" w:rsidR="009A0A5B" w:rsidRPr="00731A2B" w:rsidRDefault="009A0A5B" w:rsidP="009A0A5B">
            <w:pPr>
              <w:numPr>
                <w:ilvl w:val="1"/>
                <w:numId w:val="3"/>
              </w:numPr>
              <w:spacing w:after="0" w:line="259" w:lineRule="auto"/>
              <w:jc w:val="both"/>
              <w:rPr>
                <w:rFonts w:ascii="Times New Roman" w:hAnsi="Times New Roman" w:cs="Times New Roman"/>
                <w:sz w:val="24"/>
                <w:szCs w:val="24"/>
              </w:rPr>
            </w:pPr>
            <w:r w:rsidRPr="00976205">
              <w:rPr>
                <w:rFonts w:ascii="Times New Roman" w:hAnsi="Times New Roman" w:cs="Times New Roman"/>
                <w:bCs/>
                <w:sz w:val="24"/>
                <w:szCs w:val="24"/>
              </w:rPr>
              <w:t>sumažėjimą</w:t>
            </w:r>
            <w:r w:rsidRPr="00976205">
              <w:rPr>
                <w:rFonts w:ascii="Times New Roman" w:hAnsi="Times New Roman" w:cs="Times New Roman"/>
                <w:sz w:val="24"/>
                <w:szCs w:val="24"/>
              </w:rPr>
              <w:t>:</w:t>
            </w:r>
            <w:r w:rsidRPr="00731A2B">
              <w:rPr>
                <w:rFonts w:ascii="Times New Roman" w:hAnsi="Times New Roman" w:cs="Times New Roman"/>
                <w:sz w:val="24"/>
                <w:szCs w:val="24"/>
              </w:rPr>
              <w:t xml:space="preserve"> </w:t>
            </w:r>
            <w:r>
              <w:rPr>
                <w:rFonts w:ascii="Times New Roman" w:hAnsi="Times New Roman" w:cs="Times New Roman"/>
                <w:sz w:val="24"/>
                <w:szCs w:val="24"/>
              </w:rPr>
              <w:t>ū</w:t>
            </w:r>
            <w:r w:rsidRPr="00731A2B">
              <w:rPr>
                <w:rFonts w:ascii="Times New Roman" w:hAnsi="Times New Roman" w:cs="Times New Roman"/>
                <w:sz w:val="24"/>
                <w:szCs w:val="24"/>
              </w:rPr>
              <w:t xml:space="preserve">minis diseminuotos intravaskulinės koaguliacijos (DIK) </w:t>
            </w:r>
            <w:r w:rsidRPr="00731A2B">
              <w:rPr>
                <w:rFonts w:ascii="Times New Roman" w:hAnsi="Times New Roman" w:cs="Times New Roman"/>
                <w:sz w:val="24"/>
                <w:szCs w:val="24"/>
              </w:rPr>
              <w:lastRenderedPageBreak/>
              <w:t>sindromas, kepenų nepakankamumas, kaulų čiulpų pažeidimai, sunkūs nudegimai ar kraujavimai gali sumažinti fibrinogeno koncentraciją. Esant afibrinogenemijai (reta paveldima liga), fibrinogeno kiekis gali būti labai mažas arba visai nenustatomas.</w:t>
            </w:r>
          </w:p>
          <w:p w14:paraId="63BF8F4E" w14:textId="77777777" w:rsidR="009A0A5B" w:rsidRPr="00731A2B" w:rsidRDefault="009A0A5B" w:rsidP="009A0A5B">
            <w:pPr>
              <w:numPr>
                <w:ilvl w:val="0"/>
                <w:numId w:val="3"/>
              </w:numPr>
              <w:spacing w:after="0" w:line="259" w:lineRule="auto"/>
              <w:jc w:val="both"/>
              <w:rPr>
                <w:rFonts w:ascii="Times New Roman" w:hAnsi="Times New Roman" w:cs="Times New Roman"/>
                <w:sz w:val="24"/>
                <w:szCs w:val="24"/>
              </w:rPr>
            </w:pPr>
            <w:r w:rsidRPr="00976205">
              <w:rPr>
                <w:rFonts w:ascii="Times New Roman" w:hAnsi="Times New Roman" w:cs="Times New Roman"/>
                <w:bCs/>
                <w:sz w:val="24"/>
                <w:szCs w:val="24"/>
                <w:u w:val="single"/>
              </w:rPr>
              <w:t>diagnostinis tikslumas</w:t>
            </w:r>
            <w:r>
              <w:rPr>
                <w:rFonts w:ascii="Times New Roman" w:hAnsi="Times New Roman" w:cs="Times New Roman"/>
                <w:bCs/>
                <w:sz w:val="24"/>
                <w:szCs w:val="24"/>
              </w:rPr>
              <w:t>.</w:t>
            </w:r>
            <w:r w:rsidRPr="00731A2B">
              <w:rPr>
                <w:rFonts w:ascii="Times New Roman" w:hAnsi="Times New Roman" w:cs="Times New Roman"/>
                <w:sz w:val="24"/>
                <w:szCs w:val="24"/>
              </w:rPr>
              <w:t xml:space="preserve"> Platus matavimo intervalas nuo 0,4 g/l iki 12,0 g/l leidžia tiksliai nustatyti tiek labai žemas, tiek labai aukštas fibrinogeno koncentracijas. Tai ypač svarbu diagnozuojant ir stebint ligas, susijusias su kraujo krešėjimo sutrikimais, uždegiminėmis reakcijomis ar kepenų funkcijos nepakankamumu.</w:t>
            </w:r>
          </w:p>
          <w:p w14:paraId="46E98245" w14:textId="77777777" w:rsidR="009A0A5B" w:rsidRPr="00731A2B" w:rsidRDefault="009A0A5B" w:rsidP="009A0A5B">
            <w:pPr>
              <w:numPr>
                <w:ilvl w:val="0"/>
                <w:numId w:val="3"/>
              </w:numPr>
              <w:spacing w:after="0" w:line="259" w:lineRule="auto"/>
              <w:jc w:val="both"/>
              <w:rPr>
                <w:rFonts w:ascii="Times New Roman" w:hAnsi="Times New Roman" w:cs="Times New Roman"/>
                <w:sz w:val="24"/>
                <w:szCs w:val="24"/>
              </w:rPr>
            </w:pPr>
            <w:r w:rsidRPr="00976205">
              <w:rPr>
                <w:rFonts w:ascii="Times New Roman" w:hAnsi="Times New Roman" w:cs="Times New Roman"/>
                <w:bCs/>
                <w:sz w:val="24"/>
                <w:szCs w:val="24"/>
                <w:u w:val="single"/>
              </w:rPr>
              <w:t>gydymo stebėsena</w:t>
            </w:r>
            <w:r>
              <w:rPr>
                <w:rFonts w:ascii="Times New Roman" w:hAnsi="Times New Roman" w:cs="Times New Roman"/>
                <w:sz w:val="24"/>
                <w:szCs w:val="24"/>
              </w:rPr>
              <w:t>.</w:t>
            </w:r>
            <w:r w:rsidRPr="00731A2B">
              <w:rPr>
                <w:rFonts w:ascii="Times New Roman" w:hAnsi="Times New Roman" w:cs="Times New Roman"/>
                <w:sz w:val="24"/>
                <w:szCs w:val="24"/>
              </w:rPr>
              <w:t xml:space="preserve"> Pacientams, kuriems taikomas gydymas, galintis paveikti fibrinogeno koncentraciją (pvz., fibrinolitinė terapija), būtina stebėti šio baltymo lygį plačiame intervale, siekiant įvertinti gydymo efektyvumą ir laiku pastebėti galim</w:t>
            </w:r>
            <w:r>
              <w:rPr>
                <w:rFonts w:ascii="Times New Roman" w:hAnsi="Times New Roman" w:cs="Times New Roman"/>
                <w:sz w:val="24"/>
                <w:szCs w:val="24"/>
              </w:rPr>
              <w:t>a</w:t>
            </w:r>
            <w:r w:rsidRPr="00731A2B">
              <w:rPr>
                <w:rFonts w:ascii="Times New Roman" w:hAnsi="Times New Roman" w:cs="Times New Roman"/>
                <w:sz w:val="24"/>
                <w:szCs w:val="24"/>
              </w:rPr>
              <w:t>s komplikacijas.</w:t>
            </w:r>
          </w:p>
          <w:p w14:paraId="0737703B" w14:textId="77777777" w:rsidR="009A0A5B" w:rsidRPr="00935825" w:rsidRDefault="009A0A5B" w:rsidP="007B0414">
            <w:pPr>
              <w:spacing w:after="0"/>
              <w:jc w:val="both"/>
              <w:rPr>
                <w:rFonts w:ascii="Times New Roman" w:hAnsi="Times New Roman" w:cs="Times New Roman"/>
                <w:sz w:val="24"/>
                <w:szCs w:val="24"/>
              </w:rPr>
            </w:pPr>
          </w:p>
          <w:p w14:paraId="74D92EC5" w14:textId="72A6AE49" w:rsidR="009A0A5B" w:rsidRPr="0028678D" w:rsidRDefault="000A3166" w:rsidP="007B0414">
            <w:pPr>
              <w:spacing w:after="0"/>
              <w:ind w:left="16" w:firstLine="344"/>
              <w:jc w:val="both"/>
              <w:rPr>
                <w:rFonts w:ascii="Times New Roman" w:hAnsi="Times New Roman" w:cs="Times New Roman"/>
                <w:iCs/>
                <w:sz w:val="24"/>
                <w:szCs w:val="24"/>
              </w:rPr>
            </w:pPr>
            <w:r w:rsidRPr="007D7AF0">
              <w:rPr>
                <w:rFonts w:ascii="Times New Roman" w:hAnsi="Times New Roman" w:cs="Times New Roman"/>
                <w:b/>
                <w:bCs/>
                <w:sz w:val="24"/>
                <w:szCs w:val="24"/>
              </w:rPr>
              <w:t>Atsižvelgiant į aukščiau pateiktą informaciją, iš 4 punkto reikalavimo bus išbrauktas sakinys: „Matavimo intervalas nuo 0,4 g/l iki 12,0 g/l“.</w:t>
            </w:r>
          </w:p>
        </w:tc>
      </w:tr>
    </w:tbl>
    <w:p w14:paraId="2D29D087" w14:textId="77777777" w:rsidR="009A0A5B" w:rsidRPr="003C2C16" w:rsidRDefault="009A0A5B" w:rsidP="009A0A5B">
      <w:pPr>
        <w:outlineLvl w:val="0"/>
        <w:rPr>
          <w:rFonts w:ascii="Times New Roman" w:hAnsi="Times New Roman" w:cs="Times New Roman"/>
          <w:b/>
          <w:bCs/>
          <w:color w:val="000000"/>
        </w:rPr>
      </w:pPr>
      <w:r w:rsidRPr="003C2C16">
        <w:rPr>
          <w:rFonts w:ascii="Times New Roman" w:hAnsi="Times New Roman" w:cs="Times New Roman"/>
        </w:rPr>
        <w:lastRenderedPageBreak/>
        <w:fldChar w:fldCharType="begin"/>
      </w:r>
      <w:r w:rsidRPr="003C2C16">
        <w:rPr>
          <w:rFonts w:ascii="Times New Roman" w:hAnsi="Times New Roman" w:cs="Times New Roman"/>
        </w:rPr>
        <w:instrText xml:space="preserve"> LINK Excel.Sheet.12 "C:\\Users\\d.kuosiene\\Desktop\\Greituskes-seskinei adaptacijai.xlsx" "Techniniė specifikacija!R375C1:R380C8" \a \f 4 \h  \* MERGEFORMAT </w:instrText>
      </w:r>
      <w:r w:rsidRPr="003C2C16">
        <w:rPr>
          <w:rFonts w:ascii="Times New Roman" w:hAnsi="Times New Roman" w:cs="Times New Roman"/>
        </w:rPr>
        <w:fldChar w:fldCharType="end"/>
      </w:r>
    </w:p>
    <w:bookmarkEnd w:id="0"/>
    <w:bookmarkEnd w:id="1"/>
    <w:p w14:paraId="3831A94E" w14:textId="77777777" w:rsidR="009A0A5B" w:rsidRPr="00626065" w:rsidRDefault="009A0A5B" w:rsidP="009A0A5B">
      <w:pPr>
        <w:jc w:val="center"/>
        <w:rPr>
          <w:rFonts w:ascii="Times New Roman" w:hAnsi="Times New Roman" w:cs="Times New Roman"/>
          <w:b/>
          <w:color w:val="000000"/>
        </w:rPr>
      </w:pPr>
    </w:p>
    <w:p w14:paraId="6438DC24" w14:textId="77777777" w:rsidR="009A0A5B" w:rsidRPr="00626065" w:rsidRDefault="009A0A5B" w:rsidP="009A0A5B">
      <w:pPr>
        <w:jc w:val="right"/>
        <w:rPr>
          <w:rFonts w:ascii="Times New Roman" w:eastAsia="Calibri" w:hAnsi="Times New Roman" w:cs="Times New Roman"/>
          <w:b/>
          <w:bCs/>
        </w:rPr>
      </w:pPr>
      <w:r w:rsidRPr="00626065">
        <w:rPr>
          <w:rFonts w:ascii="Times New Roman" w:eastAsia="Calibri" w:hAnsi="Times New Roman" w:cs="Times New Roman"/>
          <w:b/>
          <w:bCs/>
        </w:rPr>
        <w:t>2 priedas</w:t>
      </w:r>
    </w:p>
    <w:p w14:paraId="746243DE" w14:textId="77777777" w:rsidR="009A0A5B" w:rsidRPr="00626065" w:rsidRDefault="009A0A5B" w:rsidP="009A0A5B">
      <w:pPr>
        <w:jc w:val="center"/>
        <w:rPr>
          <w:rFonts w:ascii="Times New Roman" w:hAnsi="Times New Roman" w:cs="Times New Roman"/>
          <w:b/>
          <w:bCs/>
        </w:rPr>
      </w:pPr>
      <w:r w:rsidRPr="00626065">
        <w:rPr>
          <w:rFonts w:ascii="Times New Roman" w:hAnsi="Times New Roman" w:cs="Times New Roman"/>
          <w:b/>
          <w:bCs/>
        </w:rPr>
        <w:t xml:space="preserve">REAGENTŲ IR PAPILDOMŲ PRIEMONIŲ </w:t>
      </w:r>
      <w:r w:rsidRPr="00626065">
        <w:rPr>
          <w:rFonts w:ascii="Times New Roman" w:hAnsi="Times New Roman" w:cs="Times New Roman"/>
          <w:b/>
          <w:bCs/>
          <w:color w:val="000000"/>
        </w:rPr>
        <w:t>KRAUJO KREŠĖJIMO</w:t>
      </w:r>
      <w:r w:rsidRPr="00626065">
        <w:rPr>
          <w:rFonts w:ascii="Times New Roman" w:hAnsi="Times New Roman" w:cs="Times New Roman"/>
          <w:b/>
          <w:bCs/>
        </w:rPr>
        <w:t xml:space="preserve"> TYRIMAMS ATLIKTI SU ĮRANGOS ĮSIGIJIMU PANAUDOS BŪDU</w:t>
      </w:r>
    </w:p>
    <w:p w14:paraId="78D27FF9" w14:textId="77777777" w:rsidR="009A0A5B" w:rsidRPr="00626065" w:rsidRDefault="009A0A5B" w:rsidP="009A0A5B">
      <w:pPr>
        <w:jc w:val="center"/>
        <w:rPr>
          <w:rFonts w:ascii="Times New Roman" w:hAnsi="Times New Roman" w:cs="Times New Roman"/>
          <w:b/>
          <w:bCs/>
          <w:color w:val="000000"/>
          <w:lang w:eastAsia="lt-LT"/>
        </w:rPr>
      </w:pPr>
      <w:r w:rsidRPr="00626065">
        <w:rPr>
          <w:rFonts w:ascii="Times New Roman" w:hAnsi="Times New Roman" w:cs="Times New Roman"/>
          <w:b/>
          <w:bCs/>
        </w:rPr>
        <w:lastRenderedPageBreak/>
        <w:t>TECHNINĖ SPECIFIKACIJA</w:t>
      </w:r>
    </w:p>
    <w:tbl>
      <w:tblPr>
        <w:tblStyle w:val="Lentelstinklelis"/>
        <w:tblW w:w="15411" w:type="dxa"/>
        <w:tblInd w:w="-815" w:type="dxa"/>
        <w:tblLayout w:type="fixed"/>
        <w:tblLook w:val="04A0" w:firstRow="1" w:lastRow="0" w:firstColumn="1" w:lastColumn="0" w:noHBand="0" w:noVBand="1"/>
      </w:tblPr>
      <w:tblGrid>
        <w:gridCol w:w="668"/>
        <w:gridCol w:w="6238"/>
        <w:gridCol w:w="4536"/>
        <w:gridCol w:w="3969"/>
      </w:tblGrid>
      <w:tr w:rsidR="009A0A5B" w:rsidRPr="00626065" w14:paraId="18B41523" w14:textId="77777777" w:rsidTr="007B0414">
        <w:tc>
          <w:tcPr>
            <w:tcW w:w="668" w:type="dxa"/>
            <w:vAlign w:val="center"/>
          </w:tcPr>
          <w:p w14:paraId="3E847C0D" w14:textId="77777777" w:rsidR="009A0A5B" w:rsidRPr="00626065" w:rsidRDefault="009A0A5B" w:rsidP="007B0414">
            <w:pPr>
              <w:jc w:val="center"/>
              <w:rPr>
                <w:rFonts w:eastAsia="Calibri"/>
                <w:b/>
              </w:rPr>
            </w:pPr>
            <w:r w:rsidRPr="00626065">
              <w:rPr>
                <w:rFonts w:eastAsia="Calibri"/>
                <w:b/>
              </w:rPr>
              <w:t>Eil.</w:t>
            </w:r>
          </w:p>
          <w:p w14:paraId="7B97DDA7" w14:textId="77777777" w:rsidR="009A0A5B" w:rsidRPr="00626065" w:rsidRDefault="009A0A5B" w:rsidP="007B0414">
            <w:pPr>
              <w:jc w:val="center"/>
            </w:pPr>
            <w:r w:rsidRPr="00626065">
              <w:rPr>
                <w:rFonts w:eastAsia="Calibri"/>
                <w:b/>
              </w:rPr>
              <w:t>Nr.</w:t>
            </w:r>
          </w:p>
        </w:tc>
        <w:tc>
          <w:tcPr>
            <w:tcW w:w="6238" w:type="dxa"/>
            <w:vAlign w:val="center"/>
          </w:tcPr>
          <w:p w14:paraId="0C1F5532" w14:textId="77777777" w:rsidR="009A0A5B" w:rsidRPr="00626065" w:rsidRDefault="009A0A5B" w:rsidP="007B0414">
            <w:pPr>
              <w:jc w:val="center"/>
              <w:rPr>
                <w:b/>
              </w:rPr>
            </w:pPr>
            <w:r w:rsidRPr="00626065">
              <w:rPr>
                <w:b/>
              </w:rPr>
              <w:t>Reikalaujami techniniai parametrai arba reikalavimai</w:t>
            </w:r>
          </w:p>
        </w:tc>
        <w:tc>
          <w:tcPr>
            <w:tcW w:w="4536" w:type="dxa"/>
            <w:vAlign w:val="center"/>
          </w:tcPr>
          <w:p w14:paraId="291406A7" w14:textId="77777777" w:rsidR="009A0A5B" w:rsidRPr="00626065" w:rsidRDefault="009A0A5B" w:rsidP="007B0414">
            <w:pPr>
              <w:jc w:val="center"/>
              <w:rPr>
                <w:b/>
                <w:bCs/>
                <w:color w:val="000000"/>
              </w:rPr>
            </w:pPr>
            <w:r>
              <w:rPr>
                <w:b/>
                <w:bCs/>
                <w:color w:val="000000"/>
              </w:rPr>
              <w:t>Tiekėjų pastabos</w:t>
            </w:r>
          </w:p>
        </w:tc>
        <w:tc>
          <w:tcPr>
            <w:tcW w:w="3969" w:type="dxa"/>
            <w:vAlign w:val="center"/>
          </w:tcPr>
          <w:p w14:paraId="005003F2" w14:textId="77777777" w:rsidR="009A0A5B" w:rsidRPr="00626065" w:rsidRDefault="009A0A5B" w:rsidP="007B0414">
            <w:pPr>
              <w:jc w:val="center"/>
              <w:rPr>
                <w:b/>
                <w:bCs/>
                <w:color w:val="000000"/>
              </w:rPr>
            </w:pPr>
            <w:r>
              <w:rPr>
                <w:b/>
                <w:bCs/>
                <w:color w:val="000000"/>
              </w:rPr>
              <w:t>Perkančiosios organizacijos atsakymas</w:t>
            </w:r>
          </w:p>
        </w:tc>
      </w:tr>
      <w:tr w:rsidR="009A0A5B" w:rsidRPr="00626065" w14:paraId="0A84EA85" w14:textId="77777777" w:rsidTr="007B0414">
        <w:tc>
          <w:tcPr>
            <w:tcW w:w="668" w:type="dxa"/>
          </w:tcPr>
          <w:p w14:paraId="4F9B985D" w14:textId="77777777" w:rsidR="009A0A5B" w:rsidRPr="00626065" w:rsidRDefault="009A0A5B" w:rsidP="007B0414">
            <w:pPr>
              <w:ind w:hanging="4"/>
              <w:jc w:val="center"/>
            </w:pPr>
            <w:r w:rsidRPr="00626065">
              <w:t>1.</w:t>
            </w:r>
          </w:p>
        </w:tc>
        <w:tc>
          <w:tcPr>
            <w:tcW w:w="6238" w:type="dxa"/>
          </w:tcPr>
          <w:p w14:paraId="1F30F5EB" w14:textId="77777777" w:rsidR="009A0A5B" w:rsidRPr="00626065" w:rsidRDefault="009A0A5B" w:rsidP="007B0414">
            <w:pPr>
              <w:jc w:val="both"/>
              <w:rPr>
                <w:rFonts w:eastAsia="Calibri"/>
              </w:rPr>
            </w:pPr>
            <w:r w:rsidRPr="00626065">
              <w:rPr>
                <w:rFonts w:eastAsia="Calibri"/>
              </w:rPr>
              <w:t xml:space="preserve">Analizatorius kraujo krešėjimo tyrimams atlikti </w:t>
            </w:r>
          </w:p>
        </w:tc>
        <w:tc>
          <w:tcPr>
            <w:tcW w:w="4536" w:type="dxa"/>
          </w:tcPr>
          <w:p w14:paraId="34570506" w14:textId="77777777" w:rsidR="009A0A5B" w:rsidRPr="00626065" w:rsidRDefault="009A0A5B" w:rsidP="007B0414">
            <w:pPr>
              <w:rPr>
                <w:i/>
                <w:iCs/>
              </w:rPr>
            </w:pPr>
          </w:p>
        </w:tc>
        <w:tc>
          <w:tcPr>
            <w:tcW w:w="3969" w:type="dxa"/>
          </w:tcPr>
          <w:p w14:paraId="09688A0E" w14:textId="77777777" w:rsidR="009A0A5B" w:rsidRPr="00626065" w:rsidRDefault="009A0A5B" w:rsidP="007B0414"/>
        </w:tc>
      </w:tr>
      <w:tr w:rsidR="009A0A5B" w:rsidRPr="00626065" w14:paraId="18EE7C95" w14:textId="77777777" w:rsidTr="007B0414">
        <w:tc>
          <w:tcPr>
            <w:tcW w:w="668" w:type="dxa"/>
          </w:tcPr>
          <w:p w14:paraId="2825A2F8" w14:textId="77777777" w:rsidR="009A0A5B" w:rsidRPr="00626065" w:rsidRDefault="009A0A5B" w:rsidP="007B0414">
            <w:pPr>
              <w:ind w:hanging="4"/>
              <w:jc w:val="center"/>
            </w:pPr>
            <w:r w:rsidRPr="00626065">
              <w:t>2.</w:t>
            </w:r>
          </w:p>
        </w:tc>
        <w:tc>
          <w:tcPr>
            <w:tcW w:w="6238" w:type="dxa"/>
          </w:tcPr>
          <w:p w14:paraId="46E9D5D7" w14:textId="77777777" w:rsidR="009A0A5B" w:rsidRPr="00626065" w:rsidRDefault="009A0A5B" w:rsidP="007B0414">
            <w:pPr>
              <w:jc w:val="both"/>
            </w:pPr>
            <w:r w:rsidRPr="00626065">
              <w:t xml:space="preserve">Matavimo metodai: </w:t>
            </w:r>
          </w:p>
          <w:p w14:paraId="13BD7977" w14:textId="77777777" w:rsidR="009A0A5B" w:rsidRPr="00626065" w:rsidRDefault="009A0A5B" w:rsidP="007B0414">
            <w:pPr>
              <w:jc w:val="both"/>
            </w:pPr>
            <w:r w:rsidRPr="00626065">
              <w:t xml:space="preserve">a) chronometrinis elektromagnetinis mechaninis arba  lygiavertis metodas, leidžiantis išmatuoti normalias, bet kokio lygio lipemiškas, hemolizuotas, ikterines plazmas be įtakos analizei; </w:t>
            </w:r>
          </w:p>
          <w:p w14:paraId="66E99455" w14:textId="77777777" w:rsidR="009A0A5B" w:rsidRPr="00626065" w:rsidRDefault="009A0A5B" w:rsidP="007B0414">
            <w:pPr>
              <w:jc w:val="both"/>
            </w:pPr>
            <w:r w:rsidRPr="00626065">
              <w:t xml:space="preserve">b) imunoturbidimetrinis, </w:t>
            </w:r>
          </w:p>
          <w:p w14:paraId="29EC735F" w14:textId="77777777" w:rsidR="009A0A5B" w:rsidRPr="00626065" w:rsidRDefault="009A0A5B" w:rsidP="007B0414">
            <w:pPr>
              <w:jc w:val="both"/>
              <w:rPr>
                <w:rFonts w:eastAsia="Calibri"/>
              </w:rPr>
            </w:pPr>
            <w:r w:rsidRPr="00626065">
              <w:t>c) kolorimetrinis.</w:t>
            </w:r>
          </w:p>
        </w:tc>
        <w:tc>
          <w:tcPr>
            <w:tcW w:w="4536" w:type="dxa"/>
          </w:tcPr>
          <w:p w14:paraId="6F12CBF7" w14:textId="77777777" w:rsidR="009A0A5B" w:rsidRDefault="009A0A5B" w:rsidP="007B0414">
            <w:pPr>
              <w:jc w:val="both"/>
              <w:rPr>
                <w:b/>
                <w:bCs/>
                <w:sz w:val="24"/>
                <w:szCs w:val="24"/>
                <w:lang w:val="pt-BR"/>
              </w:rPr>
            </w:pPr>
            <w:r w:rsidRPr="005A5AAB">
              <w:rPr>
                <w:sz w:val="24"/>
                <w:szCs w:val="24"/>
                <w:highlight w:val="yellow"/>
              </w:rPr>
              <w:t>Tiekėjo A pastaba:</w:t>
            </w:r>
            <w:r>
              <w:rPr>
                <w:sz w:val="24"/>
                <w:szCs w:val="24"/>
              </w:rPr>
              <w:t xml:space="preserve"> </w:t>
            </w:r>
            <w:r w:rsidRPr="008146AA">
              <w:rPr>
                <w:sz w:val="24"/>
                <w:szCs w:val="24"/>
              </w:rPr>
              <w:t xml:space="preserve">2 punkto reikalavimo Matavimo metodai a) dalyje nurodyta: </w:t>
            </w:r>
            <w:r>
              <w:rPr>
                <w:sz w:val="24"/>
                <w:szCs w:val="24"/>
              </w:rPr>
              <w:t>„</w:t>
            </w:r>
            <w:r w:rsidRPr="002B2239">
              <w:rPr>
                <w:i/>
                <w:iCs/>
                <w:sz w:val="24"/>
                <w:szCs w:val="24"/>
              </w:rPr>
              <w:t>chronometrinis elektromagnetinis mechaninis arba lygiavertis metodas, leidžiantis išmatuoti normalias, bet kokio lygio lipemiškas, hemolizuotas, ikterines plazmas be įtakos analizei</w:t>
            </w:r>
            <w:r>
              <w:rPr>
                <w:sz w:val="24"/>
                <w:szCs w:val="24"/>
              </w:rPr>
              <w:t>“</w:t>
            </w:r>
            <w:r w:rsidRPr="008146AA">
              <w:rPr>
                <w:sz w:val="24"/>
                <w:szCs w:val="24"/>
              </w:rPr>
              <w:t xml:space="preserve">. Pabrėžiame, kad minėtas metodas yra palankus </w:t>
            </w:r>
            <w:r w:rsidRPr="008146AA">
              <w:rPr>
                <w:b/>
                <w:bCs/>
                <w:sz w:val="24"/>
                <w:szCs w:val="24"/>
              </w:rPr>
              <w:t>tik vienam konkrečiam tiekėjui</w:t>
            </w:r>
            <w:r w:rsidRPr="008146AA">
              <w:rPr>
                <w:sz w:val="24"/>
                <w:szCs w:val="24"/>
              </w:rPr>
              <w:t xml:space="preserve">. </w:t>
            </w:r>
            <w:r w:rsidRPr="008146AA">
              <w:rPr>
                <w:sz w:val="24"/>
                <w:szCs w:val="24"/>
                <w:lang w:val="pt-BR"/>
              </w:rPr>
              <w:t xml:space="preserve">Optinis tyrimo metodas užtikrina vienodai kokybišką tyrimo atlikimą, kaip ir elektromagentinis mechaninis metodas. Todėl, išskiriant tik elektromagnetinį metodą, PO neužtikrina konkurencijos, lygiateisiškumo, racionalaus lėšų naudojimo, kadangi dėl techninės specifikacijos susiaurinimo kiti suinteresuoti tiekėjai netiesiogiai eliminuojami iš Pirkimo procedūros, negali įgyvendinti savo teisėto intereso pateikti pigesnį, bet kokybę užtikrinantį bei visiškai PO interesus bei pirkimo tikslą leidžiantį pasiekti, pasiūlymą. Siūlome aptariamą nuostatą išdėstyti taip: </w:t>
            </w:r>
            <w:r w:rsidRPr="008146AA">
              <w:rPr>
                <w:b/>
                <w:bCs/>
                <w:sz w:val="24"/>
                <w:szCs w:val="24"/>
                <w:lang w:val="pt-BR"/>
              </w:rPr>
              <w:t>elektromagnetinis-mechaninis metodas, pagrįstas klampos pokyčių nustatymu, arba optinis metodas, pagrįstas šviesos sklaidos ir (arba) šviesos pralaidumo įvertinimu &lt;…&gt;</w:t>
            </w:r>
            <w:r w:rsidRPr="008146AA">
              <w:rPr>
                <w:b/>
                <w:bCs/>
                <w:i/>
                <w:iCs/>
                <w:sz w:val="24"/>
                <w:szCs w:val="24"/>
                <w:lang w:val="pt-BR"/>
              </w:rPr>
              <w:t>”</w:t>
            </w:r>
            <w:r w:rsidRPr="008146AA">
              <w:rPr>
                <w:b/>
                <w:bCs/>
                <w:sz w:val="24"/>
                <w:szCs w:val="24"/>
                <w:lang w:val="pt-BR"/>
              </w:rPr>
              <w:t>.</w:t>
            </w:r>
          </w:p>
          <w:p w14:paraId="3F27B55F" w14:textId="77777777" w:rsidR="009A0A5B" w:rsidRDefault="009A0A5B" w:rsidP="007B0414">
            <w:pPr>
              <w:jc w:val="both"/>
              <w:rPr>
                <w:b/>
                <w:bCs/>
                <w:sz w:val="24"/>
                <w:szCs w:val="24"/>
                <w:lang w:val="pt-BR"/>
              </w:rPr>
            </w:pPr>
          </w:p>
          <w:p w14:paraId="7165D40D" w14:textId="77777777" w:rsidR="009A0A5B" w:rsidRPr="007B0414" w:rsidRDefault="009A0A5B" w:rsidP="007B0414">
            <w:pPr>
              <w:jc w:val="both"/>
              <w:rPr>
                <w:b/>
                <w:bCs/>
                <w:sz w:val="24"/>
                <w:szCs w:val="24"/>
                <w:lang w:val="fi-FI"/>
              </w:rPr>
            </w:pPr>
            <w:r w:rsidRPr="00F536CD">
              <w:rPr>
                <w:sz w:val="24"/>
                <w:szCs w:val="24"/>
                <w:highlight w:val="green"/>
                <w:lang w:val="pt-BR"/>
              </w:rPr>
              <w:lastRenderedPageBreak/>
              <w:t>Tiekėjo B pastaba:</w:t>
            </w:r>
            <w:r>
              <w:rPr>
                <w:sz w:val="24"/>
                <w:szCs w:val="24"/>
                <w:lang w:val="pt-BR"/>
              </w:rPr>
              <w:t xml:space="preserve"> </w:t>
            </w:r>
            <w:r w:rsidRPr="00E73D60">
              <w:rPr>
                <w:sz w:val="24"/>
                <w:szCs w:val="24"/>
              </w:rPr>
              <w:t xml:space="preserve">2 punkte nurodyta: “Matavimo metodai: a) chronometrinis elektromagnetinis mechaninis arba  lygiavertis metodas, leidžiantis išmatuoti normalias, </w:t>
            </w:r>
            <w:r w:rsidRPr="009D53C6">
              <w:rPr>
                <w:sz w:val="24"/>
                <w:szCs w:val="24"/>
                <w:u w:val="single"/>
              </w:rPr>
              <w:t>bet kokio lygio lipemiškas, hemolizuotas, ikterines plazmas be įtakos analizei</w:t>
            </w:r>
            <w:r w:rsidRPr="00920544">
              <w:rPr>
                <w:sz w:val="24"/>
                <w:szCs w:val="24"/>
              </w:rPr>
              <w:t>”.</w:t>
            </w:r>
            <w:r>
              <w:rPr>
                <w:sz w:val="24"/>
                <w:szCs w:val="24"/>
              </w:rPr>
              <w:t xml:space="preserve"> </w:t>
            </w:r>
            <w:r>
              <w:rPr>
                <w:i/>
                <w:iCs/>
                <w:sz w:val="24"/>
                <w:szCs w:val="24"/>
              </w:rPr>
              <w:t>P</w:t>
            </w:r>
            <w:r w:rsidRPr="008F2D3D">
              <w:rPr>
                <w:i/>
                <w:iCs/>
                <w:sz w:val="24"/>
                <w:szCs w:val="24"/>
              </w:rPr>
              <w:t xml:space="preserve">ažymėta vieta yra klaidinanti ir iš esmės apriboja konkurenciją, kai pirkime gali dalyvauti tik vienas Stago gamintojo (UAB „Diagnostinių sistemų“ tiekėjo) pasiūlymas. </w:t>
            </w:r>
            <w:r w:rsidRPr="00E73D60">
              <w:rPr>
                <w:i/>
                <w:iCs/>
                <w:sz w:val="24"/>
                <w:szCs w:val="24"/>
              </w:rPr>
              <w:t xml:space="preserve">Siūlome punktą koreguoti sekančiai: "Analizatoriai turi nustatyti HIL (hemolizę, bilirubino kiekį, lipemiją) ir įspėti vartotoją esant kritinėms vertėms. </w:t>
            </w:r>
            <w:r w:rsidRPr="007B0414">
              <w:rPr>
                <w:i/>
                <w:iCs/>
                <w:sz w:val="24"/>
                <w:szCs w:val="24"/>
                <w:lang w:val="fi-FI"/>
              </w:rPr>
              <w:t>HIL patikros vertės turi būti kliniškai patvirtintos kiekvienai analitei atskirai".</w:t>
            </w:r>
          </w:p>
          <w:p w14:paraId="6A84EF0E" w14:textId="77777777" w:rsidR="009A0A5B" w:rsidRPr="007B0414" w:rsidRDefault="009A0A5B" w:rsidP="007B0414">
            <w:pPr>
              <w:rPr>
                <w:lang w:val="fi-FI"/>
              </w:rPr>
            </w:pPr>
          </w:p>
        </w:tc>
        <w:tc>
          <w:tcPr>
            <w:tcW w:w="3969" w:type="dxa"/>
          </w:tcPr>
          <w:p w14:paraId="08D3E181" w14:textId="77777777" w:rsidR="009A0A5B" w:rsidRDefault="009A0A5B" w:rsidP="007B0414">
            <w:pPr>
              <w:jc w:val="both"/>
              <w:rPr>
                <w:sz w:val="24"/>
                <w:szCs w:val="24"/>
              </w:rPr>
            </w:pPr>
            <w:r w:rsidRPr="0069376C">
              <w:rPr>
                <w:sz w:val="24"/>
                <w:szCs w:val="24"/>
              </w:rPr>
              <w:lastRenderedPageBreak/>
              <w:t xml:space="preserve">Chronometrinis metodas, pagristas klampumo pokyčio nustatymu yra apibrėžtas kaip krešumo sistemos tyrimo standartas (CAP Hematology and Coagulation Check list HEM.37300, 2014, CLSI H57-A, Protocol for the Evaluation, Validation, and Implementation of Coagulometers; Approved Guideline). Šis metodinis standartas nurodo ir koagulometrinės sistemos techninį liudijimą bei techninės specifikacijos reikalavimą. Be to, atkreipiame Jūsų dėmesį, jog </w:t>
            </w:r>
            <w:r>
              <w:rPr>
                <w:sz w:val="24"/>
                <w:szCs w:val="24"/>
              </w:rPr>
              <w:t xml:space="preserve">reagentų ir papildomų priemonių kraujo krešėjimo tyrimams atlikti su įrangos įsigijimu panaudos būdu (2 priedo) </w:t>
            </w:r>
            <w:r w:rsidRPr="0069376C">
              <w:rPr>
                <w:sz w:val="24"/>
                <w:szCs w:val="24"/>
              </w:rPr>
              <w:t xml:space="preserve">techninės specifikacijos 2 punkto </w:t>
            </w:r>
            <w:r>
              <w:rPr>
                <w:sz w:val="24"/>
                <w:szCs w:val="24"/>
              </w:rPr>
              <w:t>„</w:t>
            </w:r>
            <w:r w:rsidRPr="0069376C">
              <w:rPr>
                <w:sz w:val="24"/>
                <w:szCs w:val="24"/>
              </w:rPr>
              <w:t>Matavimo metodai</w:t>
            </w:r>
            <w:r>
              <w:rPr>
                <w:sz w:val="24"/>
                <w:szCs w:val="24"/>
              </w:rPr>
              <w:t xml:space="preserve">“ </w:t>
            </w:r>
            <w:r w:rsidRPr="0069376C">
              <w:rPr>
                <w:sz w:val="24"/>
                <w:szCs w:val="24"/>
              </w:rPr>
              <w:t>a) papunktis nustato, jog reikalaujamas „chronometrinis elektromagnetinis mechaninis arba lygiavertis metodas</w:t>
            </w:r>
            <w:r>
              <w:rPr>
                <w:sz w:val="24"/>
                <w:szCs w:val="24"/>
              </w:rPr>
              <w:t xml:space="preserve"> &lt;</w:t>
            </w:r>
            <w:r w:rsidRPr="0069376C">
              <w:rPr>
                <w:sz w:val="24"/>
                <w:szCs w:val="24"/>
              </w:rPr>
              <w:t xml:space="preserve">...&gt;“, todėl gali būti siūlomas ir kitas, lygiavertis metodas, leidžiantis išmatuoti normalias, bet kokio lygio lipemiškas, hemolizuotas, ikterines plazmas be įtakos analizei. Tokiu būdu negalime sutikti su </w:t>
            </w:r>
            <w:r>
              <w:rPr>
                <w:sz w:val="24"/>
                <w:szCs w:val="24"/>
              </w:rPr>
              <w:t>tiekėjo</w:t>
            </w:r>
            <w:r w:rsidRPr="0069376C">
              <w:rPr>
                <w:sz w:val="24"/>
                <w:szCs w:val="24"/>
              </w:rPr>
              <w:t xml:space="preserve"> teiginiu, jog „siūlantiems kitokį matavimo metodą </w:t>
            </w:r>
            <w:r w:rsidRPr="0069376C">
              <w:rPr>
                <w:sz w:val="24"/>
                <w:szCs w:val="24"/>
              </w:rPr>
              <w:lastRenderedPageBreak/>
              <w:t xml:space="preserve">apribojama galimybė dalyvauti pirkime“. Galimybė be papildomų procedūrų ištirti lipeminius, hemolizuotus ir ikterinius mėginius yra svarbi dėl šių moksliniais įrodymais pagrįstų priežasčių: </w:t>
            </w:r>
          </w:p>
          <w:p w14:paraId="437EB72D" w14:textId="77777777" w:rsidR="009A0A5B" w:rsidRDefault="009A0A5B" w:rsidP="007B0414">
            <w:pPr>
              <w:jc w:val="both"/>
              <w:rPr>
                <w:sz w:val="24"/>
                <w:szCs w:val="24"/>
              </w:rPr>
            </w:pPr>
            <w:r>
              <w:rPr>
                <w:sz w:val="24"/>
                <w:szCs w:val="24"/>
              </w:rPr>
              <w:t xml:space="preserve">- </w:t>
            </w:r>
            <w:r w:rsidRPr="0069376C">
              <w:rPr>
                <w:sz w:val="24"/>
                <w:szCs w:val="24"/>
              </w:rPr>
              <w:t xml:space="preserve">yra nemaža lipeminių, hemolizuotų ir ikterinių mėginių dalis, kurių neįmanoma išvengti dėl objektyvių ir subjektyvių priežasčių; </w:t>
            </w:r>
          </w:p>
          <w:p w14:paraId="6F4624B8" w14:textId="77777777" w:rsidR="009A0A5B" w:rsidRDefault="009A0A5B" w:rsidP="007B0414">
            <w:pPr>
              <w:jc w:val="both"/>
              <w:rPr>
                <w:sz w:val="24"/>
                <w:szCs w:val="24"/>
              </w:rPr>
            </w:pPr>
            <w:r>
              <w:rPr>
                <w:sz w:val="24"/>
                <w:szCs w:val="24"/>
              </w:rPr>
              <w:t xml:space="preserve">- </w:t>
            </w:r>
            <w:r w:rsidRPr="0069376C">
              <w:rPr>
                <w:sz w:val="24"/>
                <w:szCs w:val="24"/>
              </w:rPr>
              <w:t>pakartotinio kraujo mėginio ėmimo išvengimas;</w:t>
            </w:r>
          </w:p>
          <w:p w14:paraId="70FB8BD8" w14:textId="77777777" w:rsidR="009A0A5B" w:rsidRDefault="009A0A5B" w:rsidP="007B0414">
            <w:pPr>
              <w:jc w:val="both"/>
              <w:rPr>
                <w:sz w:val="24"/>
                <w:szCs w:val="24"/>
              </w:rPr>
            </w:pPr>
            <w:r>
              <w:rPr>
                <w:sz w:val="24"/>
                <w:szCs w:val="24"/>
              </w:rPr>
              <w:t>-</w:t>
            </w:r>
            <w:r w:rsidRPr="0069376C">
              <w:rPr>
                <w:sz w:val="24"/>
                <w:szCs w:val="24"/>
              </w:rPr>
              <w:t xml:space="preserve"> laboratorijos darbo efektyvumo ir tyrimų rezultatų gavimo greičio.</w:t>
            </w:r>
          </w:p>
          <w:p w14:paraId="7D30D7F9" w14:textId="77777777" w:rsidR="009A0A5B" w:rsidRDefault="009A0A5B" w:rsidP="007B0414">
            <w:pPr>
              <w:jc w:val="both"/>
              <w:rPr>
                <w:sz w:val="24"/>
                <w:szCs w:val="24"/>
              </w:rPr>
            </w:pPr>
          </w:p>
          <w:p w14:paraId="55DA6B0F" w14:textId="77777777" w:rsidR="009A0A5B" w:rsidRPr="005856B5" w:rsidRDefault="009A0A5B" w:rsidP="007B0414">
            <w:pPr>
              <w:jc w:val="both"/>
              <w:rPr>
                <w:sz w:val="24"/>
                <w:szCs w:val="24"/>
              </w:rPr>
            </w:pPr>
            <w:r>
              <w:rPr>
                <w:sz w:val="24"/>
                <w:szCs w:val="24"/>
              </w:rPr>
              <w:t xml:space="preserve">Rinkos tyrimo metu nustatyta, kad mažiausiai trys gamintojai atitinka keliamą reikalavimą: </w:t>
            </w:r>
            <w:r w:rsidRPr="005856B5">
              <w:rPr>
                <w:sz w:val="24"/>
                <w:szCs w:val="24"/>
              </w:rPr>
              <w:t>1. Diagnostica Stago, STA Compact Max; 2. Mindray</w:t>
            </w:r>
          </w:p>
          <w:p w14:paraId="374A052D" w14:textId="77777777" w:rsidR="009A0A5B" w:rsidRPr="005856B5" w:rsidRDefault="009A0A5B" w:rsidP="007B0414">
            <w:pPr>
              <w:jc w:val="both"/>
              <w:rPr>
                <w:sz w:val="24"/>
                <w:szCs w:val="24"/>
              </w:rPr>
            </w:pPr>
            <w:r w:rsidRPr="005856B5">
              <w:rPr>
                <w:sz w:val="24"/>
                <w:szCs w:val="24"/>
              </w:rPr>
              <w:t>C3510; 3. Succeeder SF-810. </w:t>
            </w:r>
          </w:p>
          <w:p w14:paraId="2DB56A50" w14:textId="77777777" w:rsidR="009A0A5B" w:rsidRDefault="009A0A5B" w:rsidP="007B0414">
            <w:pPr>
              <w:jc w:val="both"/>
              <w:rPr>
                <w:color w:val="000000" w:themeColor="text1"/>
                <w:sz w:val="24"/>
                <w:szCs w:val="24"/>
              </w:rPr>
            </w:pPr>
          </w:p>
          <w:p w14:paraId="23BC462C" w14:textId="77777777" w:rsidR="009A0A5B" w:rsidRDefault="009A0A5B" w:rsidP="007B0414">
            <w:pPr>
              <w:jc w:val="both"/>
              <w:outlineLvl w:val="0"/>
              <w:rPr>
                <w:sz w:val="24"/>
                <w:szCs w:val="24"/>
              </w:rPr>
            </w:pPr>
            <w:r>
              <w:rPr>
                <w:sz w:val="24"/>
                <w:szCs w:val="24"/>
              </w:rPr>
              <w:t xml:space="preserve">Atsižvelgiant į aukščiau pateiktą informaciją, </w:t>
            </w:r>
            <w:r>
              <w:rPr>
                <w:b/>
                <w:bCs/>
                <w:sz w:val="24"/>
                <w:szCs w:val="24"/>
              </w:rPr>
              <w:t>2 a</w:t>
            </w:r>
            <w:r w:rsidRPr="002F0BD3">
              <w:rPr>
                <w:b/>
                <w:bCs/>
                <w:sz w:val="24"/>
                <w:szCs w:val="24"/>
              </w:rPr>
              <w:t xml:space="preserve"> punkto reikalavima</w:t>
            </w:r>
            <w:r>
              <w:rPr>
                <w:b/>
                <w:bCs/>
                <w:sz w:val="24"/>
                <w:szCs w:val="24"/>
              </w:rPr>
              <w:t>i</w:t>
            </w:r>
            <w:r w:rsidRPr="002F0BD3">
              <w:rPr>
                <w:b/>
                <w:bCs/>
                <w:sz w:val="24"/>
                <w:szCs w:val="24"/>
              </w:rPr>
              <w:t xml:space="preserve"> nebus keičiam</w:t>
            </w:r>
            <w:r>
              <w:rPr>
                <w:b/>
                <w:bCs/>
                <w:sz w:val="24"/>
                <w:szCs w:val="24"/>
              </w:rPr>
              <w:t>i</w:t>
            </w:r>
            <w:r>
              <w:rPr>
                <w:sz w:val="24"/>
                <w:szCs w:val="24"/>
              </w:rPr>
              <w:t>.</w:t>
            </w:r>
          </w:p>
          <w:p w14:paraId="08DCC7ED" w14:textId="77777777" w:rsidR="009A0A5B" w:rsidRPr="00626065" w:rsidRDefault="009A0A5B" w:rsidP="007B0414">
            <w:pPr>
              <w:tabs>
                <w:tab w:val="left" w:pos="481"/>
              </w:tabs>
              <w:ind w:firstLine="318"/>
              <w:jc w:val="both"/>
              <w:outlineLvl w:val="0"/>
            </w:pPr>
            <w:r>
              <w:rPr>
                <w:color w:val="000000" w:themeColor="text1"/>
                <w:sz w:val="24"/>
                <w:szCs w:val="24"/>
              </w:rPr>
              <w:tab/>
              <w:t xml:space="preserve">Atkreiptinas dėmesys, jog </w:t>
            </w:r>
            <w:r w:rsidRPr="00681B49">
              <w:rPr>
                <w:color w:val="000000" w:themeColor="text1"/>
                <w:sz w:val="24"/>
                <w:szCs w:val="24"/>
              </w:rPr>
              <w:t>VPT, aiškindama Lietuvos Respublikos Viešųjų pirkimų įstatymo 17 straipsnį, nurodo, jog: „</w:t>
            </w:r>
            <w:r w:rsidRPr="00681B49">
              <w:rPr>
                <w:i/>
                <w:iCs/>
                <w:color w:val="000000" w:themeColor="text1"/>
                <w:sz w:val="24"/>
                <w:szCs w:val="24"/>
              </w:rPr>
              <w:t>&lt;...&gt;</w:t>
            </w:r>
            <w:r w:rsidRPr="00681B49">
              <w:rPr>
                <w:color w:val="000000" w:themeColor="text1"/>
                <w:sz w:val="24"/>
                <w:szCs w:val="24"/>
              </w:rPr>
              <w:t xml:space="preserve"> „</w:t>
            </w:r>
            <w:r w:rsidRPr="00681B49">
              <w:rPr>
                <w:i/>
                <w:iCs/>
                <w:color w:val="000000" w:themeColor="text1"/>
                <w:sz w:val="24"/>
                <w:szCs w:val="24"/>
              </w:rPr>
              <w:t>vertė už pinigus</w:t>
            </w:r>
            <w:r w:rsidRPr="00681B49">
              <w:rPr>
                <w:color w:val="000000" w:themeColor="text1"/>
                <w:sz w:val="24"/>
                <w:szCs w:val="24"/>
              </w:rPr>
              <w:t xml:space="preserve">“ reiškia, kad </w:t>
            </w:r>
            <w:r w:rsidRPr="00681B49">
              <w:rPr>
                <w:b/>
                <w:i/>
                <w:color w:val="000000" w:themeColor="text1"/>
                <w:sz w:val="24"/>
                <w:szCs w:val="24"/>
              </w:rPr>
              <w:t>kiekvienas įgyvendinamas viešasis pirkimas turi sudaryti sąlygas perkančiajai organizacijai įsigyti tai, ko būtent jai reikia</w:t>
            </w:r>
            <w:r w:rsidRPr="00681B49">
              <w:rPr>
                <w:color w:val="000000" w:themeColor="text1"/>
                <w:sz w:val="24"/>
                <w:szCs w:val="24"/>
              </w:rPr>
              <w:t xml:space="preserve"> konkrečiu </w:t>
            </w:r>
            <w:r w:rsidRPr="00681B49">
              <w:rPr>
                <w:color w:val="000000" w:themeColor="text1"/>
                <w:sz w:val="24"/>
                <w:szCs w:val="24"/>
              </w:rPr>
              <w:lastRenderedPageBreak/>
              <w:t xml:space="preserve">momentu. </w:t>
            </w:r>
            <w:r w:rsidRPr="00681B49">
              <w:rPr>
                <w:b/>
                <w:i/>
                <w:color w:val="000000" w:themeColor="text1"/>
                <w:sz w:val="24"/>
                <w:szCs w:val="24"/>
              </w:rPr>
              <w:t>Kitaip tariant, perkamos prekės, paslaugos arba darbai turi atitikti perkančiosios organizacijos poreikius.</w:t>
            </w:r>
            <w:r w:rsidRPr="00681B49">
              <w:rPr>
                <w:color w:val="000000" w:themeColor="text1"/>
                <w:sz w:val="24"/>
                <w:szCs w:val="24"/>
              </w:rPr>
              <w:t xml:space="preserve"> Šiuo aspektu </w:t>
            </w:r>
            <w:r w:rsidRPr="00681B49">
              <w:rPr>
                <w:b/>
                <w:i/>
                <w:color w:val="000000" w:themeColor="text1"/>
                <w:sz w:val="24"/>
                <w:szCs w:val="24"/>
              </w:rPr>
              <w:t>perkančiosioms organizacijoms yra suteikiama diskrecijos teisė nuspręsti, ką konkrečiai joms reikia įsigyti, kokias savybes turi atitikti pirkimo objektas</w:t>
            </w:r>
            <w:r w:rsidRPr="00681B49">
              <w:rPr>
                <w:color w:val="000000" w:themeColor="text1"/>
                <w:sz w:val="24"/>
                <w:szCs w:val="24"/>
              </w:rPr>
              <w:t xml:space="preserve"> (prekės, paslaugos arba darbai) ir kokios savybės yra geriausios ne apskritai, o būtent konkretų pirkimą organizuojančiai perkančiajai organizacijai &lt;...&gt;” </w:t>
            </w:r>
          </w:p>
        </w:tc>
      </w:tr>
      <w:tr w:rsidR="009A0A5B" w:rsidRPr="00626065" w14:paraId="0D03E295" w14:textId="77777777" w:rsidTr="007B0414">
        <w:tc>
          <w:tcPr>
            <w:tcW w:w="668" w:type="dxa"/>
          </w:tcPr>
          <w:p w14:paraId="102E1D6C" w14:textId="77777777" w:rsidR="009A0A5B" w:rsidRPr="00626065" w:rsidRDefault="009A0A5B" w:rsidP="007B0414">
            <w:pPr>
              <w:ind w:hanging="4"/>
              <w:jc w:val="center"/>
            </w:pPr>
            <w:r w:rsidRPr="00626065">
              <w:lastRenderedPageBreak/>
              <w:t>3.</w:t>
            </w:r>
          </w:p>
        </w:tc>
        <w:tc>
          <w:tcPr>
            <w:tcW w:w="6238" w:type="dxa"/>
          </w:tcPr>
          <w:p w14:paraId="542B820A" w14:textId="77777777" w:rsidR="009A0A5B" w:rsidRPr="00626065" w:rsidRDefault="009A0A5B" w:rsidP="007B0414">
            <w:pPr>
              <w:jc w:val="both"/>
              <w:rPr>
                <w:rFonts w:eastAsia="Calibri"/>
              </w:rPr>
            </w:pPr>
            <w:r w:rsidRPr="00626065">
              <w:t>Našumas: PT, ADTL ir FIB ne mažiau kaip 100 tyrimų per valandą. Mėginio savybės neturi įtakoti našumo, tai reiškia, kad bet koks mėginys privalo būti analizuojamas, o pateikiant jo rezultatą turi būti išlaikomas reikalavime nurodytas našumas.</w:t>
            </w:r>
          </w:p>
        </w:tc>
        <w:tc>
          <w:tcPr>
            <w:tcW w:w="4536" w:type="dxa"/>
          </w:tcPr>
          <w:p w14:paraId="24289040" w14:textId="77777777" w:rsidR="009A0A5B" w:rsidRPr="00130C1F" w:rsidRDefault="009A0A5B" w:rsidP="007B0414">
            <w:pPr>
              <w:jc w:val="both"/>
            </w:pPr>
          </w:p>
        </w:tc>
        <w:tc>
          <w:tcPr>
            <w:tcW w:w="3969" w:type="dxa"/>
          </w:tcPr>
          <w:p w14:paraId="4332C031" w14:textId="77777777" w:rsidR="009A0A5B" w:rsidRPr="00626065" w:rsidRDefault="009A0A5B" w:rsidP="007B0414"/>
        </w:tc>
      </w:tr>
      <w:tr w:rsidR="009A0A5B" w:rsidRPr="00626065" w14:paraId="3C79C1F5" w14:textId="77777777" w:rsidTr="007B0414">
        <w:tc>
          <w:tcPr>
            <w:tcW w:w="668" w:type="dxa"/>
          </w:tcPr>
          <w:p w14:paraId="69182C3E" w14:textId="77777777" w:rsidR="009A0A5B" w:rsidRPr="00626065" w:rsidRDefault="009A0A5B" w:rsidP="007B0414">
            <w:pPr>
              <w:ind w:hanging="4"/>
              <w:jc w:val="center"/>
            </w:pPr>
            <w:r w:rsidRPr="00626065">
              <w:t>4.</w:t>
            </w:r>
          </w:p>
        </w:tc>
        <w:tc>
          <w:tcPr>
            <w:tcW w:w="6238" w:type="dxa"/>
          </w:tcPr>
          <w:p w14:paraId="5F66369D" w14:textId="77777777" w:rsidR="009A0A5B" w:rsidRPr="00626065" w:rsidRDefault="009A0A5B" w:rsidP="007B0414">
            <w:pPr>
              <w:jc w:val="both"/>
            </w:pPr>
            <w:r w:rsidRPr="00626065">
              <w:t>- Galimybė pakartoti tyrimus iš tos pačios tiriamos plazmos, neišimant mėgintuvėlio iš analizatoriaus;</w:t>
            </w:r>
          </w:p>
          <w:p w14:paraId="6F4A1B0B" w14:textId="77777777" w:rsidR="009A0A5B" w:rsidRPr="00626065" w:rsidRDefault="009A0A5B" w:rsidP="007B0414">
            <w:pPr>
              <w:jc w:val="both"/>
              <w:rPr>
                <w:rFonts w:eastAsia="Calibri"/>
              </w:rPr>
            </w:pPr>
            <w:r w:rsidRPr="00626065">
              <w:t>- Galimybė nuskaityti brūkšninius kodus (mėginiai, matavimo laikmenos, t.t).</w:t>
            </w:r>
          </w:p>
        </w:tc>
        <w:tc>
          <w:tcPr>
            <w:tcW w:w="4536" w:type="dxa"/>
          </w:tcPr>
          <w:p w14:paraId="08FC786D" w14:textId="77777777" w:rsidR="009A0A5B" w:rsidRPr="00626065" w:rsidRDefault="009A0A5B" w:rsidP="007B0414"/>
        </w:tc>
        <w:tc>
          <w:tcPr>
            <w:tcW w:w="3969" w:type="dxa"/>
          </w:tcPr>
          <w:p w14:paraId="58A491C9" w14:textId="77777777" w:rsidR="009A0A5B" w:rsidRPr="00626065" w:rsidRDefault="009A0A5B" w:rsidP="007B0414"/>
        </w:tc>
      </w:tr>
      <w:tr w:rsidR="009A0A5B" w:rsidRPr="00626065" w14:paraId="54733E9D" w14:textId="77777777" w:rsidTr="007B0414">
        <w:tc>
          <w:tcPr>
            <w:tcW w:w="668" w:type="dxa"/>
          </w:tcPr>
          <w:p w14:paraId="2612AA19" w14:textId="77777777" w:rsidR="009A0A5B" w:rsidRPr="00626065" w:rsidRDefault="009A0A5B" w:rsidP="007B0414">
            <w:pPr>
              <w:ind w:hanging="4"/>
              <w:jc w:val="center"/>
            </w:pPr>
            <w:r w:rsidRPr="00626065">
              <w:t xml:space="preserve">5. </w:t>
            </w:r>
          </w:p>
        </w:tc>
        <w:tc>
          <w:tcPr>
            <w:tcW w:w="6238" w:type="dxa"/>
          </w:tcPr>
          <w:p w14:paraId="35144F9C" w14:textId="5E3DD444" w:rsidR="009A0A5B" w:rsidRPr="00626065" w:rsidRDefault="009A0A5B" w:rsidP="007B0414">
            <w:pPr>
              <w:jc w:val="both"/>
              <w:rPr>
                <w:rFonts w:eastAsia="Calibri"/>
              </w:rPr>
            </w:pPr>
            <w:r w:rsidRPr="00626065">
              <w:t xml:space="preserve">Ne mažiau </w:t>
            </w:r>
            <w:r w:rsidRPr="003D5163">
              <w:t>45</w:t>
            </w:r>
            <w:r w:rsidRPr="00626065">
              <w:t xml:space="preserve"> vietų reagentams.</w:t>
            </w:r>
          </w:p>
        </w:tc>
        <w:tc>
          <w:tcPr>
            <w:tcW w:w="4536" w:type="dxa"/>
          </w:tcPr>
          <w:p w14:paraId="673ED4EF" w14:textId="77777777" w:rsidR="009A0A5B" w:rsidRPr="001C654C" w:rsidRDefault="009A0A5B" w:rsidP="007B0414">
            <w:pPr>
              <w:jc w:val="both"/>
              <w:rPr>
                <w:sz w:val="24"/>
                <w:szCs w:val="24"/>
              </w:rPr>
            </w:pPr>
            <w:r w:rsidRPr="005A5AAB">
              <w:rPr>
                <w:sz w:val="24"/>
                <w:szCs w:val="24"/>
                <w:highlight w:val="yellow"/>
              </w:rPr>
              <w:t>Tiekėjo A pastaba:</w:t>
            </w:r>
            <w:r>
              <w:rPr>
                <w:sz w:val="24"/>
                <w:szCs w:val="24"/>
              </w:rPr>
              <w:t xml:space="preserve"> </w:t>
            </w:r>
            <w:r w:rsidRPr="001C654C">
              <w:rPr>
                <w:sz w:val="24"/>
                <w:szCs w:val="24"/>
              </w:rPr>
              <w:t xml:space="preserve">Rinkoje yra tik </w:t>
            </w:r>
            <w:r w:rsidRPr="001C654C">
              <w:rPr>
                <w:b/>
                <w:bCs/>
                <w:sz w:val="24"/>
                <w:szCs w:val="24"/>
              </w:rPr>
              <w:t xml:space="preserve">vienas vienintelis </w:t>
            </w:r>
            <w:r w:rsidRPr="001C654C">
              <w:rPr>
                <w:sz w:val="24"/>
                <w:szCs w:val="24"/>
              </w:rPr>
              <w:t xml:space="preserve">gamintojas, kurio įranga atitinka šį reikalavimą, atitinkamai, ir </w:t>
            </w:r>
            <w:r w:rsidRPr="001C654C">
              <w:rPr>
                <w:b/>
                <w:bCs/>
                <w:sz w:val="24"/>
                <w:szCs w:val="24"/>
              </w:rPr>
              <w:t>vienintelis tiekėjas, turintis minėto gamintojo įgaliojimą</w:t>
            </w:r>
            <w:r w:rsidRPr="001C654C">
              <w:rPr>
                <w:sz w:val="24"/>
                <w:szCs w:val="24"/>
              </w:rPr>
              <w:t xml:space="preserve">, galintis šią įrangą pasiūlyti perkančiajai organizacijai. Todėl siūlome šį punktą koreguoti taip: </w:t>
            </w:r>
            <w:r w:rsidRPr="001C654C">
              <w:rPr>
                <w:b/>
                <w:bCs/>
                <w:sz w:val="24"/>
                <w:szCs w:val="24"/>
              </w:rPr>
              <w:t>Ne mažiau kaip 33 vietas reagentams</w:t>
            </w:r>
            <w:r w:rsidRPr="001C654C">
              <w:rPr>
                <w:sz w:val="24"/>
                <w:szCs w:val="24"/>
              </w:rPr>
              <w:t>, taip sudarant konkurencingas sąlygas ir kitiems tiekėjams dalyvauti pirkime.</w:t>
            </w:r>
          </w:p>
          <w:p w14:paraId="707BB6AE" w14:textId="77777777" w:rsidR="009A0A5B" w:rsidRDefault="009A0A5B" w:rsidP="007B0414"/>
          <w:p w14:paraId="551C1397" w14:textId="77777777" w:rsidR="009A0A5B" w:rsidRPr="004E7F6F" w:rsidRDefault="009A0A5B" w:rsidP="007B0414">
            <w:pPr>
              <w:jc w:val="both"/>
              <w:rPr>
                <w:sz w:val="24"/>
                <w:szCs w:val="24"/>
              </w:rPr>
            </w:pPr>
            <w:r w:rsidRPr="004E7F6F">
              <w:rPr>
                <w:sz w:val="24"/>
                <w:szCs w:val="24"/>
                <w:highlight w:val="green"/>
              </w:rPr>
              <w:t>Tiekėjo B pastaba:</w:t>
            </w:r>
            <w:r w:rsidRPr="004E7F6F">
              <w:rPr>
                <w:sz w:val="24"/>
                <w:szCs w:val="24"/>
              </w:rPr>
              <w:t xml:space="preserve"> Pagal tyrimų spektrą, tai kas nurodyta jūsų skelbiamos „Rinkos </w:t>
            </w:r>
            <w:r w:rsidRPr="004E7F6F">
              <w:rPr>
                <w:sz w:val="24"/>
                <w:szCs w:val="24"/>
              </w:rPr>
              <w:lastRenderedPageBreak/>
              <w:t xml:space="preserve">konsultacijos“ dokumentuose, ketinama atlikti tik 4 skirtingas analites (PL, ADTL, FIB ir D-Di), todėl reikalavimas, kad analizatorius turėtų ne mažiau nei 45 vietas reagentams yra perteklinis ir niekuo nepagrįstas. Prašome </w:t>
            </w:r>
            <w:r w:rsidRPr="00C97DD6">
              <w:rPr>
                <w:b/>
                <w:bCs/>
                <w:sz w:val="24"/>
                <w:szCs w:val="24"/>
              </w:rPr>
              <w:t>sumažinti reagentų vietas iki 26</w:t>
            </w:r>
            <w:r w:rsidRPr="004E7F6F">
              <w:rPr>
                <w:sz w:val="24"/>
                <w:szCs w:val="24"/>
              </w:rPr>
              <w:t>, nes to pilnai pakaks jūsų prašomoms analitėms atlikti ir VISIEMS reagentams sutalpinti (net jei prireiktų dar kelių papildomų analičių ir/ar papildomų lotų reagentų).</w:t>
            </w:r>
          </w:p>
        </w:tc>
        <w:tc>
          <w:tcPr>
            <w:tcW w:w="3969" w:type="dxa"/>
          </w:tcPr>
          <w:p w14:paraId="312874BA" w14:textId="77777777" w:rsidR="009A0A5B" w:rsidRPr="008146AA" w:rsidRDefault="009A0A5B" w:rsidP="007B0414">
            <w:pPr>
              <w:jc w:val="both"/>
              <w:rPr>
                <w:sz w:val="24"/>
                <w:szCs w:val="24"/>
              </w:rPr>
            </w:pPr>
            <w:r w:rsidRPr="008146AA">
              <w:rPr>
                <w:sz w:val="24"/>
                <w:szCs w:val="24"/>
              </w:rPr>
              <w:lastRenderedPageBreak/>
              <w:t>Perkančiosios organizacijos</w:t>
            </w:r>
            <w:r w:rsidRPr="00631D2C">
              <w:rPr>
                <w:sz w:val="24"/>
                <w:szCs w:val="24"/>
              </w:rPr>
              <w:t xml:space="preserve"> nuomone didesnės talpos analizatorius leidžia optimizuoti laboratorijos darbo eigą, užtikrina didesnį darbo efektyvumą, nes leidžia atlikti daugiau testų be nuolatinio reagentų keitimo. </w:t>
            </w:r>
          </w:p>
          <w:p w14:paraId="7812DA7C" w14:textId="5D61A1CB" w:rsidR="009A0A5B" w:rsidRDefault="009A0A5B" w:rsidP="007B0414">
            <w:pPr>
              <w:jc w:val="both"/>
              <w:rPr>
                <w:iCs/>
                <w:sz w:val="24"/>
                <w:szCs w:val="24"/>
              </w:rPr>
            </w:pPr>
            <w:r w:rsidRPr="006E440C">
              <w:rPr>
                <w:iCs/>
                <w:sz w:val="24"/>
                <w:szCs w:val="24"/>
              </w:rPr>
              <w:t>Pageidaujam</w:t>
            </w:r>
            <w:r>
              <w:rPr>
                <w:iCs/>
                <w:sz w:val="24"/>
                <w:szCs w:val="24"/>
              </w:rPr>
              <w:t>a</w:t>
            </w:r>
            <w:r w:rsidRPr="006E440C">
              <w:rPr>
                <w:iCs/>
                <w:sz w:val="24"/>
                <w:szCs w:val="24"/>
              </w:rPr>
              <w:t xml:space="preserve">s pozicijų skaičius grindžiamas tuo, kad kiekvienai iš analičių atlikti yra reikalingos mažiausiai dvi pozicijos reagentams, o siekiant užtikrinti nepertraukiamą analizatoriaus darbą, naudojama </w:t>
            </w:r>
            <w:r w:rsidRPr="006E440C">
              <w:rPr>
                <w:iCs/>
                <w:sz w:val="24"/>
                <w:szCs w:val="24"/>
              </w:rPr>
              <w:lastRenderedPageBreak/>
              <w:t>praktika įdėti po kelis tos pačios rūšies reagento buteliukus. Taip pat į reagentų pozicijų skaičių įskaičiuojama kokybės kontrolių (mažiausiai dviejų lygių) ir kalibratorių buteliukai.</w:t>
            </w:r>
          </w:p>
          <w:p w14:paraId="0654BBDD" w14:textId="77777777" w:rsidR="009A0A5B" w:rsidRPr="008146AA" w:rsidRDefault="009A0A5B" w:rsidP="007B0414">
            <w:pPr>
              <w:ind w:firstLine="460"/>
              <w:jc w:val="both"/>
              <w:rPr>
                <w:b/>
                <w:bCs/>
                <w:iCs/>
                <w:sz w:val="24"/>
                <w:szCs w:val="24"/>
              </w:rPr>
            </w:pPr>
            <w:r w:rsidRPr="008146AA">
              <w:rPr>
                <w:iCs/>
                <w:sz w:val="24"/>
                <w:szCs w:val="24"/>
              </w:rPr>
              <w:t>Atsižvelgiant į aukščiau nurodytą informaciją</w:t>
            </w:r>
            <w:r w:rsidRPr="000450A1">
              <w:rPr>
                <w:iCs/>
                <w:sz w:val="24"/>
                <w:szCs w:val="24"/>
              </w:rPr>
              <w:t xml:space="preserve">, techninės specifikacijos 5 </w:t>
            </w:r>
            <w:r w:rsidRPr="000450A1">
              <w:rPr>
                <w:b/>
                <w:bCs/>
                <w:iCs/>
                <w:sz w:val="24"/>
                <w:szCs w:val="24"/>
              </w:rPr>
              <w:t>punkto</w:t>
            </w:r>
            <w:r w:rsidRPr="008146AA">
              <w:rPr>
                <w:b/>
                <w:bCs/>
                <w:iCs/>
                <w:sz w:val="24"/>
                <w:szCs w:val="24"/>
              </w:rPr>
              <w:t xml:space="preserve"> reikalavimą pakeičiame: </w:t>
            </w:r>
            <w:r>
              <w:rPr>
                <w:b/>
                <w:bCs/>
                <w:iCs/>
                <w:sz w:val="24"/>
                <w:szCs w:val="24"/>
              </w:rPr>
              <w:t>„</w:t>
            </w:r>
            <w:r w:rsidRPr="008146AA">
              <w:rPr>
                <w:b/>
                <w:bCs/>
                <w:iCs/>
                <w:sz w:val="24"/>
                <w:szCs w:val="24"/>
              </w:rPr>
              <w:t xml:space="preserve">Ne mažiau </w:t>
            </w:r>
            <w:r>
              <w:rPr>
                <w:b/>
                <w:bCs/>
                <w:iCs/>
                <w:sz w:val="24"/>
                <w:szCs w:val="24"/>
              </w:rPr>
              <w:t>28</w:t>
            </w:r>
            <w:r w:rsidRPr="008146AA">
              <w:rPr>
                <w:b/>
                <w:bCs/>
                <w:iCs/>
                <w:sz w:val="24"/>
                <w:szCs w:val="24"/>
              </w:rPr>
              <w:t xml:space="preserve"> vietų reagentams</w:t>
            </w:r>
            <w:r>
              <w:rPr>
                <w:b/>
                <w:bCs/>
                <w:iCs/>
                <w:sz w:val="24"/>
                <w:szCs w:val="24"/>
              </w:rPr>
              <w:t>“</w:t>
            </w:r>
            <w:r w:rsidRPr="008146AA">
              <w:rPr>
                <w:b/>
                <w:bCs/>
                <w:iCs/>
                <w:sz w:val="24"/>
                <w:szCs w:val="24"/>
              </w:rPr>
              <w:t>.</w:t>
            </w:r>
          </w:p>
          <w:p w14:paraId="651CDE18" w14:textId="77777777" w:rsidR="009104AC" w:rsidRPr="009104AC" w:rsidRDefault="009104AC" w:rsidP="009104AC">
            <w:pPr>
              <w:ind w:firstLine="460"/>
              <w:jc w:val="both"/>
              <w:rPr>
                <w:iCs/>
                <w:sz w:val="24"/>
                <w:szCs w:val="24"/>
              </w:rPr>
            </w:pPr>
            <w:r w:rsidRPr="009104AC">
              <w:rPr>
                <w:iCs/>
                <w:sz w:val="24"/>
                <w:szCs w:val="24"/>
              </w:rPr>
              <w:t xml:space="preserve">Rinkos tyrimo metu nustatyta, kad mažiausiai trys gamintojai atitinka keliamą reikalavimą: 1. </w:t>
            </w:r>
            <w:proofErr w:type="spellStart"/>
            <w:r w:rsidRPr="009104AC">
              <w:rPr>
                <w:iCs/>
                <w:sz w:val="24"/>
                <w:szCs w:val="24"/>
              </w:rPr>
              <w:t>Diagnostica</w:t>
            </w:r>
            <w:proofErr w:type="spellEnd"/>
            <w:r w:rsidRPr="009104AC">
              <w:rPr>
                <w:iCs/>
                <w:sz w:val="24"/>
                <w:szCs w:val="24"/>
              </w:rPr>
              <w:t xml:space="preserve"> </w:t>
            </w:r>
            <w:proofErr w:type="spellStart"/>
            <w:r w:rsidRPr="009104AC">
              <w:rPr>
                <w:iCs/>
                <w:sz w:val="24"/>
                <w:szCs w:val="24"/>
              </w:rPr>
              <w:t>Stago</w:t>
            </w:r>
            <w:proofErr w:type="spellEnd"/>
            <w:r w:rsidRPr="009104AC">
              <w:rPr>
                <w:iCs/>
                <w:sz w:val="24"/>
                <w:szCs w:val="24"/>
              </w:rPr>
              <w:t xml:space="preserve">, STA </w:t>
            </w:r>
            <w:proofErr w:type="spellStart"/>
            <w:r w:rsidRPr="009104AC">
              <w:rPr>
                <w:iCs/>
                <w:sz w:val="24"/>
                <w:szCs w:val="24"/>
              </w:rPr>
              <w:t>Compact</w:t>
            </w:r>
            <w:proofErr w:type="spellEnd"/>
            <w:r w:rsidRPr="009104AC">
              <w:rPr>
                <w:iCs/>
                <w:sz w:val="24"/>
                <w:szCs w:val="24"/>
              </w:rPr>
              <w:t xml:space="preserve"> </w:t>
            </w:r>
            <w:proofErr w:type="spellStart"/>
            <w:r w:rsidRPr="009104AC">
              <w:rPr>
                <w:iCs/>
                <w:sz w:val="24"/>
                <w:szCs w:val="24"/>
              </w:rPr>
              <w:t>Max</w:t>
            </w:r>
            <w:proofErr w:type="spellEnd"/>
            <w:r w:rsidRPr="009104AC">
              <w:rPr>
                <w:iCs/>
                <w:sz w:val="24"/>
                <w:szCs w:val="24"/>
              </w:rPr>
              <w:t xml:space="preserve">; 2. </w:t>
            </w:r>
            <w:proofErr w:type="spellStart"/>
            <w:r w:rsidRPr="009104AC">
              <w:rPr>
                <w:iCs/>
                <w:sz w:val="24"/>
                <w:szCs w:val="24"/>
              </w:rPr>
              <w:t>Mindray</w:t>
            </w:r>
            <w:proofErr w:type="spellEnd"/>
            <w:r w:rsidRPr="009104AC">
              <w:rPr>
                <w:iCs/>
                <w:sz w:val="24"/>
                <w:szCs w:val="24"/>
              </w:rPr>
              <w:t xml:space="preserve"> C3510; 3. </w:t>
            </w:r>
            <w:proofErr w:type="spellStart"/>
            <w:r w:rsidRPr="009104AC">
              <w:rPr>
                <w:iCs/>
                <w:sz w:val="24"/>
                <w:szCs w:val="24"/>
              </w:rPr>
              <w:t>Succeeder</w:t>
            </w:r>
            <w:proofErr w:type="spellEnd"/>
            <w:r w:rsidRPr="009104AC">
              <w:rPr>
                <w:iCs/>
                <w:sz w:val="24"/>
                <w:szCs w:val="24"/>
              </w:rPr>
              <w:t xml:space="preserve"> SF-810. </w:t>
            </w:r>
          </w:p>
          <w:p w14:paraId="7BB7C7A7" w14:textId="77777777" w:rsidR="009A0A5B" w:rsidRPr="00EF4A7C" w:rsidRDefault="009A0A5B" w:rsidP="007B0414">
            <w:pPr>
              <w:jc w:val="both"/>
            </w:pPr>
          </w:p>
        </w:tc>
      </w:tr>
      <w:tr w:rsidR="009A0A5B" w:rsidRPr="00626065" w14:paraId="30465BCC" w14:textId="77777777" w:rsidTr="007B0414">
        <w:tc>
          <w:tcPr>
            <w:tcW w:w="668" w:type="dxa"/>
          </w:tcPr>
          <w:p w14:paraId="6435EB11" w14:textId="77777777" w:rsidR="009A0A5B" w:rsidRPr="00626065" w:rsidRDefault="009A0A5B" w:rsidP="007B0414">
            <w:pPr>
              <w:ind w:hanging="4"/>
              <w:jc w:val="center"/>
            </w:pPr>
            <w:r w:rsidRPr="00626065">
              <w:lastRenderedPageBreak/>
              <w:t xml:space="preserve">6. </w:t>
            </w:r>
          </w:p>
        </w:tc>
        <w:tc>
          <w:tcPr>
            <w:tcW w:w="6238" w:type="dxa"/>
          </w:tcPr>
          <w:p w14:paraId="0387E9CF" w14:textId="1A75FE2B" w:rsidR="009A0A5B" w:rsidRPr="00626065" w:rsidRDefault="009A0A5B" w:rsidP="007B0414">
            <w:pPr>
              <w:jc w:val="both"/>
              <w:rPr>
                <w:rFonts w:eastAsia="Calibri"/>
              </w:rPr>
            </w:pPr>
            <w:r w:rsidRPr="00626065">
              <w:t>Ne</w:t>
            </w:r>
            <w:r w:rsidR="005856B5">
              <w:t xml:space="preserve"> </w:t>
            </w:r>
            <w:r w:rsidRPr="00626065">
              <w:t xml:space="preserve">mažiau kaip </w:t>
            </w:r>
            <w:r w:rsidR="005856B5" w:rsidRPr="005856B5">
              <w:rPr>
                <w:b/>
                <w:bCs/>
              </w:rPr>
              <w:t>80</w:t>
            </w:r>
            <w:r w:rsidRPr="005856B5">
              <w:t xml:space="preserve"> </w:t>
            </w:r>
            <w:r w:rsidRPr="00626065">
              <w:t>vietų mėginiams pirminiuose kraujo ėmimo mėgintuvėliuose.</w:t>
            </w:r>
          </w:p>
        </w:tc>
        <w:tc>
          <w:tcPr>
            <w:tcW w:w="4536" w:type="dxa"/>
          </w:tcPr>
          <w:p w14:paraId="10215CA1" w14:textId="77777777" w:rsidR="009A0A5B" w:rsidRPr="007B0414" w:rsidRDefault="009A0A5B" w:rsidP="007B0414">
            <w:pPr>
              <w:jc w:val="both"/>
              <w:rPr>
                <w:sz w:val="24"/>
                <w:szCs w:val="24"/>
              </w:rPr>
            </w:pPr>
            <w:r w:rsidRPr="005A5AAB">
              <w:rPr>
                <w:sz w:val="24"/>
                <w:szCs w:val="24"/>
                <w:highlight w:val="yellow"/>
              </w:rPr>
              <w:t>Tiekėjo A pastaba:</w:t>
            </w:r>
            <w:r>
              <w:rPr>
                <w:sz w:val="24"/>
                <w:szCs w:val="24"/>
              </w:rPr>
              <w:t xml:space="preserve"> R</w:t>
            </w:r>
            <w:r w:rsidRPr="007B0414">
              <w:rPr>
                <w:sz w:val="24"/>
                <w:szCs w:val="24"/>
              </w:rPr>
              <w:t xml:space="preserve">eikalavimas pritaikytas tam pačiam vieninteliam gamintojui / tiekėjui. Rinkoje yra analizatorių, į kuriuos mėginiai gali būti nuolatos dedami nesustabdant analizatoriaus darbo. Todėl šį punktą prašome papildyti taip: </w:t>
            </w:r>
            <w:r w:rsidRPr="007B0414">
              <w:rPr>
                <w:b/>
                <w:bCs/>
                <w:sz w:val="24"/>
                <w:szCs w:val="24"/>
              </w:rPr>
              <w:t>Ne mažiau kaip 80 vietų mėginiams pirminiuose kraujo ėmimo mėgintuvėliuose arba turėti galimybę nepertraukiamai dėti mėginius į analizatorių</w:t>
            </w:r>
            <w:r w:rsidRPr="007B0414">
              <w:rPr>
                <w:sz w:val="24"/>
                <w:szCs w:val="24"/>
              </w:rPr>
              <w:t>.</w:t>
            </w:r>
          </w:p>
          <w:p w14:paraId="6AEB4954" w14:textId="77777777" w:rsidR="009A0A5B" w:rsidRPr="007B0414" w:rsidRDefault="009A0A5B" w:rsidP="007B0414"/>
          <w:p w14:paraId="5F69083C" w14:textId="77777777" w:rsidR="009A0A5B" w:rsidRPr="00431A4B" w:rsidRDefault="009A0A5B" w:rsidP="007B0414">
            <w:pPr>
              <w:jc w:val="both"/>
              <w:rPr>
                <w:i/>
                <w:iCs/>
                <w:sz w:val="24"/>
                <w:szCs w:val="24"/>
              </w:rPr>
            </w:pPr>
            <w:r w:rsidRPr="007B0414">
              <w:rPr>
                <w:sz w:val="24"/>
                <w:szCs w:val="24"/>
                <w:highlight w:val="green"/>
              </w:rPr>
              <w:t>Tiekėjo B pastaba:</w:t>
            </w:r>
            <w:r w:rsidRPr="007B0414">
              <w:rPr>
                <w:sz w:val="24"/>
                <w:szCs w:val="24"/>
              </w:rPr>
              <w:t xml:space="preserve"> </w:t>
            </w:r>
            <w:r w:rsidRPr="00B75B5A">
              <w:rPr>
                <w:sz w:val="24"/>
                <w:szCs w:val="24"/>
              </w:rPr>
              <w:t xml:space="preserve">Šis reikalavimas perteklinis ir nepagrįstas, todėl prašome jį koreguoti, numatant </w:t>
            </w:r>
            <w:r w:rsidRPr="00B75B5A">
              <w:rPr>
                <w:b/>
                <w:bCs/>
                <w:sz w:val="24"/>
                <w:szCs w:val="24"/>
              </w:rPr>
              <w:t>40 vietų</w:t>
            </w:r>
            <w:r w:rsidRPr="00B75B5A">
              <w:rPr>
                <w:sz w:val="24"/>
                <w:szCs w:val="24"/>
              </w:rPr>
              <w:t xml:space="preserve"> kraujo mėginiams bei papildomai numatant nuolatinio mėginių įdėjimo į analizatorių galimybę. To pilnai pakaks sklandžiam </w:t>
            </w:r>
            <w:r w:rsidRPr="00B75B5A">
              <w:rPr>
                <w:sz w:val="24"/>
                <w:szCs w:val="24"/>
              </w:rPr>
              <w:lastRenderedPageBreak/>
              <w:t>laboratorijos darbui užtikrinti, gausite ekonomiškai naudingus ir perkančiosios organizacijos poreikius atitinkančius analizatorius, bus užtikrinta sąžininga ir skaidri konkurencija.</w:t>
            </w:r>
          </w:p>
        </w:tc>
        <w:tc>
          <w:tcPr>
            <w:tcW w:w="3969" w:type="dxa"/>
          </w:tcPr>
          <w:p w14:paraId="5B6DD537" w14:textId="55C20AC1" w:rsidR="009A0A5B" w:rsidRPr="007B0414" w:rsidRDefault="009A0A5B" w:rsidP="007B0414">
            <w:pPr>
              <w:ind w:firstLine="318"/>
              <w:jc w:val="both"/>
              <w:rPr>
                <w:iCs/>
                <w:strike/>
                <w:sz w:val="24"/>
                <w:szCs w:val="24"/>
              </w:rPr>
            </w:pPr>
            <w:r w:rsidRPr="001B737D">
              <w:rPr>
                <w:iCs/>
                <w:sz w:val="24"/>
                <w:szCs w:val="24"/>
              </w:rPr>
              <w:lastRenderedPageBreak/>
              <w:t>Klinikinėje praktikoje per dieną „vidutiniškai“ atliekamas tyrimų skaičius pasitaiko ne visomis dienomis, t.y. būna dienų, kai pagal klinikinį poreikį tyrimų skaičius būna gerokai didesnis, siekiantis keliasdešimt ar net daugiau tyrimų per dien</w:t>
            </w:r>
            <w:r w:rsidRPr="004472CF">
              <w:rPr>
                <w:iCs/>
                <w:sz w:val="24"/>
                <w:szCs w:val="24"/>
              </w:rPr>
              <w:t>ą</w:t>
            </w:r>
            <w:r w:rsidR="004472CF">
              <w:rPr>
                <w:iCs/>
                <w:sz w:val="24"/>
                <w:szCs w:val="24"/>
              </w:rPr>
              <w:t>.</w:t>
            </w:r>
          </w:p>
          <w:p w14:paraId="1F997CA5" w14:textId="77777777" w:rsidR="009A0A5B" w:rsidRPr="007B0414" w:rsidRDefault="009A0A5B" w:rsidP="007B0414">
            <w:pPr>
              <w:ind w:firstLine="318"/>
              <w:jc w:val="both"/>
              <w:rPr>
                <w:sz w:val="24"/>
                <w:szCs w:val="24"/>
              </w:rPr>
            </w:pPr>
            <w:r w:rsidRPr="001B737D">
              <w:rPr>
                <w:sz w:val="24"/>
                <w:szCs w:val="24"/>
              </w:rPr>
              <w:t xml:space="preserve">Perkančiosios organizacijos laboratorijos duomenimis, </w:t>
            </w:r>
            <w:r w:rsidRPr="007B0414">
              <w:rPr>
                <w:sz w:val="24"/>
                <w:szCs w:val="24"/>
              </w:rPr>
              <w:t xml:space="preserve">pastaruosius metus nustatytas didėjantis pacientų ir atliekamų tyrimų skaičius. </w:t>
            </w:r>
            <w:r w:rsidRPr="001B737D">
              <w:rPr>
                <w:sz w:val="24"/>
                <w:szCs w:val="24"/>
              </w:rPr>
              <w:t xml:space="preserve">Pavyzdžiui, remiantis </w:t>
            </w:r>
            <w:r w:rsidRPr="007B0414">
              <w:rPr>
                <w:iCs/>
                <w:sz w:val="24"/>
                <w:szCs w:val="24"/>
              </w:rPr>
              <w:t>VšĮ Šeškinės poliklinikos 2023–2027 metų veiklos strategija</w:t>
            </w:r>
            <w:r w:rsidRPr="001B737D">
              <w:rPr>
                <w:sz w:val="24"/>
                <w:szCs w:val="24"/>
              </w:rPr>
              <w:t xml:space="preserve"> </w:t>
            </w:r>
            <w:r w:rsidRPr="001B737D">
              <w:rPr>
                <w:iCs/>
                <w:sz w:val="24"/>
                <w:szCs w:val="24"/>
              </w:rPr>
              <w:t>„</w:t>
            </w:r>
            <w:r w:rsidRPr="001B737D">
              <w:rPr>
                <w:i/>
                <w:iCs/>
                <w:sz w:val="24"/>
                <w:szCs w:val="24"/>
              </w:rPr>
              <w:t xml:space="preserve">&lt;...&gt; </w:t>
            </w:r>
            <w:r w:rsidRPr="007B0414">
              <w:rPr>
                <w:sz w:val="24"/>
                <w:szCs w:val="24"/>
              </w:rPr>
              <w:t xml:space="preserve">2021 m. 12 proc. padidėjo skatinamųjų pirminės ambulatorinės asmens sveikatos priežiūros paslaugų (už kurias mokamas skatinamasis </w:t>
            </w:r>
            <w:r w:rsidRPr="007B0414">
              <w:rPr>
                <w:sz w:val="24"/>
                <w:szCs w:val="24"/>
              </w:rPr>
              <w:lastRenderedPageBreak/>
              <w:t xml:space="preserve">priedas) skaičius, palyginti su 2020 m. Labiausiai didėjo šių paslaugų teikimas: </w:t>
            </w:r>
            <w:r w:rsidRPr="001B737D">
              <w:rPr>
                <w:iCs/>
                <w:sz w:val="24"/>
                <w:szCs w:val="24"/>
              </w:rPr>
              <w:t>„</w:t>
            </w:r>
            <w:r w:rsidRPr="001B737D">
              <w:rPr>
                <w:i/>
                <w:iCs/>
                <w:sz w:val="24"/>
                <w:szCs w:val="24"/>
              </w:rPr>
              <w:t xml:space="preserve">&lt;...&gt; </w:t>
            </w:r>
            <w:r w:rsidRPr="007B0414">
              <w:rPr>
                <w:i/>
                <w:iCs/>
                <w:sz w:val="24"/>
                <w:szCs w:val="24"/>
              </w:rPr>
              <w:t>kraujo tyrimų, atliekamų prieš planinę operaciją (atlikta 30 proc. daugiau paslaugų)“.</w:t>
            </w:r>
            <w:r w:rsidRPr="007B0414">
              <w:rPr>
                <w:sz w:val="24"/>
                <w:szCs w:val="24"/>
              </w:rPr>
              <w:t xml:space="preserve"> </w:t>
            </w:r>
          </w:p>
          <w:p w14:paraId="5E4F7B5D" w14:textId="363907A9" w:rsidR="009A0A5B" w:rsidRPr="005856B5" w:rsidRDefault="009A0A5B" w:rsidP="007B0414">
            <w:pPr>
              <w:ind w:firstLine="318"/>
              <w:jc w:val="both"/>
              <w:rPr>
                <w:b/>
                <w:iCs/>
                <w:sz w:val="24"/>
                <w:szCs w:val="24"/>
              </w:rPr>
            </w:pPr>
            <w:r w:rsidRPr="001B737D">
              <w:rPr>
                <w:iCs/>
                <w:sz w:val="24"/>
                <w:szCs w:val="24"/>
              </w:rPr>
              <w:t xml:space="preserve">Atsižvelgiant į aukščiau nurodytą informaciją, perkančioji organizacija mato augančius klinikinius poreikius, todėl techninės specifikacijos </w:t>
            </w:r>
            <w:r w:rsidRPr="00D44D83">
              <w:rPr>
                <w:b/>
                <w:bCs/>
                <w:iCs/>
                <w:sz w:val="24"/>
                <w:szCs w:val="24"/>
              </w:rPr>
              <w:t>6 punkto reikalavimas</w:t>
            </w:r>
            <w:r w:rsidRPr="007B0414">
              <w:rPr>
                <w:b/>
                <w:iCs/>
                <w:color w:val="FF0000"/>
                <w:sz w:val="24"/>
                <w:szCs w:val="24"/>
              </w:rPr>
              <w:t xml:space="preserve"> </w:t>
            </w:r>
            <w:r w:rsidRPr="005856B5">
              <w:rPr>
                <w:b/>
                <w:iCs/>
                <w:sz w:val="24"/>
                <w:szCs w:val="24"/>
              </w:rPr>
              <w:t xml:space="preserve">bus keičiamas taip: </w:t>
            </w:r>
            <w:r w:rsidR="005856B5">
              <w:rPr>
                <w:b/>
                <w:iCs/>
                <w:sz w:val="24"/>
                <w:szCs w:val="24"/>
              </w:rPr>
              <w:t>„</w:t>
            </w:r>
            <w:r w:rsidRPr="005856B5">
              <w:rPr>
                <w:b/>
                <w:iCs/>
                <w:sz w:val="24"/>
                <w:szCs w:val="24"/>
              </w:rPr>
              <w:t>Ne mažiau kaip 60 vietų mėginiams pirminiuose kraujo ėmimo mėgintuvėliuose.</w:t>
            </w:r>
            <w:r w:rsidR="005856B5">
              <w:rPr>
                <w:b/>
                <w:iCs/>
                <w:sz w:val="24"/>
                <w:szCs w:val="24"/>
              </w:rPr>
              <w:t>“</w:t>
            </w:r>
            <w:r w:rsidRPr="005856B5">
              <w:rPr>
                <w:b/>
                <w:iCs/>
                <w:sz w:val="24"/>
                <w:szCs w:val="24"/>
              </w:rPr>
              <w:t xml:space="preserve"> </w:t>
            </w:r>
          </w:p>
          <w:p w14:paraId="2A3C8C2F" w14:textId="77777777" w:rsidR="009A0A5B" w:rsidRDefault="009A0A5B" w:rsidP="007B0414">
            <w:pPr>
              <w:ind w:firstLine="318"/>
              <w:jc w:val="both"/>
              <w:rPr>
                <w:b/>
                <w:iCs/>
                <w:color w:val="FF0000"/>
                <w:sz w:val="24"/>
                <w:szCs w:val="24"/>
              </w:rPr>
            </w:pPr>
          </w:p>
          <w:p w14:paraId="6FDAA20A" w14:textId="77777777" w:rsidR="009A0A5B" w:rsidRPr="005856B5" w:rsidRDefault="009A0A5B" w:rsidP="007B0414">
            <w:pPr>
              <w:ind w:firstLine="318"/>
              <w:jc w:val="both"/>
              <w:rPr>
                <w:iCs/>
                <w:sz w:val="24"/>
                <w:szCs w:val="24"/>
              </w:rPr>
            </w:pPr>
            <w:r w:rsidRPr="005856B5">
              <w:rPr>
                <w:iCs/>
                <w:sz w:val="24"/>
                <w:szCs w:val="24"/>
              </w:rPr>
              <w:t>Rinkos tyrimo metu nustatyta, kad mažiausiai trys gamintojai atitinka keliamą reikalavimą: 1. Diagnostica Stago, STA Compact Max; 2. Mindray C3510; 3. Succeeder SF-810. </w:t>
            </w:r>
          </w:p>
          <w:p w14:paraId="318757F7" w14:textId="77777777" w:rsidR="009A0A5B" w:rsidRPr="00BC0BB7" w:rsidRDefault="009A0A5B" w:rsidP="007B0414">
            <w:pPr>
              <w:ind w:firstLine="318"/>
              <w:jc w:val="both"/>
              <w:rPr>
                <w:iCs/>
                <w:sz w:val="24"/>
                <w:szCs w:val="24"/>
              </w:rPr>
            </w:pPr>
          </w:p>
        </w:tc>
      </w:tr>
      <w:tr w:rsidR="009A0A5B" w:rsidRPr="00626065" w14:paraId="01653359" w14:textId="77777777" w:rsidTr="007B0414">
        <w:tc>
          <w:tcPr>
            <w:tcW w:w="668" w:type="dxa"/>
          </w:tcPr>
          <w:p w14:paraId="163C7C60" w14:textId="77777777" w:rsidR="009A0A5B" w:rsidRPr="00626065" w:rsidRDefault="009A0A5B" w:rsidP="007B0414">
            <w:pPr>
              <w:ind w:hanging="4"/>
              <w:jc w:val="center"/>
            </w:pPr>
            <w:r w:rsidRPr="00626065">
              <w:lastRenderedPageBreak/>
              <w:t>7.</w:t>
            </w:r>
          </w:p>
        </w:tc>
        <w:tc>
          <w:tcPr>
            <w:tcW w:w="6238" w:type="dxa"/>
          </w:tcPr>
          <w:p w14:paraId="297C2B7E" w14:textId="77777777" w:rsidR="009A0A5B" w:rsidRPr="00626065" w:rsidRDefault="009A0A5B" w:rsidP="007B0414">
            <w:pPr>
              <w:jc w:val="both"/>
            </w:pPr>
            <w:r w:rsidRPr="00626065">
              <w:t>Funkcionalumas:</w:t>
            </w:r>
          </w:p>
          <w:p w14:paraId="1B9D5898" w14:textId="77777777" w:rsidR="009A0A5B" w:rsidRPr="00626065" w:rsidRDefault="009A0A5B" w:rsidP="007B0414">
            <w:pPr>
              <w:jc w:val="both"/>
            </w:pPr>
            <w:r w:rsidRPr="00626065">
              <w:t>Sistema turi leisti atlikti krešėjimo sistemos tyrimus bet kokia tvarka ir laisvai pasirinkti bei keisti pacientų mėginių  atlikimo eiliškumą.</w:t>
            </w:r>
          </w:p>
        </w:tc>
        <w:tc>
          <w:tcPr>
            <w:tcW w:w="4536" w:type="dxa"/>
          </w:tcPr>
          <w:p w14:paraId="7E5C6E32" w14:textId="77777777" w:rsidR="009A0A5B" w:rsidRPr="00626065" w:rsidRDefault="009A0A5B" w:rsidP="007B0414"/>
        </w:tc>
        <w:tc>
          <w:tcPr>
            <w:tcW w:w="3969" w:type="dxa"/>
          </w:tcPr>
          <w:p w14:paraId="3AFC7019" w14:textId="77777777" w:rsidR="009A0A5B" w:rsidRPr="00626065" w:rsidRDefault="009A0A5B" w:rsidP="007B0414"/>
        </w:tc>
      </w:tr>
      <w:tr w:rsidR="009A0A5B" w:rsidRPr="00626065" w14:paraId="2841A9FF" w14:textId="77777777" w:rsidTr="007B0414">
        <w:tc>
          <w:tcPr>
            <w:tcW w:w="668" w:type="dxa"/>
          </w:tcPr>
          <w:p w14:paraId="226F7CA7" w14:textId="77777777" w:rsidR="009A0A5B" w:rsidRPr="00626065" w:rsidRDefault="009A0A5B" w:rsidP="007B0414">
            <w:pPr>
              <w:ind w:hanging="4"/>
              <w:jc w:val="center"/>
            </w:pPr>
            <w:r w:rsidRPr="00626065">
              <w:t xml:space="preserve">8. </w:t>
            </w:r>
          </w:p>
        </w:tc>
        <w:tc>
          <w:tcPr>
            <w:tcW w:w="6238" w:type="dxa"/>
          </w:tcPr>
          <w:p w14:paraId="2A0DE9AA" w14:textId="77777777" w:rsidR="009A0A5B" w:rsidRPr="00626065" w:rsidRDefault="009A0A5B" w:rsidP="007B0414">
            <w:pPr>
              <w:jc w:val="both"/>
            </w:pPr>
            <w:r w:rsidRPr="00626065">
              <w:t>Reikalavimai ADTL:</w:t>
            </w:r>
          </w:p>
          <w:p w14:paraId="72C9D950" w14:textId="77777777" w:rsidR="009A0A5B" w:rsidRPr="00626065" w:rsidRDefault="009A0A5B" w:rsidP="007B0414">
            <w:pPr>
              <w:jc w:val="both"/>
            </w:pPr>
            <w:r w:rsidRPr="00626065">
              <w:t xml:space="preserve">Analizatoriuje būtų paruošta programa ADTL nustatymui, </w:t>
            </w:r>
            <w:r w:rsidRPr="005856B5">
              <w:t>leidžianti be papildomų procedūrų išmatuoti normalias, bet kokio lygio lipemines, hemolizuotas ir ikterines plazmas.</w:t>
            </w:r>
          </w:p>
        </w:tc>
        <w:tc>
          <w:tcPr>
            <w:tcW w:w="4536" w:type="dxa"/>
          </w:tcPr>
          <w:p w14:paraId="44A2BD3F" w14:textId="77777777" w:rsidR="009A0A5B" w:rsidRPr="00E73D67" w:rsidRDefault="009A0A5B" w:rsidP="007B0414">
            <w:pPr>
              <w:jc w:val="both"/>
              <w:rPr>
                <w:sz w:val="24"/>
                <w:szCs w:val="24"/>
              </w:rPr>
            </w:pPr>
            <w:r w:rsidRPr="00E73D67">
              <w:rPr>
                <w:sz w:val="24"/>
                <w:szCs w:val="24"/>
                <w:highlight w:val="green"/>
              </w:rPr>
              <w:t>Tiekėjo B pastaba:</w:t>
            </w:r>
            <w:r w:rsidRPr="00E73D67">
              <w:rPr>
                <w:sz w:val="24"/>
                <w:szCs w:val="24"/>
              </w:rPr>
              <w:t xml:space="preserve"> Teigti, kad ADTL analitei tinka hemolizuoti, ikteriniai ir/ar lipeminiai mėginiai iš esmės klaidingas požiūris. Pateikiame st</w:t>
            </w:r>
            <w:r>
              <w:rPr>
                <w:sz w:val="24"/>
                <w:szCs w:val="24"/>
              </w:rPr>
              <w:t>r</w:t>
            </w:r>
            <w:r w:rsidRPr="00E73D67">
              <w:rPr>
                <w:sz w:val="24"/>
                <w:szCs w:val="24"/>
              </w:rPr>
              <w:t xml:space="preserve">aipsnio "Effects of haemolysis, icterus and lipemia on coagulation tests as performed on Stago STA_Compact_MAX analysers" ištrauką kodėl ADTL analitei netinkami  hemolizuoti, ikteriniai ir/ar lipeminiai mėginiai. Prašome punktą koreguoti, numatant reikalavimą, kad </w:t>
            </w:r>
            <w:r w:rsidRPr="00E73D67">
              <w:rPr>
                <w:sz w:val="24"/>
                <w:szCs w:val="24"/>
              </w:rPr>
              <w:lastRenderedPageBreak/>
              <w:t>analizatoriai turėtų galimybę nustatyti HIL (hemolizę, bilirubino kiekį, lipemiją) ir įspėti vartotoją esant kritinėms vertėms".</w:t>
            </w:r>
          </w:p>
          <w:p w14:paraId="324300C4" w14:textId="77777777" w:rsidR="009A0A5B" w:rsidRPr="007B0414" w:rsidRDefault="009A0A5B" w:rsidP="007B0414">
            <w:pPr>
              <w:jc w:val="both"/>
              <w:rPr>
                <w:sz w:val="24"/>
                <w:szCs w:val="24"/>
              </w:rPr>
            </w:pPr>
            <w:r w:rsidRPr="007B0414">
              <w:rPr>
                <w:sz w:val="24"/>
                <w:szCs w:val="24"/>
              </w:rPr>
              <w:t>Punktas riboja konkurenciją nes yra pritaikytas išskirtinai  mechaniniam matavimo metodui. Tuomet, tiekėjams, siūlantiems kitokį matavimo metodą apribojama galimybė dalyvauti pirkime. Prašome punktą koreguoti sekančiai: "Analizatoriai turi nustatyti HIL (hemolizę, bilirubino kiekį, lipemiją) ir įspėti vartotoją esant kritinėms vertėms".</w:t>
            </w:r>
          </w:p>
          <w:p w14:paraId="4F8121BD" w14:textId="77777777" w:rsidR="009A0A5B" w:rsidRPr="00E73D67" w:rsidRDefault="009A0A5B" w:rsidP="007B0414">
            <w:pPr>
              <w:rPr>
                <w:lang w:val="pt-BR"/>
              </w:rPr>
            </w:pPr>
            <w:r w:rsidRPr="00E73D67">
              <w:rPr>
                <w:noProof/>
                <w:lang w:val="en-US"/>
              </w:rPr>
              <w:drawing>
                <wp:inline distT="0" distB="0" distL="0" distR="0" wp14:anchorId="1FF436D2" wp14:editId="76E7D693">
                  <wp:extent cx="2383155" cy="1689100"/>
                  <wp:effectExtent l="0" t="0" r="0" b="6350"/>
                  <wp:docPr id="940819956" name="Picture 11" descr="A close up of a document&#10;&#10;Description automatically generated">
                    <a:extLst xmlns:a="http://schemas.openxmlformats.org/drawingml/2006/main">
                      <a:ext uri="{FF2B5EF4-FFF2-40B4-BE49-F238E27FC236}">
                        <a16:creationId xmlns:a16="http://schemas.microsoft.com/office/drawing/2014/main" id="{A8D15D4D-D234-4DEF-8E42-CC0DCFAB83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19956" name="Picture 11" descr="A close up of a document&#10;&#10;Description automatically generated">
                            <a:extLst>
                              <a:ext uri="{FF2B5EF4-FFF2-40B4-BE49-F238E27FC236}">
                                <a16:creationId xmlns:a16="http://schemas.microsoft.com/office/drawing/2014/main" id="{A8D15D4D-D234-4DEF-8E42-CC0DCFAB8359}"/>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3155" cy="1689100"/>
                          </a:xfrm>
                          <a:prstGeom prst="rect">
                            <a:avLst/>
                          </a:prstGeom>
                          <a:noFill/>
                          <a:ln>
                            <a:noFill/>
                          </a:ln>
                        </pic:spPr>
                      </pic:pic>
                    </a:graphicData>
                  </a:graphic>
                </wp:inline>
              </w:drawing>
            </w:r>
          </w:p>
        </w:tc>
        <w:tc>
          <w:tcPr>
            <w:tcW w:w="3969" w:type="dxa"/>
          </w:tcPr>
          <w:p w14:paraId="27F834E4" w14:textId="77777777" w:rsidR="009A0A5B" w:rsidRDefault="009A0A5B" w:rsidP="007B0414">
            <w:pPr>
              <w:ind w:firstLine="318"/>
              <w:jc w:val="both"/>
              <w:rPr>
                <w:sz w:val="24"/>
                <w:szCs w:val="24"/>
              </w:rPr>
            </w:pPr>
            <w:r w:rsidRPr="00E47C50">
              <w:rPr>
                <w:sz w:val="24"/>
                <w:szCs w:val="24"/>
              </w:rPr>
              <w:lastRenderedPageBreak/>
              <w:t xml:space="preserve">Vadovaujantis naujesne nei </w:t>
            </w:r>
            <w:r>
              <w:rPr>
                <w:sz w:val="24"/>
                <w:szCs w:val="24"/>
              </w:rPr>
              <w:t>tiekėjo</w:t>
            </w:r>
            <w:r w:rsidRPr="00E47C50">
              <w:rPr>
                <w:sz w:val="24"/>
                <w:szCs w:val="24"/>
              </w:rPr>
              <w:t xml:space="preserve"> nurodyt</w:t>
            </w:r>
            <w:r>
              <w:rPr>
                <w:sz w:val="24"/>
                <w:szCs w:val="24"/>
              </w:rPr>
              <w:t>ame</w:t>
            </w:r>
            <w:r w:rsidRPr="00E47C50">
              <w:rPr>
                <w:sz w:val="24"/>
                <w:szCs w:val="24"/>
              </w:rPr>
              <w:t xml:space="preserve"> šaltin</w:t>
            </w:r>
            <w:r>
              <w:rPr>
                <w:sz w:val="24"/>
                <w:szCs w:val="24"/>
              </w:rPr>
              <w:t>yje</w:t>
            </w:r>
            <w:r w:rsidRPr="00E47C50">
              <w:rPr>
                <w:sz w:val="24"/>
                <w:szCs w:val="24"/>
              </w:rPr>
              <w:t xml:space="preserve"> cituojama informacija, yra pateikiamos tokios rekomendacijos, kaip pvz.: „</w:t>
            </w:r>
            <w:r w:rsidRPr="00E47C50">
              <w:rPr>
                <w:b/>
                <w:i/>
                <w:sz w:val="24"/>
                <w:szCs w:val="24"/>
              </w:rPr>
              <w:t>Pacientų, kuriems pasireiškė in vivo hemolizė, mėginiai krešėjimo tyrimams gali būti priimti ir ištirti</w:t>
            </w:r>
            <w:r w:rsidRPr="00E47C50">
              <w:rPr>
                <w:sz w:val="24"/>
                <w:szCs w:val="24"/>
              </w:rPr>
              <w:t>“, „</w:t>
            </w:r>
            <w:r w:rsidRPr="00E47C50">
              <w:rPr>
                <w:b/>
                <w:i/>
                <w:sz w:val="24"/>
                <w:szCs w:val="24"/>
              </w:rPr>
              <w:t>Citratuoti mėginiai su hiperbilirubinemija PT, APTT ir fibrinogeno krešėjimo tyrimams turi būti priimti analizei</w:t>
            </w:r>
            <w:r w:rsidRPr="00E47C50">
              <w:rPr>
                <w:sz w:val="24"/>
                <w:szCs w:val="24"/>
              </w:rPr>
              <w:t>“, „</w:t>
            </w:r>
            <w:r w:rsidRPr="00E47C50">
              <w:rPr>
                <w:b/>
                <w:i/>
                <w:sz w:val="24"/>
                <w:szCs w:val="24"/>
              </w:rPr>
              <w:t xml:space="preserve">Mėginiai su </w:t>
            </w:r>
            <w:r w:rsidRPr="00E47C50">
              <w:rPr>
                <w:b/>
                <w:i/>
                <w:sz w:val="24"/>
                <w:szCs w:val="24"/>
              </w:rPr>
              <w:lastRenderedPageBreak/>
              <w:t>aptinkama lipemija neturėtų būti atmetami, nes pakaitiniai mėginiai gali turėti panašias savybes, o perteklinių lipidų poveikis paciento mėginiuose krešėjimo tyrimų rezultatams yra mažas ir paprastai kliniškai nereikšmingas</w:t>
            </w:r>
            <w:r w:rsidRPr="00E47C50">
              <w:rPr>
                <w:sz w:val="24"/>
                <w:szCs w:val="24"/>
              </w:rPr>
              <w:t xml:space="preserve">“ (šaltinis: Kitchen S, Adcock DM, Dauer R, Kristoffersen AH, Lippi G, Mackie I, Marlar RA, Nair S. International Council for Standardization in Haematology (ICSH) recommendations for processing of blood samples for coagulation testing. Int J Lab Hematol. 2021 Dec;43(6):1272-1283. doi: 10.1111/ijlh.13702. Epub 2021 Sep 27. PMID: 34581008.). </w:t>
            </w:r>
          </w:p>
          <w:p w14:paraId="7811D183" w14:textId="44E79BFA" w:rsidR="009A0A5B" w:rsidRPr="00E47C50" w:rsidRDefault="009A0A5B" w:rsidP="007B0414">
            <w:pPr>
              <w:ind w:firstLine="318"/>
              <w:jc w:val="both"/>
              <w:rPr>
                <w:sz w:val="24"/>
                <w:szCs w:val="24"/>
              </w:rPr>
            </w:pPr>
            <w:r w:rsidRPr="00E47C50">
              <w:rPr>
                <w:sz w:val="24"/>
                <w:szCs w:val="24"/>
              </w:rPr>
              <w:t xml:space="preserve">Atsižvelgiant į aukščiau pateiktą informaciją, </w:t>
            </w:r>
            <w:r w:rsidRPr="00632463">
              <w:rPr>
                <w:b/>
                <w:bCs/>
                <w:sz w:val="24"/>
                <w:szCs w:val="24"/>
              </w:rPr>
              <w:t xml:space="preserve">8 punkto reikalavimas </w:t>
            </w:r>
            <w:r w:rsidRPr="005856B5">
              <w:rPr>
                <w:sz w:val="24"/>
                <w:szCs w:val="24"/>
              </w:rPr>
              <w:t xml:space="preserve">bus keičiamas, </w:t>
            </w:r>
            <w:r w:rsidRPr="005856B5">
              <w:rPr>
                <w:b/>
                <w:bCs/>
                <w:sz w:val="24"/>
                <w:szCs w:val="24"/>
              </w:rPr>
              <w:t>išbraukiant</w:t>
            </w:r>
            <w:r w:rsidRPr="005856B5">
              <w:rPr>
                <w:sz w:val="24"/>
                <w:szCs w:val="24"/>
              </w:rPr>
              <w:t xml:space="preserve"> „</w:t>
            </w:r>
            <w:r w:rsidRPr="005856B5">
              <w:rPr>
                <w:i/>
                <w:iCs/>
                <w:sz w:val="24"/>
                <w:szCs w:val="24"/>
              </w:rPr>
              <w:t>leidžianti be papildomų procedūrų išmatuoti normalias, bet kokio lygio lipemines, hemolizuotas ir ikterines plazmas</w:t>
            </w:r>
            <w:r w:rsidRPr="005856B5">
              <w:rPr>
                <w:sz w:val="24"/>
                <w:szCs w:val="24"/>
              </w:rPr>
              <w:t xml:space="preserve">“. </w:t>
            </w:r>
          </w:p>
          <w:p w14:paraId="5E9F81C1" w14:textId="77777777" w:rsidR="009A0A5B" w:rsidRPr="00626065" w:rsidRDefault="009A0A5B" w:rsidP="007B0414"/>
        </w:tc>
      </w:tr>
      <w:tr w:rsidR="009A0A5B" w:rsidRPr="00626065" w14:paraId="4D407E3D" w14:textId="77777777" w:rsidTr="007B0414">
        <w:tc>
          <w:tcPr>
            <w:tcW w:w="668" w:type="dxa"/>
          </w:tcPr>
          <w:p w14:paraId="7A237027" w14:textId="77777777" w:rsidR="009A0A5B" w:rsidRPr="00626065" w:rsidRDefault="009A0A5B" w:rsidP="007B0414">
            <w:pPr>
              <w:ind w:hanging="4"/>
              <w:jc w:val="center"/>
            </w:pPr>
            <w:r w:rsidRPr="00626065">
              <w:lastRenderedPageBreak/>
              <w:t>9.</w:t>
            </w:r>
          </w:p>
        </w:tc>
        <w:tc>
          <w:tcPr>
            <w:tcW w:w="6238" w:type="dxa"/>
          </w:tcPr>
          <w:p w14:paraId="3C92842D" w14:textId="77777777" w:rsidR="009A0A5B" w:rsidRPr="00626065" w:rsidRDefault="009A0A5B" w:rsidP="007B0414">
            <w:pPr>
              <w:jc w:val="both"/>
            </w:pPr>
            <w:r w:rsidRPr="00626065">
              <w:t>Reikalavimai PL:</w:t>
            </w:r>
          </w:p>
          <w:p w14:paraId="5BE57D80" w14:textId="77777777" w:rsidR="009A0A5B" w:rsidRPr="00626065" w:rsidRDefault="009A0A5B" w:rsidP="007B0414">
            <w:pPr>
              <w:jc w:val="both"/>
            </w:pPr>
            <w:r w:rsidRPr="00626065">
              <w:t>Analizatoriuje paruošta programa:</w:t>
            </w:r>
          </w:p>
          <w:p w14:paraId="0E0C7876" w14:textId="77777777" w:rsidR="009A0A5B" w:rsidRPr="00626065" w:rsidRDefault="009A0A5B" w:rsidP="007B0414">
            <w:pPr>
              <w:jc w:val="both"/>
            </w:pPr>
            <w:r w:rsidRPr="00626065">
              <w:t>Protrombino laiko (II-VII-X faktorių aktyvumo) nustatymui</w:t>
            </w:r>
            <w:r w:rsidRPr="005856B5">
              <w:t>, leidžianti be papildomų prodedūrų išmatuoti normalias, bet kokio lygio lipemines, hemolizuotas ir ikterines plazmas.</w:t>
            </w:r>
          </w:p>
        </w:tc>
        <w:tc>
          <w:tcPr>
            <w:tcW w:w="4536" w:type="dxa"/>
          </w:tcPr>
          <w:p w14:paraId="0F75FBFF" w14:textId="77777777" w:rsidR="009A0A5B" w:rsidRPr="00E876C7" w:rsidRDefault="009A0A5B" w:rsidP="007B0414">
            <w:pPr>
              <w:jc w:val="both"/>
              <w:rPr>
                <w:sz w:val="24"/>
                <w:szCs w:val="24"/>
              </w:rPr>
            </w:pPr>
            <w:r w:rsidRPr="00C81BF1">
              <w:rPr>
                <w:sz w:val="24"/>
                <w:szCs w:val="24"/>
                <w:highlight w:val="green"/>
              </w:rPr>
              <w:t>Tiekėjo B pastaba:</w:t>
            </w:r>
            <w:r>
              <w:rPr>
                <w:sz w:val="24"/>
                <w:szCs w:val="24"/>
              </w:rPr>
              <w:t xml:space="preserve"> </w:t>
            </w:r>
            <w:r w:rsidRPr="00E876C7">
              <w:rPr>
                <w:sz w:val="24"/>
                <w:szCs w:val="24"/>
              </w:rPr>
              <w:t xml:space="preserve">Punktas riboja konkurenciją nes yra pritaikytas išskirtinai  mechaniniam matavimo metodui. Tuomet, tiekėjams, siūlantiems kitokį matavimo metodą apribojama galimybė dalyvauti pirkime. Prašome punktą koreguoti sekančiai: "Analizatoriai turi nustatyti HIL </w:t>
            </w:r>
            <w:r w:rsidRPr="00E876C7">
              <w:rPr>
                <w:sz w:val="24"/>
                <w:szCs w:val="24"/>
              </w:rPr>
              <w:lastRenderedPageBreak/>
              <w:t>(hemolizę, bilirubino kiekį, lipemiją) ir įspėti vartotoją esant kritinėms vertėms".</w:t>
            </w:r>
          </w:p>
          <w:p w14:paraId="3C5110CC" w14:textId="77777777" w:rsidR="009A0A5B" w:rsidRPr="00626065" w:rsidRDefault="009A0A5B" w:rsidP="007B0414"/>
        </w:tc>
        <w:tc>
          <w:tcPr>
            <w:tcW w:w="3969" w:type="dxa"/>
          </w:tcPr>
          <w:p w14:paraId="0CFE2D91" w14:textId="77777777" w:rsidR="009A0A5B" w:rsidRPr="0023638C" w:rsidRDefault="009A0A5B" w:rsidP="007B0414">
            <w:pPr>
              <w:ind w:firstLine="318"/>
              <w:jc w:val="both"/>
              <w:rPr>
                <w:sz w:val="24"/>
                <w:szCs w:val="24"/>
              </w:rPr>
            </w:pPr>
            <w:r w:rsidRPr="0023638C">
              <w:rPr>
                <w:iCs/>
                <w:sz w:val="24"/>
                <w:szCs w:val="24"/>
              </w:rPr>
              <w:lastRenderedPageBreak/>
              <w:t xml:space="preserve">Priešingai nei </w:t>
            </w:r>
            <w:r>
              <w:rPr>
                <w:iCs/>
                <w:sz w:val="24"/>
                <w:szCs w:val="24"/>
              </w:rPr>
              <w:t xml:space="preserve">tiekėjo </w:t>
            </w:r>
            <w:r w:rsidRPr="0023638C">
              <w:rPr>
                <w:iCs/>
                <w:sz w:val="24"/>
                <w:szCs w:val="24"/>
              </w:rPr>
              <w:t xml:space="preserve">teigiama, </w:t>
            </w:r>
            <w:r w:rsidRPr="0023638C">
              <w:rPr>
                <w:sz w:val="24"/>
                <w:szCs w:val="24"/>
              </w:rPr>
              <w:t xml:space="preserve">nurodžius konkretų HIL lygį ar jo intervalą, </w:t>
            </w:r>
            <w:r w:rsidRPr="0023638C">
              <w:rPr>
                <w:iCs/>
                <w:sz w:val="24"/>
                <w:szCs w:val="24"/>
              </w:rPr>
              <w:t xml:space="preserve">bus ženkliai apribojama konkurencija - skirtingų gamintojų atstovaujami tiekėjai gali turėti skirtingų HIL lygių ar jų ribų analizatorius ir reagentus, todėl dėl šio </w:t>
            </w:r>
            <w:r w:rsidRPr="0023638C">
              <w:rPr>
                <w:iCs/>
                <w:sz w:val="24"/>
                <w:szCs w:val="24"/>
              </w:rPr>
              <w:lastRenderedPageBreak/>
              <w:t xml:space="preserve">konkretaus parametro gali neatitikti reikalavimų. </w:t>
            </w:r>
          </w:p>
          <w:p w14:paraId="0E26C3C8" w14:textId="04579C37" w:rsidR="009A0A5B" w:rsidRPr="005856B5" w:rsidRDefault="009A0A5B" w:rsidP="007B0414">
            <w:pPr>
              <w:ind w:firstLine="318"/>
              <w:jc w:val="both"/>
              <w:rPr>
                <w:iCs/>
                <w:sz w:val="24"/>
                <w:szCs w:val="24"/>
              </w:rPr>
            </w:pPr>
            <w:r w:rsidRPr="0023638C">
              <w:rPr>
                <w:iCs/>
                <w:sz w:val="24"/>
                <w:szCs w:val="24"/>
              </w:rPr>
              <w:t xml:space="preserve">Atsižvelgiant į aukščiau nurodytą informaciją, techninės specifikacijos </w:t>
            </w:r>
            <w:r w:rsidRPr="006D6199">
              <w:rPr>
                <w:b/>
                <w:bCs/>
                <w:iCs/>
                <w:sz w:val="24"/>
                <w:szCs w:val="24"/>
              </w:rPr>
              <w:t xml:space="preserve">9 punkto reikalavimas </w:t>
            </w:r>
            <w:r w:rsidRPr="005856B5">
              <w:rPr>
                <w:iCs/>
                <w:sz w:val="24"/>
                <w:szCs w:val="24"/>
              </w:rPr>
              <w:t xml:space="preserve">bus keičiamas, </w:t>
            </w:r>
            <w:r w:rsidRPr="005856B5">
              <w:rPr>
                <w:b/>
                <w:bCs/>
                <w:iCs/>
                <w:sz w:val="24"/>
                <w:szCs w:val="24"/>
              </w:rPr>
              <w:t>išbraukiant</w:t>
            </w:r>
            <w:r w:rsidRPr="005856B5">
              <w:rPr>
                <w:iCs/>
                <w:sz w:val="24"/>
                <w:szCs w:val="24"/>
              </w:rPr>
              <w:t xml:space="preserve"> „</w:t>
            </w:r>
            <w:r w:rsidRPr="005856B5">
              <w:rPr>
                <w:i/>
                <w:sz w:val="24"/>
                <w:szCs w:val="24"/>
              </w:rPr>
              <w:t>leidžianti be papildomų procedūrų išmatuoti normalias, bet kokio lygio lipemines, hemolizuotas ir ikterines plazmas“</w:t>
            </w:r>
            <w:r w:rsidRPr="005856B5">
              <w:rPr>
                <w:iCs/>
                <w:sz w:val="24"/>
                <w:szCs w:val="24"/>
              </w:rPr>
              <w:t xml:space="preserve">. </w:t>
            </w:r>
          </w:p>
          <w:p w14:paraId="00319AAA" w14:textId="77777777" w:rsidR="009A0A5B" w:rsidRPr="007B0414" w:rsidRDefault="009A0A5B" w:rsidP="007B0414">
            <w:pPr>
              <w:ind w:firstLine="318"/>
              <w:jc w:val="both"/>
              <w:rPr>
                <w:iCs/>
                <w:color w:val="FF0000"/>
                <w:sz w:val="24"/>
                <w:szCs w:val="24"/>
              </w:rPr>
            </w:pPr>
          </w:p>
          <w:p w14:paraId="0A07186B" w14:textId="77777777" w:rsidR="009A0A5B" w:rsidRPr="00626065" w:rsidRDefault="009A0A5B" w:rsidP="007B0414"/>
        </w:tc>
      </w:tr>
      <w:tr w:rsidR="009A0A5B" w:rsidRPr="00626065" w14:paraId="730F467F" w14:textId="77777777" w:rsidTr="007B0414">
        <w:tc>
          <w:tcPr>
            <w:tcW w:w="668" w:type="dxa"/>
          </w:tcPr>
          <w:p w14:paraId="3E37C94F" w14:textId="77777777" w:rsidR="009A0A5B" w:rsidRPr="00626065" w:rsidRDefault="009A0A5B" w:rsidP="007B0414">
            <w:pPr>
              <w:ind w:hanging="4"/>
              <w:jc w:val="center"/>
            </w:pPr>
            <w:r w:rsidRPr="00626065">
              <w:lastRenderedPageBreak/>
              <w:t>10.</w:t>
            </w:r>
          </w:p>
        </w:tc>
        <w:tc>
          <w:tcPr>
            <w:tcW w:w="6238" w:type="dxa"/>
          </w:tcPr>
          <w:p w14:paraId="7D32C079" w14:textId="77777777" w:rsidR="009A0A5B" w:rsidRPr="00D313F9" w:rsidRDefault="009A0A5B" w:rsidP="007B0414">
            <w:pPr>
              <w:jc w:val="both"/>
            </w:pPr>
            <w:r w:rsidRPr="00D313F9">
              <w:t>Reikalavimai FIB koncentracijos nustatymui:</w:t>
            </w:r>
          </w:p>
          <w:p w14:paraId="1F0EEDED" w14:textId="77777777" w:rsidR="009A0A5B" w:rsidRPr="00D313F9" w:rsidRDefault="009A0A5B" w:rsidP="007B0414">
            <w:pPr>
              <w:jc w:val="both"/>
            </w:pPr>
            <w:r w:rsidRPr="00D313F9">
              <w:t xml:space="preserve">Analizatoriuje paruošta programa fibrinogeno koncentracijos nustatymui Klauso metodu </w:t>
            </w:r>
            <w:r w:rsidRPr="005856B5">
              <w:t>ir leidžianti be papildomų procedūrų išmatuoti normalias, bet kokio lygio lipemines, hemolizuotas ir ikterines plazmas.</w:t>
            </w:r>
          </w:p>
        </w:tc>
        <w:tc>
          <w:tcPr>
            <w:tcW w:w="4536" w:type="dxa"/>
          </w:tcPr>
          <w:p w14:paraId="1ACA5C44" w14:textId="77777777" w:rsidR="009A0A5B" w:rsidRDefault="009A0A5B" w:rsidP="007B0414">
            <w:pPr>
              <w:jc w:val="both"/>
              <w:rPr>
                <w:sz w:val="24"/>
                <w:szCs w:val="24"/>
              </w:rPr>
            </w:pPr>
            <w:r w:rsidRPr="00C81BF1">
              <w:rPr>
                <w:sz w:val="24"/>
                <w:szCs w:val="24"/>
                <w:highlight w:val="green"/>
              </w:rPr>
              <w:t>Tiekėjo B pastaba:</w:t>
            </w:r>
            <w:r>
              <w:rPr>
                <w:sz w:val="24"/>
                <w:szCs w:val="24"/>
              </w:rPr>
              <w:t xml:space="preserve"> </w:t>
            </w:r>
            <w:r w:rsidRPr="00493717">
              <w:rPr>
                <w:sz w:val="24"/>
                <w:szCs w:val="24"/>
              </w:rPr>
              <w:t xml:space="preserve">Siekdami, kad konkurencija nebūtų dirbtinai apribota, siūlome koreguoti punktą dėl bet kokio lygio hemolizuoto, ikterinio ir/ar lipeminio (HIL) mėginio ištyrimo, papildant TS sąlygas reikalavimu tiksliai nurodyti (pažymėti gamintojo dokumentacijoje) kokio lygio HIL gali turėti įtakos rezultatams. Perkančioji organizacija turėtų pati numatyti ir prašyto tiekėjų pateikti galimas, ribines, HIL koncentracijas fibrinogeno matavime. Numatyti reikėtų tokias kliniškai patvirtintas ribines HIL koncentracijas, kurios neribotų konkurencijos. Pateikiame </w:t>
            </w:r>
            <w:r>
              <w:rPr>
                <w:sz w:val="24"/>
                <w:szCs w:val="24"/>
              </w:rPr>
              <w:t xml:space="preserve">X </w:t>
            </w:r>
            <w:r w:rsidRPr="00493717">
              <w:rPr>
                <w:sz w:val="24"/>
                <w:szCs w:val="24"/>
              </w:rPr>
              <w:t>gamintojo ribines HIL vertes:</w:t>
            </w:r>
          </w:p>
          <w:p w14:paraId="604254E6" w14:textId="77777777" w:rsidR="009A0A5B" w:rsidRPr="00493717" w:rsidRDefault="009A0A5B" w:rsidP="007B0414">
            <w:pPr>
              <w:rPr>
                <w:sz w:val="24"/>
                <w:szCs w:val="24"/>
              </w:rPr>
            </w:pPr>
            <w:r>
              <w:rPr>
                <w:noProof/>
                <w:lang w:val="en-US"/>
              </w:rPr>
              <w:drawing>
                <wp:inline distT="0" distB="0" distL="0" distR="0" wp14:anchorId="371FBFC3" wp14:editId="580C6724">
                  <wp:extent cx="2743200" cy="306705"/>
                  <wp:effectExtent l="0" t="0" r="0" b="0"/>
                  <wp:docPr id="1292007143" name="Picture 1"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07143" name="Picture 1" descr="A yellow and black text&#10;&#10;Description automatically generated"/>
                          <pic:cNvPicPr>
                            <a:picLocks noChangeAspect="1"/>
                          </pic:cNvPicPr>
                        </pic:nvPicPr>
                        <pic:blipFill>
                          <a:blip r:embed="rId8"/>
                          <a:stretch>
                            <a:fillRect/>
                          </a:stretch>
                        </pic:blipFill>
                        <pic:spPr>
                          <a:xfrm>
                            <a:off x="0" y="0"/>
                            <a:ext cx="2743200" cy="306705"/>
                          </a:xfrm>
                          <a:prstGeom prst="rect">
                            <a:avLst/>
                          </a:prstGeom>
                        </pic:spPr>
                      </pic:pic>
                    </a:graphicData>
                  </a:graphic>
                </wp:inline>
              </w:drawing>
            </w:r>
          </w:p>
          <w:p w14:paraId="6BBFDE3C" w14:textId="77777777" w:rsidR="009A0A5B" w:rsidRPr="00626065" w:rsidRDefault="009A0A5B" w:rsidP="007B0414"/>
        </w:tc>
        <w:tc>
          <w:tcPr>
            <w:tcW w:w="3969" w:type="dxa"/>
          </w:tcPr>
          <w:p w14:paraId="3ABD861A" w14:textId="77777777" w:rsidR="009A0A5B" w:rsidRPr="0023638C" w:rsidRDefault="009A0A5B" w:rsidP="007B0414">
            <w:pPr>
              <w:ind w:firstLine="318"/>
              <w:jc w:val="both"/>
              <w:rPr>
                <w:sz w:val="24"/>
                <w:szCs w:val="24"/>
              </w:rPr>
            </w:pPr>
            <w:r w:rsidRPr="0023638C">
              <w:rPr>
                <w:iCs/>
                <w:sz w:val="24"/>
                <w:szCs w:val="24"/>
              </w:rPr>
              <w:t xml:space="preserve">Priešingai nei </w:t>
            </w:r>
            <w:r>
              <w:rPr>
                <w:iCs/>
                <w:sz w:val="24"/>
                <w:szCs w:val="24"/>
              </w:rPr>
              <w:t xml:space="preserve">tiekėjo </w:t>
            </w:r>
            <w:r w:rsidRPr="0023638C">
              <w:rPr>
                <w:iCs/>
                <w:sz w:val="24"/>
                <w:szCs w:val="24"/>
              </w:rPr>
              <w:t xml:space="preserve">teigiama, </w:t>
            </w:r>
            <w:r w:rsidRPr="0023638C">
              <w:rPr>
                <w:sz w:val="24"/>
                <w:szCs w:val="24"/>
              </w:rPr>
              <w:t xml:space="preserve">nurodžius konkretų HIL lygį ar jo intervalą, </w:t>
            </w:r>
            <w:r w:rsidRPr="0023638C">
              <w:rPr>
                <w:iCs/>
                <w:sz w:val="24"/>
                <w:szCs w:val="24"/>
              </w:rPr>
              <w:t xml:space="preserve">bus ženkliai apribojama konkurencija - skirtingų gamintojų atstovaujami tiekėjai gali turėti skirtingų HIL lygių ar jų ribų analizatorius ir reagentus, todėl dėl šio konkretaus parametro gali neatitikti reikalavimų. </w:t>
            </w:r>
          </w:p>
          <w:p w14:paraId="13CE7947" w14:textId="3010AE04" w:rsidR="009A0A5B" w:rsidRPr="00626065" w:rsidRDefault="009A0A5B" w:rsidP="007B0414">
            <w:r w:rsidRPr="0023638C">
              <w:rPr>
                <w:iCs/>
                <w:sz w:val="24"/>
                <w:szCs w:val="24"/>
              </w:rPr>
              <w:t xml:space="preserve">Atsižvelgiant į aukščiau nurodytą informaciją, techninės specifikacijos </w:t>
            </w:r>
            <w:r>
              <w:rPr>
                <w:b/>
                <w:bCs/>
                <w:iCs/>
                <w:sz w:val="24"/>
                <w:szCs w:val="24"/>
              </w:rPr>
              <w:t>10</w:t>
            </w:r>
            <w:r w:rsidRPr="006D6199">
              <w:rPr>
                <w:b/>
                <w:bCs/>
                <w:iCs/>
                <w:sz w:val="24"/>
                <w:szCs w:val="24"/>
              </w:rPr>
              <w:t xml:space="preserve"> punkto reikalavimas </w:t>
            </w:r>
            <w:r w:rsidRPr="005856B5">
              <w:rPr>
                <w:iCs/>
                <w:sz w:val="24"/>
                <w:szCs w:val="24"/>
              </w:rPr>
              <w:t xml:space="preserve">bus keičiamas, </w:t>
            </w:r>
            <w:r w:rsidRPr="005856B5">
              <w:rPr>
                <w:b/>
                <w:bCs/>
                <w:iCs/>
                <w:sz w:val="24"/>
                <w:szCs w:val="24"/>
              </w:rPr>
              <w:t>išbraukiant</w:t>
            </w:r>
            <w:r w:rsidRPr="005856B5">
              <w:rPr>
                <w:iCs/>
                <w:sz w:val="24"/>
                <w:szCs w:val="24"/>
              </w:rPr>
              <w:t xml:space="preserve"> „</w:t>
            </w:r>
            <w:r w:rsidRPr="005856B5">
              <w:rPr>
                <w:i/>
                <w:sz w:val="24"/>
                <w:szCs w:val="24"/>
              </w:rPr>
              <w:t>leidžianti be papildomų procedūrų išmatuoti normalias, bet kokio lygio lipemines, hemolizuotas ir ikterines plazmas</w:t>
            </w:r>
            <w:r w:rsidRPr="005856B5">
              <w:rPr>
                <w:iCs/>
                <w:sz w:val="24"/>
                <w:szCs w:val="24"/>
              </w:rPr>
              <w:t xml:space="preserve">“. </w:t>
            </w:r>
          </w:p>
        </w:tc>
      </w:tr>
      <w:tr w:rsidR="009A0A5B" w:rsidRPr="00626065" w14:paraId="66296606" w14:textId="77777777" w:rsidTr="007B0414">
        <w:tc>
          <w:tcPr>
            <w:tcW w:w="668" w:type="dxa"/>
          </w:tcPr>
          <w:p w14:paraId="2C106EB3" w14:textId="77777777" w:rsidR="009A0A5B" w:rsidRPr="00626065" w:rsidRDefault="009A0A5B" w:rsidP="007B0414">
            <w:pPr>
              <w:ind w:hanging="4"/>
              <w:jc w:val="center"/>
            </w:pPr>
            <w:r w:rsidRPr="00626065">
              <w:t>11.</w:t>
            </w:r>
          </w:p>
        </w:tc>
        <w:tc>
          <w:tcPr>
            <w:tcW w:w="6238" w:type="dxa"/>
          </w:tcPr>
          <w:p w14:paraId="0D73868C" w14:textId="77777777" w:rsidR="009A0A5B" w:rsidRPr="00D313F9" w:rsidRDefault="009A0A5B" w:rsidP="007B0414">
            <w:pPr>
              <w:jc w:val="both"/>
            </w:pPr>
            <w:r w:rsidRPr="00D313F9">
              <w:t>Tiriami mėginiai – citruota plazma (normali, bet kokio lygio hemolizuota, ikterinė, lipeminė) turi būti ištiriama be papildomų procedūrų rutinos tyrimams.</w:t>
            </w:r>
          </w:p>
        </w:tc>
        <w:tc>
          <w:tcPr>
            <w:tcW w:w="4536" w:type="dxa"/>
          </w:tcPr>
          <w:p w14:paraId="23FD6135" w14:textId="77777777" w:rsidR="009A0A5B" w:rsidRPr="00AC0222" w:rsidRDefault="009A0A5B" w:rsidP="007B0414">
            <w:pPr>
              <w:jc w:val="both"/>
              <w:rPr>
                <w:sz w:val="24"/>
                <w:szCs w:val="24"/>
              </w:rPr>
            </w:pPr>
            <w:r w:rsidRPr="00C81BF1">
              <w:rPr>
                <w:sz w:val="24"/>
                <w:szCs w:val="24"/>
                <w:highlight w:val="green"/>
              </w:rPr>
              <w:t>Tiekėjo B pastaba:</w:t>
            </w:r>
            <w:r>
              <w:rPr>
                <w:sz w:val="24"/>
                <w:szCs w:val="24"/>
              </w:rPr>
              <w:t xml:space="preserve"> cituota plazma „</w:t>
            </w:r>
            <w:r w:rsidRPr="00120A9C">
              <w:rPr>
                <w:sz w:val="24"/>
                <w:szCs w:val="24"/>
              </w:rPr>
              <w:t>normali, bet kokio lygio hemolizuota, ikterinė, lipeminė</w:t>
            </w:r>
            <w:r>
              <w:rPr>
                <w:sz w:val="24"/>
                <w:szCs w:val="24"/>
              </w:rPr>
              <w:t>“</w:t>
            </w:r>
            <w:r w:rsidRPr="00AC0222">
              <w:rPr>
                <w:sz w:val="24"/>
                <w:szCs w:val="24"/>
              </w:rPr>
              <w:t xml:space="preserve"> yra perteklinė, atkartota pirkimo dokumentuose labai daug kartų, tačiau iš </w:t>
            </w:r>
            <w:r w:rsidRPr="00AC0222">
              <w:rPr>
                <w:sz w:val="24"/>
                <w:szCs w:val="24"/>
              </w:rPr>
              <w:lastRenderedPageBreak/>
              <w:t xml:space="preserve">esmės yra klaidinanti ir apribojanti konkurenciją. </w:t>
            </w:r>
          </w:p>
          <w:p w14:paraId="4A86F882" w14:textId="77777777" w:rsidR="009A0A5B" w:rsidRPr="00AC0222" w:rsidRDefault="009A0A5B" w:rsidP="007B0414">
            <w:pPr>
              <w:jc w:val="both"/>
              <w:rPr>
                <w:sz w:val="24"/>
                <w:szCs w:val="24"/>
              </w:rPr>
            </w:pPr>
          </w:p>
          <w:p w14:paraId="36F86D4B" w14:textId="77777777" w:rsidR="009A0A5B" w:rsidRPr="00AC0222" w:rsidRDefault="009A0A5B" w:rsidP="007B0414">
            <w:pPr>
              <w:jc w:val="both"/>
              <w:rPr>
                <w:sz w:val="24"/>
                <w:szCs w:val="24"/>
              </w:rPr>
            </w:pPr>
            <w:r w:rsidRPr="00AC0222">
              <w:rPr>
                <w:sz w:val="24"/>
                <w:szCs w:val="24"/>
              </w:rPr>
              <w:t xml:space="preserve">Kiekvieną analitę ir HIL įtaką rezultatui reikia įvertinti individualiai, atsižvelgiant į kiekvieno gamintojo analizatoriaus  specifiką bei reagentų ir metodo ypatumus. Preanalitika yra ypač svarbus procesas tyrimo rezultatų patikimumo atžvilgiu. Preanalitikos klaidos gali sudaryti net 60 - 70% visų laboratorijoje galinčių įvykti klaidų. </w:t>
            </w:r>
          </w:p>
          <w:p w14:paraId="73859675" w14:textId="77777777" w:rsidR="009A0A5B" w:rsidRPr="00AC0222" w:rsidRDefault="009A0A5B" w:rsidP="007B0414">
            <w:pPr>
              <w:jc w:val="both"/>
              <w:rPr>
                <w:sz w:val="24"/>
                <w:szCs w:val="24"/>
              </w:rPr>
            </w:pPr>
          </w:p>
          <w:p w14:paraId="66E9F9E4" w14:textId="77777777" w:rsidR="009A0A5B" w:rsidRPr="00AC0222" w:rsidRDefault="009A0A5B" w:rsidP="007B0414">
            <w:pPr>
              <w:jc w:val="both"/>
              <w:rPr>
                <w:sz w:val="24"/>
                <w:szCs w:val="24"/>
              </w:rPr>
            </w:pPr>
            <w:r w:rsidRPr="00AC0222">
              <w:rPr>
                <w:sz w:val="24"/>
                <w:szCs w:val="24"/>
              </w:rPr>
              <w:t xml:space="preserve">Rinkoje yra analizatorių su preanalitikos funkcija, kurie pažangiais metodais aptinka ir nustato HIL įtaką rezultatui. Pvz.: Werfen gaminami ACL TOP 50-osios serijos analizatoriai. Tačiau pagal šios specifikacijos reikalavimus jie negalės būti siūlomi. Siekiant, kad pažangūs sprendimai taptų prieinami, pabrėžiame, kad ypač svarbu, jog į visas </w:t>
            </w:r>
            <w:r>
              <w:rPr>
                <w:sz w:val="24"/>
                <w:szCs w:val="24"/>
              </w:rPr>
              <w:t>tiekėjo</w:t>
            </w:r>
            <w:r w:rsidRPr="00AC0222">
              <w:rPr>
                <w:sz w:val="24"/>
                <w:szCs w:val="24"/>
              </w:rPr>
              <w:t xml:space="preserve"> pastabas būtų atsižvelgta.</w:t>
            </w:r>
          </w:p>
          <w:p w14:paraId="3924958B" w14:textId="77777777" w:rsidR="009A0A5B" w:rsidRPr="00AC0222" w:rsidRDefault="009A0A5B" w:rsidP="007B0414">
            <w:pPr>
              <w:jc w:val="both"/>
              <w:rPr>
                <w:sz w:val="24"/>
                <w:szCs w:val="24"/>
              </w:rPr>
            </w:pPr>
          </w:p>
          <w:p w14:paraId="4B89B6AF" w14:textId="77777777" w:rsidR="009A0A5B" w:rsidRPr="00626065" w:rsidRDefault="009A0A5B" w:rsidP="007B0414">
            <w:pPr>
              <w:jc w:val="both"/>
            </w:pPr>
            <w:r w:rsidRPr="00AC0222">
              <w:rPr>
                <w:sz w:val="24"/>
                <w:szCs w:val="24"/>
              </w:rPr>
              <w:t>Siūlome šalia kiekvieno tokio reikalavimo „bet kokio lygio HIL“ iš anksto numatyti, kad analizatoriai su preanalitikos funkcija yra lygiavertis sprendimas.</w:t>
            </w:r>
          </w:p>
        </w:tc>
        <w:tc>
          <w:tcPr>
            <w:tcW w:w="3969" w:type="dxa"/>
          </w:tcPr>
          <w:p w14:paraId="7D323275" w14:textId="77777777" w:rsidR="009A0A5B" w:rsidRDefault="009A0A5B" w:rsidP="007B0414">
            <w:pPr>
              <w:jc w:val="both"/>
              <w:rPr>
                <w:color w:val="000000" w:themeColor="text1"/>
                <w:sz w:val="24"/>
                <w:szCs w:val="24"/>
              </w:rPr>
            </w:pPr>
            <w:r>
              <w:rPr>
                <w:color w:val="000000" w:themeColor="text1"/>
                <w:sz w:val="24"/>
                <w:szCs w:val="24"/>
              </w:rPr>
              <w:lastRenderedPageBreak/>
              <w:t>G</w:t>
            </w:r>
            <w:r w:rsidRPr="005115C7">
              <w:rPr>
                <w:color w:val="000000" w:themeColor="text1"/>
                <w:sz w:val="24"/>
                <w:szCs w:val="24"/>
              </w:rPr>
              <w:t xml:space="preserve">alimybė </w:t>
            </w:r>
            <w:r w:rsidRPr="005115C7">
              <w:rPr>
                <w:bCs/>
                <w:color w:val="000000" w:themeColor="text1"/>
                <w:sz w:val="24"/>
                <w:szCs w:val="24"/>
              </w:rPr>
              <w:t>be papildomų procedūrų ištirti lipeminius, hemolizuotus ir ikterinius mėginius</w:t>
            </w:r>
            <w:r w:rsidRPr="005115C7">
              <w:rPr>
                <w:color w:val="000000" w:themeColor="text1"/>
                <w:sz w:val="24"/>
                <w:szCs w:val="24"/>
              </w:rPr>
              <w:t xml:space="preserve"> yra svarbi dėl šių </w:t>
            </w:r>
            <w:r w:rsidRPr="005115C7">
              <w:rPr>
                <w:color w:val="000000" w:themeColor="text1"/>
                <w:sz w:val="24"/>
                <w:szCs w:val="24"/>
              </w:rPr>
              <w:lastRenderedPageBreak/>
              <w:t xml:space="preserve">moksliniais įrodymais pagrįstų priežasčių: </w:t>
            </w:r>
          </w:p>
          <w:p w14:paraId="09C6BF5F" w14:textId="77777777" w:rsidR="009A0A5B" w:rsidRDefault="009A0A5B" w:rsidP="009A0A5B">
            <w:pPr>
              <w:pStyle w:val="Sraopastraipa"/>
              <w:numPr>
                <w:ilvl w:val="2"/>
                <w:numId w:val="1"/>
              </w:numPr>
              <w:tabs>
                <w:tab w:val="left" w:pos="460"/>
              </w:tabs>
              <w:ind w:left="176" w:firstLine="0"/>
              <w:jc w:val="both"/>
              <w:rPr>
                <w:bCs/>
                <w:color w:val="000000" w:themeColor="text1"/>
                <w:sz w:val="24"/>
                <w:szCs w:val="24"/>
              </w:rPr>
            </w:pPr>
            <w:r w:rsidRPr="00E34374">
              <w:rPr>
                <w:color w:val="000000" w:themeColor="text1"/>
                <w:sz w:val="24"/>
                <w:szCs w:val="24"/>
              </w:rPr>
              <w:t xml:space="preserve">yra </w:t>
            </w:r>
            <w:r w:rsidRPr="00E34374">
              <w:rPr>
                <w:bCs/>
                <w:color w:val="000000" w:themeColor="text1"/>
                <w:sz w:val="24"/>
                <w:szCs w:val="24"/>
              </w:rPr>
              <w:t>nemaža lipeminių, hemolizuotų ir ikterinių mėginių dalis, kurių neįmanoma išvengti dėl objektyvių ir subjektyvių priežasčių;</w:t>
            </w:r>
          </w:p>
          <w:p w14:paraId="28A86592" w14:textId="77777777" w:rsidR="009A0A5B" w:rsidRDefault="009A0A5B" w:rsidP="009A0A5B">
            <w:pPr>
              <w:pStyle w:val="Sraopastraipa"/>
              <w:numPr>
                <w:ilvl w:val="2"/>
                <w:numId w:val="1"/>
              </w:numPr>
              <w:tabs>
                <w:tab w:val="left" w:pos="460"/>
              </w:tabs>
              <w:ind w:left="176" w:firstLine="0"/>
              <w:jc w:val="both"/>
              <w:rPr>
                <w:bCs/>
                <w:color w:val="000000" w:themeColor="text1"/>
                <w:sz w:val="24"/>
                <w:szCs w:val="24"/>
              </w:rPr>
            </w:pPr>
            <w:r w:rsidRPr="00E34374">
              <w:rPr>
                <w:bCs/>
                <w:color w:val="000000" w:themeColor="text1"/>
                <w:sz w:val="24"/>
                <w:szCs w:val="24"/>
              </w:rPr>
              <w:t xml:space="preserve">pakartotinio kraujo mėginio ėmimo išvengimas; </w:t>
            </w:r>
          </w:p>
          <w:p w14:paraId="373C1367" w14:textId="62A1B280" w:rsidR="009A0A5B" w:rsidRPr="0086549A" w:rsidRDefault="009A0A5B" w:rsidP="009A0A5B">
            <w:pPr>
              <w:pStyle w:val="Sraopastraipa"/>
              <w:numPr>
                <w:ilvl w:val="2"/>
                <w:numId w:val="1"/>
              </w:numPr>
              <w:tabs>
                <w:tab w:val="left" w:pos="460"/>
              </w:tabs>
              <w:ind w:left="176" w:firstLine="0"/>
              <w:jc w:val="both"/>
              <w:rPr>
                <w:sz w:val="24"/>
                <w:szCs w:val="24"/>
              </w:rPr>
            </w:pPr>
            <w:r w:rsidRPr="0086549A">
              <w:rPr>
                <w:bCs/>
                <w:color w:val="000000" w:themeColor="text1"/>
                <w:sz w:val="24"/>
                <w:szCs w:val="24"/>
              </w:rPr>
              <w:t xml:space="preserve">laboratorijos darbo efektyvumo ir tyrimų rezultatų gavimo greičio. Poliklinikos turima informacija, analizatorius ir reagentus su galimybe be papildomų procedūrų ištirti lipeminius, hemolizuotus ir ikterinius mėginius gamina ne </w:t>
            </w:r>
            <w:r w:rsidR="0086549A" w:rsidRPr="0086549A">
              <w:rPr>
                <w:bCs/>
                <w:color w:val="000000" w:themeColor="text1"/>
                <w:sz w:val="24"/>
                <w:szCs w:val="24"/>
              </w:rPr>
              <w:t>mažiau kaip 3</w:t>
            </w:r>
            <w:r w:rsidRPr="0086549A">
              <w:rPr>
                <w:bCs/>
                <w:color w:val="000000" w:themeColor="text1"/>
                <w:sz w:val="24"/>
                <w:szCs w:val="24"/>
              </w:rPr>
              <w:t xml:space="preserve"> gamintoja</w:t>
            </w:r>
            <w:r w:rsidR="0086549A" w:rsidRPr="0086549A">
              <w:rPr>
                <w:bCs/>
                <w:color w:val="000000" w:themeColor="text1"/>
                <w:sz w:val="24"/>
                <w:szCs w:val="24"/>
              </w:rPr>
              <w:t>i</w:t>
            </w:r>
            <w:r w:rsidRPr="0086549A">
              <w:rPr>
                <w:bCs/>
                <w:color w:val="000000" w:themeColor="text1"/>
                <w:sz w:val="24"/>
                <w:szCs w:val="24"/>
              </w:rPr>
              <w:t xml:space="preserve">: </w:t>
            </w:r>
            <w:r w:rsidRPr="0086549A">
              <w:rPr>
                <w:sz w:val="24"/>
                <w:szCs w:val="24"/>
              </w:rPr>
              <w:t xml:space="preserve">1. Diagnostica Stago, STA Compact Max; 2. </w:t>
            </w:r>
            <w:proofErr w:type="spellStart"/>
            <w:r w:rsidRPr="0086549A">
              <w:rPr>
                <w:sz w:val="24"/>
                <w:szCs w:val="24"/>
              </w:rPr>
              <w:t>Mindray</w:t>
            </w:r>
            <w:proofErr w:type="spellEnd"/>
            <w:r w:rsidR="0086549A">
              <w:rPr>
                <w:sz w:val="24"/>
                <w:szCs w:val="24"/>
              </w:rPr>
              <w:t xml:space="preserve"> - </w:t>
            </w:r>
            <w:r w:rsidRPr="0086549A">
              <w:rPr>
                <w:sz w:val="24"/>
                <w:szCs w:val="24"/>
              </w:rPr>
              <w:t>C3510; 3. Succeeder SF-810. </w:t>
            </w:r>
          </w:p>
          <w:p w14:paraId="16C134D5" w14:textId="77777777" w:rsidR="009A0A5B" w:rsidRPr="00E34374" w:rsidRDefault="009A0A5B" w:rsidP="007B0414">
            <w:pPr>
              <w:pStyle w:val="Sraopastraipa"/>
              <w:tabs>
                <w:tab w:val="left" w:pos="460"/>
              </w:tabs>
              <w:ind w:left="176" w:firstLine="284"/>
              <w:jc w:val="both"/>
              <w:rPr>
                <w:bCs/>
                <w:color w:val="000000" w:themeColor="text1"/>
                <w:sz w:val="24"/>
                <w:szCs w:val="24"/>
              </w:rPr>
            </w:pPr>
            <w:r w:rsidRPr="00E34374">
              <w:rPr>
                <w:bCs/>
                <w:color w:val="000000" w:themeColor="text1"/>
                <w:sz w:val="24"/>
                <w:szCs w:val="24"/>
              </w:rPr>
              <w:t xml:space="preserve">Atsižvelgiant į aukščiau pateiktą informaciją, </w:t>
            </w:r>
            <w:r w:rsidRPr="000C10EE">
              <w:rPr>
                <w:b/>
                <w:color w:val="000000" w:themeColor="text1"/>
                <w:sz w:val="24"/>
                <w:szCs w:val="24"/>
              </w:rPr>
              <w:t>11 punkto reikalavimas nebus keičiamas.</w:t>
            </w:r>
            <w:r w:rsidRPr="00E34374">
              <w:rPr>
                <w:bCs/>
                <w:color w:val="000000" w:themeColor="text1"/>
                <w:sz w:val="24"/>
                <w:szCs w:val="24"/>
              </w:rPr>
              <w:t xml:space="preserve"> </w:t>
            </w:r>
          </w:p>
          <w:p w14:paraId="0D147DC3" w14:textId="77777777" w:rsidR="009A0A5B" w:rsidRPr="00626065" w:rsidRDefault="009A0A5B" w:rsidP="007B0414"/>
        </w:tc>
      </w:tr>
      <w:tr w:rsidR="009A0A5B" w:rsidRPr="00626065" w14:paraId="6B69B520" w14:textId="77777777" w:rsidTr="007B0414">
        <w:tc>
          <w:tcPr>
            <w:tcW w:w="668" w:type="dxa"/>
          </w:tcPr>
          <w:p w14:paraId="5D3BD942" w14:textId="77777777" w:rsidR="009A0A5B" w:rsidRPr="00626065" w:rsidRDefault="009A0A5B" w:rsidP="007B0414">
            <w:pPr>
              <w:ind w:hanging="4"/>
              <w:jc w:val="center"/>
            </w:pPr>
            <w:r w:rsidRPr="00626065">
              <w:lastRenderedPageBreak/>
              <w:t>12.</w:t>
            </w:r>
          </w:p>
        </w:tc>
        <w:tc>
          <w:tcPr>
            <w:tcW w:w="6238" w:type="dxa"/>
          </w:tcPr>
          <w:p w14:paraId="5C0A9417" w14:textId="77777777" w:rsidR="009A0A5B" w:rsidRPr="00626065" w:rsidRDefault="009A0A5B" w:rsidP="007B0414">
            <w:pPr>
              <w:jc w:val="both"/>
            </w:pPr>
            <w:r w:rsidRPr="00626065">
              <w:t xml:space="preserve">Analizatorius privalo turėti dvikryptę komunikaciją standartiniu protokolu (ASTM arba HL7) su laboratorijoje įdiegta informacine sistema </w:t>
            </w:r>
            <w:r w:rsidRPr="00626065">
              <w:rPr>
                <w:rFonts w:eastAsia="Calibri"/>
              </w:rPr>
              <w:t>OpenLims, Stapro s. r. o., Čekija.</w:t>
            </w:r>
          </w:p>
        </w:tc>
        <w:tc>
          <w:tcPr>
            <w:tcW w:w="4536" w:type="dxa"/>
          </w:tcPr>
          <w:p w14:paraId="1CE00B67" w14:textId="77777777" w:rsidR="009A0A5B" w:rsidRPr="00626065" w:rsidRDefault="009A0A5B" w:rsidP="007B0414"/>
        </w:tc>
        <w:tc>
          <w:tcPr>
            <w:tcW w:w="3969" w:type="dxa"/>
          </w:tcPr>
          <w:p w14:paraId="5A22281D" w14:textId="77777777" w:rsidR="009A0A5B" w:rsidRPr="00626065" w:rsidRDefault="009A0A5B" w:rsidP="007B0414"/>
        </w:tc>
      </w:tr>
      <w:tr w:rsidR="009A0A5B" w:rsidRPr="00626065" w14:paraId="3465BFE5" w14:textId="77777777" w:rsidTr="007B0414">
        <w:tc>
          <w:tcPr>
            <w:tcW w:w="668" w:type="dxa"/>
          </w:tcPr>
          <w:p w14:paraId="51568F99" w14:textId="77777777" w:rsidR="009A0A5B" w:rsidRPr="00626065" w:rsidRDefault="009A0A5B" w:rsidP="007B0414">
            <w:pPr>
              <w:ind w:hanging="4"/>
              <w:jc w:val="center"/>
            </w:pPr>
            <w:r w:rsidRPr="00626065">
              <w:t>13.</w:t>
            </w:r>
          </w:p>
        </w:tc>
        <w:tc>
          <w:tcPr>
            <w:tcW w:w="6238" w:type="dxa"/>
          </w:tcPr>
          <w:p w14:paraId="00CFCDE8" w14:textId="77777777" w:rsidR="009A0A5B" w:rsidRPr="00626065" w:rsidRDefault="009A0A5B" w:rsidP="007B0414">
            <w:pPr>
              <w:jc w:val="both"/>
              <w:rPr>
                <w:rFonts w:eastAsia="Calibri"/>
              </w:rPr>
            </w:pPr>
            <w:r w:rsidRPr="00626065">
              <w:rPr>
                <w:rFonts w:eastAsia="Calibri"/>
              </w:rPr>
              <w:t>Analizatorius turi būti pagamintas ne anksčiau kaip 2021 metais (tinkamais įrodymais bus laikoma gamintojo informacija apie analizatoriaus pagaminimo datą, serijos numerį ir kt.)</w:t>
            </w:r>
          </w:p>
        </w:tc>
        <w:tc>
          <w:tcPr>
            <w:tcW w:w="4536" w:type="dxa"/>
          </w:tcPr>
          <w:p w14:paraId="3F1AF148" w14:textId="77777777" w:rsidR="009A0A5B" w:rsidRPr="00626065" w:rsidRDefault="009A0A5B" w:rsidP="007B0414"/>
        </w:tc>
        <w:tc>
          <w:tcPr>
            <w:tcW w:w="3969" w:type="dxa"/>
          </w:tcPr>
          <w:p w14:paraId="07A73340" w14:textId="77777777" w:rsidR="009A0A5B" w:rsidRPr="00626065" w:rsidRDefault="009A0A5B" w:rsidP="007B0414"/>
        </w:tc>
      </w:tr>
      <w:tr w:rsidR="009A0A5B" w:rsidRPr="00626065" w14:paraId="1CFD828B" w14:textId="77777777" w:rsidTr="007B0414">
        <w:tc>
          <w:tcPr>
            <w:tcW w:w="668" w:type="dxa"/>
          </w:tcPr>
          <w:p w14:paraId="3E7F7D06" w14:textId="77777777" w:rsidR="009A0A5B" w:rsidRPr="00626065" w:rsidRDefault="009A0A5B" w:rsidP="007B0414">
            <w:pPr>
              <w:ind w:hanging="4"/>
              <w:jc w:val="center"/>
            </w:pPr>
            <w:r w:rsidRPr="00626065">
              <w:lastRenderedPageBreak/>
              <w:t>14.</w:t>
            </w:r>
          </w:p>
        </w:tc>
        <w:tc>
          <w:tcPr>
            <w:tcW w:w="6238" w:type="dxa"/>
          </w:tcPr>
          <w:p w14:paraId="3BEC17F0" w14:textId="77777777" w:rsidR="009A0A5B" w:rsidRPr="00626065" w:rsidRDefault="009A0A5B" w:rsidP="007B0414">
            <w:pPr>
              <w:jc w:val="both"/>
            </w:pPr>
            <w:r w:rsidRPr="00626065">
              <w:rPr>
                <w:rFonts w:eastAsia="Calibri"/>
              </w:rPr>
              <w:t>Analizatorius turi būti paženklintas CE arba lygiaverčiu ženklu. Pateikti galiojančius sertifikatus originalo ir lietuvių kalba.</w:t>
            </w:r>
          </w:p>
        </w:tc>
        <w:tc>
          <w:tcPr>
            <w:tcW w:w="4536" w:type="dxa"/>
          </w:tcPr>
          <w:p w14:paraId="6B5F13F9" w14:textId="77777777" w:rsidR="009A0A5B" w:rsidRPr="00626065" w:rsidRDefault="009A0A5B" w:rsidP="007B0414"/>
        </w:tc>
        <w:tc>
          <w:tcPr>
            <w:tcW w:w="3969" w:type="dxa"/>
          </w:tcPr>
          <w:p w14:paraId="398E23BB" w14:textId="77777777" w:rsidR="009A0A5B" w:rsidRPr="00626065" w:rsidRDefault="009A0A5B" w:rsidP="007B0414"/>
        </w:tc>
      </w:tr>
      <w:tr w:rsidR="009A0A5B" w:rsidRPr="00626065" w14:paraId="6ABC4468" w14:textId="77777777" w:rsidTr="007B0414">
        <w:tc>
          <w:tcPr>
            <w:tcW w:w="668" w:type="dxa"/>
          </w:tcPr>
          <w:p w14:paraId="4485DE85" w14:textId="77777777" w:rsidR="009A0A5B" w:rsidRPr="00626065" w:rsidRDefault="009A0A5B" w:rsidP="007B0414">
            <w:pPr>
              <w:jc w:val="center"/>
            </w:pPr>
            <w:r w:rsidRPr="00626065">
              <w:t>15.</w:t>
            </w:r>
          </w:p>
        </w:tc>
        <w:tc>
          <w:tcPr>
            <w:tcW w:w="6238" w:type="dxa"/>
          </w:tcPr>
          <w:p w14:paraId="5EB66DDB" w14:textId="77777777" w:rsidR="009A0A5B" w:rsidRPr="00626065" w:rsidRDefault="009A0A5B" w:rsidP="007B0414">
            <w:pPr>
              <w:jc w:val="both"/>
              <w:rPr>
                <w:rFonts w:eastAsia="Calibri"/>
              </w:rPr>
            </w:pPr>
            <w:r w:rsidRPr="00626065">
              <w:rPr>
                <w:rFonts w:eastAsia="Calibri"/>
              </w:rPr>
              <w:t>Programinės įrangos funkcionalumai:</w:t>
            </w:r>
          </w:p>
          <w:p w14:paraId="17A146B9" w14:textId="77777777" w:rsidR="009A0A5B" w:rsidRPr="007B0414" w:rsidRDefault="009A0A5B" w:rsidP="007B0414">
            <w:pPr>
              <w:jc w:val="both"/>
              <w:rPr>
                <w:rFonts w:eastAsia="Calibri"/>
                <w:lang w:val="fi-FI"/>
              </w:rPr>
            </w:pPr>
            <w:r w:rsidRPr="00626065">
              <w:t xml:space="preserve">a) </w:t>
            </w:r>
            <w:r w:rsidRPr="007B0414">
              <w:rPr>
                <w:rFonts w:eastAsia="Calibri"/>
              </w:rPr>
              <w:t xml:space="preserve">programinė įranga turi turėti automatinę tyrimo atlikimo laiko skaičiavimo funkciją (angl. </w:t>
            </w:r>
            <w:r w:rsidRPr="007B0414">
              <w:rPr>
                <w:rFonts w:eastAsia="Calibri"/>
                <w:lang w:val="fi-FI"/>
              </w:rPr>
              <w:t>TAT), teikti įspėjimus, kai tyrimo laikas viršija nustatytą maksimalų laiką.</w:t>
            </w:r>
          </w:p>
          <w:p w14:paraId="2122EAB8" w14:textId="77777777" w:rsidR="009A0A5B" w:rsidRPr="007B0414" w:rsidRDefault="009A0A5B" w:rsidP="007B0414">
            <w:pPr>
              <w:jc w:val="both"/>
              <w:rPr>
                <w:rFonts w:eastAsia="Calibri"/>
                <w:highlight w:val="yellow"/>
                <w:lang w:val="fi-FI"/>
              </w:rPr>
            </w:pPr>
            <w:r w:rsidRPr="00626065">
              <w:t xml:space="preserve">b)  </w:t>
            </w:r>
            <w:r w:rsidRPr="007B0414">
              <w:rPr>
                <w:rFonts w:eastAsia="Calibri"/>
                <w:lang w:val="fi-FI"/>
              </w:rPr>
              <w:t xml:space="preserve">programinė įranga turi turėti </w:t>
            </w:r>
            <w:r w:rsidRPr="00626065">
              <w:rPr>
                <w:rFonts w:eastAsia="Calibri"/>
              </w:rPr>
              <w:t>vidinės kokybės kontrolės rezultatų palyginimą su kitų laboratorijų kokybės kontrolės rezultatais realiu laiku.</w:t>
            </w:r>
          </w:p>
        </w:tc>
        <w:tc>
          <w:tcPr>
            <w:tcW w:w="4536" w:type="dxa"/>
          </w:tcPr>
          <w:p w14:paraId="53936192" w14:textId="77777777" w:rsidR="009A0A5B" w:rsidRPr="00626065" w:rsidRDefault="009A0A5B" w:rsidP="007B0414"/>
        </w:tc>
        <w:tc>
          <w:tcPr>
            <w:tcW w:w="3969" w:type="dxa"/>
          </w:tcPr>
          <w:p w14:paraId="5812F7E0" w14:textId="77777777" w:rsidR="009A0A5B" w:rsidRPr="00626065" w:rsidRDefault="009A0A5B" w:rsidP="007B0414"/>
        </w:tc>
      </w:tr>
      <w:tr w:rsidR="009A0A5B" w:rsidRPr="00626065" w14:paraId="0599D954" w14:textId="77777777" w:rsidTr="007B0414">
        <w:tc>
          <w:tcPr>
            <w:tcW w:w="668" w:type="dxa"/>
          </w:tcPr>
          <w:p w14:paraId="53994988" w14:textId="77777777" w:rsidR="009A0A5B" w:rsidRPr="00626065" w:rsidRDefault="009A0A5B" w:rsidP="007B0414">
            <w:pPr>
              <w:jc w:val="center"/>
            </w:pPr>
          </w:p>
        </w:tc>
        <w:tc>
          <w:tcPr>
            <w:tcW w:w="6238" w:type="dxa"/>
          </w:tcPr>
          <w:p w14:paraId="3AA6DAFF" w14:textId="77777777" w:rsidR="009A0A5B" w:rsidRPr="00626065" w:rsidRDefault="009A0A5B" w:rsidP="007B0414">
            <w:pPr>
              <w:jc w:val="both"/>
              <w:rPr>
                <w:rFonts w:eastAsia="Calibri"/>
              </w:rPr>
            </w:pPr>
          </w:p>
        </w:tc>
        <w:tc>
          <w:tcPr>
            <w:tcW w:w="4536" w:type="dxa"/>
          </w:tcPr>
          <w:p w14:paraId="2E2C3464" w14:textId="77777777" w:rsidR="009A0A5B" w:rsidRPr="001B737D" w:rsidRDefault="009A0A5B" w:rsidP="007B0414">
            <w:pPr>
              <w:jc w:val="both"/>
              <w:rPr>
                <w:sz w:val="24"/>
                <w:szCs w:val="24"/>
              </w:rPr>
            </w:pPr>
            <w:r w:rsidRPr="005A5AAB">
              <w:rPr>
                <w:sz w:val="24"/>
                <w:szCs w:val="24"/>
                <w:highlight w:val="yellow"/>
              </w:rPr>
              <w:t>Tiekėjo A pastaba:</w:t>
            </w:r>
            <w:r>
              <w:rPr>
                <w:sz w:val="24"/>
                <w:szCs w:val="24"/>
              </w:rPr>
              <w:t xml:space="preserve"> P</w:t>
            </w:r>
            <w:r w:rsidRPr="008146AA">
              <w:rPr>
                <w:sz w:val="24"/>
                <w:szCs w:val="24"/>
              </w:rPr>
              <w:t xml:space="preserve">aminėtina, kad </w:t>
            </w:r>
            <w:r w:rsidRPr="008146AA">
              <w:rPr>
                <w:b/>
                <w:bCs/>
                <w:sz w:val="24"/>
                <w:szCs w:val="24"/>
              </w:rPr>
              <w:t>visumą techninių reikalavimų, nustatytų planuojamo vykdyti pirkimo dokumentuose, atitinka išimtinai tik gamintojo STAGO gaminama įranga, atitinkamai, tik vienintelis tiekėjas UAB Diagnostinės sistemos turi teisę šį gamintoją atstovauti</w:t>
            </w:r>
            <w:r w:rsidRPr="008146AA">
              <w:rPr>
                <w:sz w:val="24"/>
                <w:szCs w:val="24"/>
              </w:rPr>
              <w:t>. Planuojamo vykdyti pirkimo dokumentai yra akivaizdžiai pritaikyti konkrečiam tiekėjui. Taip pat paminėtina, kad techniniuose dokumentuose yra ir kitų nuostatų, pvz. reikalavimas įrangos pagaminimo metams, pagal kurį neskaidrų ir neteisėtą pranašumą turėtų tas pats aukščiau minėtas tiekėjas, kuris, iš viešai prieinamų duomenų, dabar yra pateikęs savo 2022 m. gamybos įrangą adresu Šeškinės g. 24, Vilnius, dėl ko jam nereikėtų papildytų išlaidų (skirtingai nei kitiems tiekėjams, dažniausiai siūlantiems vos poros metų senumo analizatorius, kuriuos tektų pristatyti).</w:t>
            </w:r>
          </w:p>
          <w:p w14:paraId="70E2AC4E" w14:textId="77777777" w:rsidR="009A0A5B" w:rsidRPr="00626065" w:rsidRDefault="009A0A5B" w:rsidP="007B0414"/>
        </w:tc>
        <w:tc>
          <w:tcPr>
            <w:tcW w:w="3969" w:type="dxa"/>
          </w:tcPr>
          <w:p w14:paraId="42F90D38" w14:textId="77777777" w:rsidR="009A0A5B" w:rsidRDefault="009A0A5B" w:rsidP="007B0414">
            <w:pPr>
              <w:spacing w:line="276" w:lineRule="auto"/>
              <w:jc w:val="both"/>
              <w:rPr>
                <w:sz w:val="24"/>
                <w:szCs w:val="24"/>
              </w:rPr>
            </w:pPr>
            <w:r w:rsidRPr="008146AA">
              <w:rPr>
                <w:sz w:val="24"/>
                <w:szCs w:val="24"/>
              </w:rPr>
              <w:t>Techninėje specifikacijoje nėra reikalavimo siūlyti tik naują, nenaudotą įrangą. Tiekėjai gali siūlyti ir naudotą įrangą, jei jų siūlomi analizatoriai atitinka nustatytus techninius reikalavimus ir yra pagaminti ne anksčiau kaip 2021 m. Todėl visi tiekėjai turi galimybę pateikti konkurencingus pasiūlymus nepatirdami papildomų išlaidų naujos įrangos įsigijimui. Atsižvelgiant į tai, pirkimo sąlygos nėra diskriminacinės, kadangi užtikrinama sąžininga konkurencija ir sudaromos vienodos galimybės visiems tiekėjams dalyvauti pirkimo procedūroje.</w:t>
            </w:r>
          </w:p>
          <w:p w14:paraId="677CF1F0" w14:textId="77777777" w:rsidR="009A0A5B" w:rsidRDefault="009A0A5B" w:rsidP="007B0414">
            <w:pPr>
              <w:spacing w:line="276" w:lineRule="auto"/>
              <w:jc w:val="both"/>
              <w:rPr>
                <w:sz w:val="24"/>
                <w:szCs w:val="24"/>
              </w:rPr>
            </w:pPr>
          </w:p>
          <w:p w14:paraId="3F5A60CD" w14:textId="77777777" w:rsidR="009A0A5B" w:rsidRPr="0086549A" w:rsidRDefault="009A0A5B" w:rsidP="007B0414">
            <w:pPr>
              <w:spacing w:line="276" w:lineRule="auto"/>
              <w:jc w:val="both"/>
              <w:rPr>
                <w:bCs/>
                <w:iCs/>
                <w:sz w:val="24"/>
                <w:szCs w:val="24"/>
              </w:rPr>
            </w:pPr>
            <w:r w:rsidRPr="0086549A">
              <w:rPr>
                <w:bCs/>
                <w:iCs/>
                <w:sz w:val="24"/>
                <w:szCs w:val="24"/>
              </w:rPr>
              <w:t>Rinkos tyrimo metu nustatyta, kad mažiausiai trys gamintojai atitinka keliamus reikalavimus: 1. Diagnostica Stago, STA Compact Max; 2. Mindray C3510; 3. Succeeder SF-810.</w:t>
            </w:r>
          </w:p>
          <w:p w14:paraId="09405F6F" w14:textId="77777777" w:rsidR="009A0A5B" w:rsidRPr="00626065" w:rsidRDefault="009A0A5B" w:rsidP="007B0414">
            <w:pPr>
              <w:spacing w:line="276" w:lineRule="auto"/>
              <w:jc w:val="both"/>
            </w:pPr>
          </w:p>
        </w:tc>
      </w:tr>
    </w:tbl>
    <w:p w14:paraId="7A33213C" w14:textId="77777777" w:rsidR="009A0A5B" w:rsidRDefault="009A0A5B" w:rsidP="009A0A5B"/>
    <w:p w14:paraId="168F0411" w14:textId="77777777" w:rsidR="009A0A5B" w:rsidRPr="001B7BE3" w:rsidRDefault="009A0A5B" w:rsidP="009A0A5B">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Dėkojame už aktyvų dalyvavimą teikiant pastabas.</w:t>
      </w:r>
    </w:p>
    <w:p w14:paraId="079BD107" w14:textId="77777777" w:rsidR="009A0A5B" w:rsidRPr="006C3066" w:rsidRDefault="009A0A5B" w:rsidP="009A0A5B">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Atkreipiame dėmesį, kad</w:t>
      </w:r>
      <w:r>
        <w:rPr>
          <w:rFonts w:ascii="Times New Roman" w:hAnsi="Times New Roman" w:cs="Times New Roman"/>
          <w:sz w:val="24"/>
          <w:szCs w:val="24"/>
        </w:rPr>
        <w:t xml:space="preserve">, jei dalyvausite planuojamame vykdyti pirkime, kartu su pasiūlymu pateikiamame </w:t>
      </w:r>
      <w:r w:rsidRPr="00BC56D7">
        <w:rPr>
          <w:rFonts w:ascii="Times New Roman" w:hAnsi="Times New Roman" w:cs="Times New Roman"/>
          <w:sz w:val="24"/>
          <w:szCs w:val="24"/>
        </w:rPr>
        <w:t>Europos bendr</w:t>
      </w:r>
      <w:r>
        <w:rPr>
          <w:rFonts w:ascii="Times New Roman" w:hAnsi="Times New Roman" w:cs="Times New Roman"/>
          <w:sz w:val="24"/>
          <w:szCs w:val="24"/>
        </w:rPr>
        <w:t>ojo</w:t>
      </w:r>
      <w:r w:rsidRPr="00BC56D7">
        <w:rPr>
          <w:rFonts w:ascii="Times New Roman" w:hAnsi="Times New Roman" w:cs="Times New Roman"/>
          <w:sz w:val="24"/>
          <w:szCs w:val="24"/>
        </w:rPr>
        <w:t xml:space="preserve"> viešųjų pirkimų dokument</w:t>
      </w:r>
      <w:r>
        <w:rPr>
          <w:rFonts w:ascii="Times New Roman" w:hAnsi="Times New Roman" w:cs="Times New Roman"/>
          <w:sz w:val="24"/>
          <w:szCs w:val="24"/>
        </w:rPr>
        <w:t>o</w:t>
      </w:r>
      <w:r w:rsidRPr="00BC56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BC56D7">
        <w:rPr>
          <w:rFonts w:ascii="Times New Roman" w:hAnsi="Times New Roman" w:cs="Times New Roman"/>
          <w:sz w:val="24"/>
          <w:szCs w:val="24"/>
        </w:rPr>
        <w:t>EBVPD)</w:t>
      </w:r>
      <w:r>
        <w:rPr>
          <w:rFonts w:ascii="Times New Roman" w:hAnsi="Times New Roman" w:cs="Times New Roman"/>
          <w:sz w:val="24"/>
          <w:szCs w:val="24"/>
        </w:rPr>
        <w:t xml:space="preserve"> III dalies „Pašalinimo pagrindai“ C13 skiltyje į klausimą „</w:t>
      </w:r>
      <w:r w:rsidRPr="006C3066">
        <w:rPr>
          <w:rFonts w:ascii="Times New Roman" w:hAnsi="Times New Roman" w:cs="Times New Roman"/>
          <w:i/>
          <w:iCs/>
          <w:sz w:val="24"/>
          <w:szCs w:val="24"/>
          <w:u w:val="single"/>
        </w:rPr>
        <w:t>Tiesioginis arba netiesioginis dalyvavimas rengiant šią procedūrą (VPĮ 46 str. 4 d. 3 p.)</w:t>
      </w:r>
      <w:r>
        <w:rPr>
          <w:rFonts w:ascii="Times New Roman" w:hAnsi="Times New Roman" w:cs="Times New Roman"/>
          <w:i/>
          <w:iCs/>
          <w:sz w:val="24"/>
          <w:szCs w:val="24"/>
          <w:u w:val="single"/>
        </w:rPr>
        <w:t xml:space="preserve">“ atsakytumėte „Taip“. </w:t>
      </w:r>
      <w:r w:rsidRPr="00BC56D7">
        <w:rPr>
          <w:rFonts w:ascii="Times New Roman" w:hAnsi="Times New Roman" w:cs="Times New Roman"/>
          <w:sz w:val="24"/>
          <w:szCs w:val="24"/>
        </w:rPr>
        <w:t xml:space="preserve"> </w:t>
      </w:r>
      <w:r w:rsidRPr="006C3066">
        <w:rPr>
          <w:rFonts w:ascii="Times New Roman" w:hAnsi="Times New Roman" w:cs="Times New Roman"/>
          <w:sz w:val="24"/>
          <w:szCs w:val="24"/>
        </w:rPr>
        <w:t>Viešųjų pirkimų tarnyba teigia: „</w:t>
      </w:r>
      <w:r w:rsidRPr="006C3066">
        <w:rPr>
          <w:rFonts w:ascii="Times New Roman" w:hAnsi="Times New Roman" w:cs="Times New Roman"/>
          <w:i/>
          <w:iCs/>
          <w:sz w:val="24"/>
          <w:szCs w:val="24"/>
          <w:u w:val="single"/>
        </w:rPr>
        <w:t>Jei tiekėjas tiesiogiai ar netiesiogiai suteikė pirkimo vykdytojui konsultaciją</w:t>
      </w:r>
      <w:r w:rsidRPr="006C3066">
        <w:rPr>
          <w:rFonts w:ascii="Times New Roman" w:hAnsi="Times New Roman" w:cs="Times New Roman"/>
          <w:i/>
          <w:iCs/>
          <w:sz w:val="24"/>
          <w:szCs w:val="24"/>
        </w:rPr>
        <w:t xml:space="preserve"> (nesvarbu, ar rinkos tyrimo (jeigu apie atliekamą rinkos tyrimą buvo informuotas raštu), ar </w:t>
      </w:r>
      <w:r w:rsidRPr="006C3066">
        <w:rPr>
          <w:rFonts w:ascii="Times New Roman" w:hAnsi="Times New Roman" w:cs="Times New Roman"/>
          <w:i/>
          <w:iCs/>
          <w:sz w:val="24"/>
          <w:szCs w:val="24"/>
          <w:u w:val="single"/>
        </w:rPr>
        <w:t>rinkos konsultacijos metu</w:t>
      </w:r>
      <w:r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6C3066">
        <w:rPr>
          <w:rFonts w:ascii="Times New Roman" w:hAnsi="Times New Roman" w:cs="Times New Roman"/>
          <w:sz w:val="24"/>
          <w:szCs w:val="24"/>
        </w:rPr>
        <w:t>.</w:t>
      </w:r>
    </w:p>
    <w:p w14:paraId="7FAEACA4" w14:textId="77777777" w:rsidR="009A0A5B" w:rsidRDefault="009A0A5B" w:rsidP="009A0A5B"/>
    <w:p w14:paraId="6230A62F" w14:textId="77777777" w:rsidR="00C23C14" w:rsidRDefault="00C23C14"/>
    <w:sectPr w:rsidR="00C23C14" w:rsidSect="009A0A5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3AF1"/>
    <w:multiLevelType w:val="hybridMultilevel"/>
    <w:tmpl w:val="58CE2B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B048E"/>
    <w:multiLevelType w:val="hybridMultilevel"/>
    <w:tmpl w:val="219E256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E86112"/>
    <w:multiLevelType w:val="hybridMultilevel"/>
    <w:tmpl w:val="9BA0C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842882"/>
    <w:multiLevelType w:val="multilevel"/>
    <w:tmpl w:val="3D4275E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D77118"/>
    <w:multiLevelType w:val="hybridMultilevel"/>
    <w:tmpl w:val="9A4028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9604E2"/>
    <w:multiLevelType w:val="multilevel"/>
    <w:tmpl w:val="9CF27F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297965">
    <w:abstractNumId w:val="3"/>
  </w:num>
  <w:num w:numId="2" w16cid:durableId="160874">
    <w:abstractNumId w:val="2"/>
  </w:num>
  <w:num w:numId="3" w16cid:durableId="184640177">
    <w:abstractNumId w:val="5"/>
  </w:num>
  <w:num w:numId="4" w16cid:durableId="2001080596">
    <w:abstractNumId w:val="0"/>
  </w:num>
  <w:num w:numId="5" w16cid:durableId="1398045601">
    <w:abstractNumId w:val="1"/>
  </w:num>
  <w:num w:numId="6" w16cid:durableId="538278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04"/>
    <w:rsid w:val="00036AF3"/>
    <w:rsid w:val="000A3166"/>
    <w:rsid w:val="000A7EC0"/>
    <w:rsid w:val="000C34BB"/>
    <w:rsid w:val="000E3137"/>
    <w:rsid w:val="001067D4"/>
    <w:rsid w:val="00161D7F"/>
    <w:rsid w:val="001640A4"/>
    <w:rsid w:val="001C6EBB"/>
    <w:rsid w:val="001C7D62"/>
    <w:rsid w:val="001F5900"/>
    <w:rsid w:val="00290D8E"/>
    <w:rsid w:val="003D5163"/>
    <w:rsid w:val="004472CF"/>
    <w:rsid w:val="004844E7"/>
    <w:rsid w:val="004C7EAA"/>
    <w:rsid w:val="005856B5"/>
    <w:rsid w:val="005F4E8D"/>
    <w:rsid w:val="00634404"/>
    <w:rsid w:val="00731A12"/>
    <w:rsid w:val="00760175"/>
    <w:rsid w:val="007A6AB9"/>
    <w:rsid w:val="007B18CC"/>
    <w:rsid w:val="00813F93"/>
    <w:rsid w:val="00854B0E"/>
    <w:rsid w:val="0086549A"/>
    <w:rsid w:val="009104AC"/>
    <w:rsid w:val="00972D66"/>
    <w:rsid w:val="009A0A5B"/>
    <w:rsid w:val="00A0011C"/>
    <w:rsid w:val="00A16189"/>
    <w:rsid w:val="00A577D0"/>
    <w:rsid w:val="00C23C14"/>
    <w:rsid w:val="00CD3FBB"/>
    <w:rsid w:val="00CE5E70"/>
    <w:rsid w:val="00CF2510"/>
    <w:rsid w:val="00D25CB8"/>
    <w:rsid w:val="00D82283"/>
    <w:rsid w:val="00E14938"/>
    <w:rsid w:val="00FD7294"/>
    <w:rsid w:val="00FF3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B8FB"/>
  <w15:chartTrackingRefBased/>
  <w15:docId w15:val="{5BFE0BB0-2099-44D8-871A-8701A804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A5B"/>
    <w:pPr>
      <w:spacing w:line="256" w:lineRule="auto"/>
    </w:pPr>
  </w:style>
  <w:style w:type="paragraph" w:styleId="Antrat1">
    <w:name w:val="heading 1"/>
    <w:basedOn w:val="prastasis"/>
    <w:next w:val="prastasis"/>
    <w:link w:val="Antrat1Diagrama"/>
    <w:uiPriority w:val="9"/>
    <w:qFormat/>
    <w:rsid w:val="00634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4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440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440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440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44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44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44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44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44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44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44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44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44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44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44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44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44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4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44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44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44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44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4404"/>
    <w:rPr>
      <w:i/>
      <w:iCs/>
      <w:color w:val="404040" w:themeColor="text1" w:themeTint="BF"/>
    </w:rPr>
  </w:style>
  <w:style w:type="paragraph" w:styleId="Sraopastraipa">
    <w:name w:val="List Paragraph"/>
    <w:basedOn w:val="prastasis"/>
    <w:uiPriority w:val="34"/>
    <w:qFormat/>
    <w:rsid w:val="00634404"/>
    <w:pPr>
      <w:ind w:left="720"/>
      <w:contextualSpacing/>
    </w:pPr>
  </w:style>
  <w:style w:type="character" w:styleId="Rykuspabraukimas">
    <w:name w:val="Intense Emphasis"/>
    <w:basedOn w:val="Numatytasispastraiposriftas"/>
    <w:uiPriority w:val="21"/>
    <w:qFormat/>
    <w:rsid w:val="00634404"/>
    <w:rPr>
      <w:i/>
      <w:iCs/>
      <w:color w:val="0F4761" w:themeColor="accent1" w:themeShade="BF"/>
    </w:rPr>
  </w:style>
  <w:style w:type="paragraph" w:styleId="Iskirtacitata">
    <w:name w:val="Intense Quote"/>
    <w:basedOn w:val="prastasis"/>
    <w:next w:val="prastasis"/>
    <w:link w:val="IskirtacitataDiagrama"/>
    <w:uiPriority w:val="30"/>
    <w:qFormat/>
    <w:rsid w:val="00634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4404"/>
    <w:rPr>
      <w:i/>
      <w:iCs/>
      <w:color w:val="0F4761" w:themeColor="accent1" w:themeShade="BF"/>
    </w:rPr>
  </w:style>
  <w:style w:type="character" w:styleId="Rykinuoroda">
    <w:name w:val="Intense Reference"/>
    <w:basedOn w:val="Numatytasispastraiposriftas"/>
    <w:uiPriority w:val="32"/>
    <w:qFormat/>
    <w:rsid w:val="00634404"/>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9A0A5B"/>
    <w:rPr>
      <w:sz w:val="16"/>
      <w:szCs w:val="16"/>
    </w:rPr>
  </w:style>
  <w:style w:type="paragraph" w:styleId="Komentarotekstas">
    <w:name w:val="annotation text"/>
    <w:basedOn w:val="prastasis"/>
    <w:link w:val="KomentarotekstasDiagrama"/>
    <w:uiPriority w:val="99"/>
    <w:unhideWhenUsed/>
    <w:rsid w:val="009A0A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0A5B"/>
    <w:rPr>
      <w:sz w:val="20"/>
      <w:szCs w:val="20"/>
    </w:rPr>
  </w:style>
  <w:style w:type="table" w:styleId="Lentelstinklelis">
    <w:name w:val="Table Grid"/>
    <w:basedOn w:val="prastojilentel"/>
    <w:uiPriority w:val="39"/>
    <w:rsid w:val="009A0A5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ma">
    <w:name w:val="annotation subject"/>
    <w:basedOn w:val="Komentarotekstas"/>
    <w:next w:val="Komentarotekstas"/>
    <w:link w:val="KomentarotemaDiagrama"/>
    <w:uiPriority w:val="99"/>
    <w:semiHidden/>
    <w:unhideWhenUsed/>
    <w:rsid w:val="00972D66"/>
    <w:rPr>
      <w:b/>
      <w:bCs/>
    </w:rPr>
  </w:style>
  <w:style w:type="character" w:customStyle="1" w:styleId="KomentarotemaDiagrama">
    <w:name w:val="Komentaro tema Diagrama"/>
    <w:basedOn w:val="KomentarotekstasDiagrama"/>
    <w:link w:val="Komentarotema"/>
    <w:uiPriority w:val="99"/>
    <w:semiHidden/>
    <w:rsid w:val="00972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28314</Words>
  <Characters>16140</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Aušra Sidaraitė-Markevičienė</cp:lastModifiedBy>
  <cp:revision>4</cp:revision>
  <dcterms:created xsi:type="dcterms:W3CDTF">2025-05-06T09:11:00Z</dcterms:created>
  <dcterms:modified xsi:type="dcterms:W3CDTF">2025-05-07T10:12:00Z</dcterms:modified>
</cp:coreProperties>
</file>