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7DF082A" w14:textId="13172FF5" w:rsidR="00E11866" w:rsidRPr="00FA6CEB" w:rsidRDefault="00E11866" w:rsidP="00C43D47">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64F80714" w14:textId="00C93C01"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5-14T00:00:00Z">
            <w:dateFormat w:val="yyyy-MM-dd"/>
            <w:lid w:val="lt-LT"/>
            <w:storeMappedDataAs w:val="dateTime"/>
            <w:calendar w:val="gregorian"/>
          </w:date>
        </w:sdtPr>
        <w:sdtContent>
          <w:r w:rsidR="00DD64AC">
            <w:rPr>
              <w:rFonts w:ascii="Arial" w:hAnsi="Arial" w:cs="Arial"/>
              <w:sz w:val="22"/>
              <w:szCs w:val="22"/>
            </w:rPr>
            <w:t>2025-05-14</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3F7C84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074E76">
              <w:rPr>
                <w:rFonts w:ascii="Arial" w:eastAsia="Calibri" w:hAnsi="Arial" w:cs="Arial"/>
                <w:sz w:val="22"/>
                <w:szCs w:val="22"/>
              </w:rPr>
              <w:t>paslaugų.</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6B442392"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w:t>
            </w:r>
            <w:r w:rsidR="00CD3223">
              <w:rPr>
                <w:rFonts w:ascii="Arial" w:eastAsiaTheme="minorHAnsi" w:hAnsi="Arial" w:cs="Arial"/>
                <w:color w:val="000000" w:themeColor="text1"/>
                <w:sz w:val="22"/>
                <w:szCs w:val="22"/>
              </w:rPr>
              <w:t xml:space="preserve">4.3 </w:t>
            </w:r>
            <w:r w:rsidR="0047671B">
              <w:rPr>
                <w:rFonts w:ascii="Arial" w:eastAsiaTheme="minorHAnsi" w:hAnsi="Arial" w:cs="Arial"/>
                <w:color w:val="000000" w:themeColor="text1"/>
                <w:sz w:val="22"/>
                <w:szCs w:val="22"/>
              </w:rPr>
              <w:t>punkto reikalavimai</w:t>
            </w:r>
            <w:r w:rsidR="00CD3223">
              <w:rPr>
                <w:rFonts w:ascii="Arial" w:eastAsiaTheme="minorHAnsi" w:hAnsi="Arial" w:cs="Arial"/>
                <w:color w:val="000000" w:themeColor="text1"/>
                <w:sz w:val="22"/>
                <w:szCs w:val="22"/>
              </w:rPr>
              <w:t xml:space="preserve"> </w:t>
            </w:r>
            <w:r w:rsidR="00CD3223" w:rsidRPr="00C001BD">
              <w:rPr>
                <w:rFonts w:ascii="Arial" w:hAnsi="Arial" w:cs="Arial"/>
                <w:sz w:val="22"/>
                <w:szCs w:val="22"/>
                <w:shd w:val="clear" w:color="auto" w:fill="E6E6E6"/>
              </w:rPr>
              <w:t xml:space="preserve"> dėl aplinkos apsaugos vadybos sistemų standartų taikymo (SPS Priedas Nr. </w:t>
            </w:r>
            <w:r w:rsidR="00CD3223">
              <w:rPr>
                <w:rFonts w:ascii="Arial" w:hAnsi="Arial" w:cs="Arial"/>
                <w:sz w:val="22"/>
                <w:szCs w:val="22"/>
                <w:shd w:val="clear" w:color="auto" w:fill="E6E6E6"/>
              </w:rPr>
              <w:t>11</w:t>
            </w:r>
            <w:r w:rsidR="00CD3223" w:rsidRPr="00C001BD">
              <w:rPr>
                <w:rFonts w:ascii="Arial" w:hAnsi="Arial" w:cs="Arial"/>
                <w:sz w:val="22"/>
                <w:szCs w:val="22"/>
                <w:shd w:val="clear" w:color="auto" w:fill="E6E6E6"/>
              </w:rPr>
              <w:t>)</w:t>
            </w:r>
            <w:r w:rsidR="0047671B">
              <w:rPr>
                <w:rFonts w:ascii="Arial" w:eastAsiaTheme="minorHAnsi" w:hAnsi="Arial" w:cs="Arial"/>
                <w:color w:val="000000" w:themeColor="text1"/>
                <w:sz w:val="22"/>
                <w:szCs w:val="22"/>
              </w:rPr>
              <w:t xml:space="preserve">, </w:t>
            </w:r>
            <w:r w:rsidR="00CD3223" w:rsidRPr="008278D4">
              <w:rPr>
                <w:rFonts w:ascii="Arial" w:hAnsi="Arial" w:cs="Arial"/>
                <w:sz w:val="22"/>
                <w:szCs w:val="22"/>
              </w:rPr>
              <w:t>4.4.4.3 punktu:  „</w:t>
            </w:r>
            <w:r w:rsidR="00CD3223" w:rsidRPr="008278D4">
              <w:rPr>
                <w:rFonts w:ascii="Arial" w:hAnsi="Arial" w:cs="Arial"/>
                <w:i/>
                <w:iCs/>
                <w:sz w:val="22"/>
                <w:szCs w:val="22"/>
              </w:rPr>
              <w:t>prekei pagaminti, paslaugai teikti ar darbams atlikti naudojama mažiau ar nenaudojama pavojingųjų cheminių medžiagų, neteršiama aplinka ir nekeliamas pavojus sveikatai</w:t>
            </w:r>
            <w:r w:rsidR="00CD3223" w:rsidRPr="008278D4">
              <w:rPr>
                <w:rFonts w:ascii="Arial" w:hAnsi="Arial" w:cs="Arial"/>
                <w:sz w:val="22"/>
                <w:szCs w:val="22"/>
              </w:rPr>
              <w:t>“</w:t>
            </w:r>
            <w:r w:rsidR="00677943">
              <w:rPr>
                <w:rFonts w:ascii="Arial" w:hAnsi="Arial" w:cs="Arial"/>
                <w:sz w:val="22"/>
                <w:szCs w:val="22"/>
              </w:rPr>
              <w:t xml:space="preserve"> (Preliminariosios sutarties 52.19 p.).</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449BE74" w:rsidR="005B73EE" w:rsidRPr="0047671B" w:rsidRDefault="00E11866" w:rsidP="006A3D8A">
            <w:pPr>
              <w:rPr>
                <w:rFonts w:ascii="Arial" w:hAnsi="Arial" w:cs="Arial"/>
                <w:iCs/>
                <w:color w:val="000000" w:themeColor="text1"/>
                <w:sz w:val="22"/>
                <w:szCs w:val="22"/>
              </w:rPr>
            </w:pPr>
            <w:r w:rsidRPr="00146511">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Pr>
                <w:rFonts w:ascii="Arial" w:hAnsi="Arial" w:cs="Arial"/>
                <w:iCs/>
                <w:color w:val="000000" w:themeColor="text1"/>
                <w:sz w:val="22"/>
                <w:szCs w:val="22"/>
              </w:rPr>
              <w:t>Paslaugos</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6A3D8A">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shd w:val="clear" w:color="auto" w:fill="auto"/>
            <w:vAlign w:val="center"/>
          </w:tcPr>
          <w:p w14:paraId="400F9C85" w14:textId="77777777" w:rsidR="004B24B2" w:rsidRPr="007E0022" w:rsidRDefault="004B24B2" w:rsidP="00E80D0E">
            <w:pPr>
              <w:rPr>
                <w:rFonts w:ascii="Arial" w:eastAsiaTheme="minorHAnsi" w:hAnsi="Arial" w:cs="Arial"/>
                <w:bCs/>
                <w:sz w:val="22"/>
                <w:szCs w:val="22"/>
              </w:rPr>
            </w:pPr>
          </w:p>
          <w:p w14:paraId="08F9F8AB" w14:textId="77777777" w:rsidR="001D68B1" w:rsidRDefault="0039436B" w:rsidP="006D5405">
            <w:pPr>
              <w:rPr>
                <w:rFonts w:ascii="Arial" w:eastAsiaTheme="minorHAnsi" w:hAnsi="Arial" w:cs="Arial"/>
                <w:bCs/>
                <w:sz w:val="22"/>
                <w:szCs w:val="22"/>
              </w:rPr>
            </w:pPr>
            <w:r w:rsidRPr="007E0022">
              <w:rPr>
                <w:rFonts w:ascii="Arial" w:eastAsiaTheme="minorHAnsi" w:hAnsi="Arial" w:cs="Arial"/>
                <w:bCs/>
                <w:sz w:val="22"/>
                <w:szCs w:val="22"/>
              </w:rPr>
              <w:t xml:space="preserve">Pirkimo objektas </w:t>
            </w:r>
            <w:r w:rsidR="00B5772D">
              <w:rPr>
                <w:rFonts w:ascii="Arial" w:eastAsiaTheme="minorHAnsi" w:hAnsi="Arial" w:cs="Arial"/>
                <w:bCs/>
                <w:sz w:val="22"/>
                <w:szCs w:val="22"/>
              </w:rPr>
              <w:t>skaidomas į 3 (tris) pirkimo objekto dalis:</w:t>
            </w:r>
          </w:p>
          <w:p w14:paraId="376E5B4E" w14:textId="77777777" w:rsidR="006D5405" w:rsidRPr="006D5405" w:rsidRDefault="006D5405" w:rsidP="006D5405">
            <w:pPr>
              <w:spacing w:before="120"/>
              <w:rPr>
                <w:rFonts w:ascii="Arial" w:hAnsi="Arial" w:cs="Arial"/>
                <w:sz w:val="22"/>
              </w:rPr>
            </w:pPr>
            <w:r w:rsidRPr="006D5405">
              <w:rPr>
                <w:rFonts w:ascii="Arial" w:hAnsi="Arial" w:cs="Arial"/>
                <w:b/>
                <w:bCs/>
                <w:sz w:val="22"/>
              </w:rPr>
              <w:t>I pirkimo objekto dalis</w:t>
            </w:r>
            <w:r w:rsidRPr="006D5405">
              <w:rPr>
                <w:rFonts w:ascii="Arial" w:hAnsi="Arial" w:cs="Arial"/>
                <w:sz w:val="22"/>
              </w:rPr>
              <w:t xml:space="preserve"> - Kelių asfaltbetonio dangos įrengimui naudojamų medžiagų ir gaminių laboratorinių tyrimų ir bandymų paslaugos;</w:t>
            </w:r>
          </w:p>
          <w:p w14:paraId="1FB19B46" w14:textId="77777777" w:rsidR="006D5405" w:rsidRPr="006D5405" w:rsidRDefault="006D5405" w:rsidP="006D5405">
            <w:pPr>
              <w:rPr>
                <w:rFonts w:ascii="Arial" w:hAnsi="Arial" w:cs="Arial"/>
                <w:b/>
                <w:bCs/>
                <w:sz w:val="22"/>
              </w:rPr>
            </w:pPr>
            <w:r w:rsidRPr="006D5405">
              <w:rPr>
                <w:rFonts w:ascii="Arial" w:hAnsi="Arial" w:cs="Arial"/>
                <w:b/>
                <w:bCs/>
                <w:sz w:val="22"/>
              </w:rPr>
              <w:t xml:space="preserve">II pirkimo objekto dalis - </w:t>
            </w:r>
            <w:r w:rsidRPr="006D5405">
              <w:rPr>
                <w:rFonts w:ascii="Arial" w:hAnsi="Arial" w:cs="Arial"/>
                <w:sz w:val="22"/>
              </w:rPr>
              <w:t>Kelių sankasos ir pagrindų įrengimui naudojamų medžiagų ir gaminių laboratorinių bandymų paslaugos;</w:t>
            </w:r>
          </w:p>
          <w:p w14:paraId="2BF43279" w14:textId="4EA378C3" w:rsidR="006D5405" w:rsidRPr="001D68B1" w:rsidRDefault="006D5405" w:rsidP="006D5405">
            <w:pPr>
              <w:rPr>
                <w:rFonts w:ascii="Arial" w:eastAsiaTheme="minorHAnsi" w:hAnsi="Arial" w:cs="Arial"/>
                <w:bCs/>
                <w:sz w:val="22"/>
                <w:szCs w:val="22"/>
                <w:highlight w:val="yellow"/>
              </w:rPr>
            </w:pPr>
            <w:r w:rsidRPr="006D5405">
              <w:rPr>
                <w:rFonts w:ascii="Arial" w:hAnsi="Arial" w:cs="Arial"/>
                <w:b/>
                <w:bCs/>
                <w:sz w:val="22"/>
              </w:rPr>
              <w:t>III pirkimo objekto dalis</w:t>
            </w:r>
            <w:r w:rsidRPr="006D5405">
              <w:rPr>
                <w:rFonts w:ascii="Arial" w:hAnsi="Arial" w:cs="Arial"/>
                <w:sz w:val="22"/>
              </w:rPr>
              <w:t xml:space="preserve"> - Kelio statinių įrengimui naudojamų medžiagų ir gaminių laboratorinių bandymų paslaugos</w:t>
            </w:r>
            <w:r>
              <w:rPr>
                <w:rFonts w:ascii="Arial" w:hAnsi="Arial" w:cs="Arial"/>
                <w:sz w:val="22"/>
              </w:rPr>
              <w:t>.</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lastRenderedPageBreak/>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2F34B99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6D540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44061BC3"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2D7FFD">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D7FFD">
        <w:trPr>
          <w:trHeight w:val="1485"/>
        </w:trPr>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762442FF" w14:textId="7461B2CD" w:rsidR="002D7FFD" w:rsidRDefault="002D7FFD" w:rsidP="002D7FFD">
            <w:pPr>
              <w:pStyle w:val="Sraopastraipa"/>
              <w:tabs>
                <w:tab w:val="left" w:pos="567"/>
              </w:tabs>
              <w:spacing w:before="60" w:after="60"/>
              <w:ind w:left="0"/>
              <w:rPr>
                <w:rFonts w:ascii="Arial" w:hAnsi="Arial" w:cs="Arial"/>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Arial" w:hAnsi="Arial" w:cs="Arial"/>
                <w:sz w:val="22"/>
                <w:szCs w:val="22"/>
              </w:rPr>
              <w:t xml:space="preserve"> </w:t>
            </w:r>
          </w:p>
          <w:p w14:paraId="510711D9" w14:textId="176083AC"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66B8D15B"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2D7FFD">
                  <w:rPr>
                    <w:rStyle w:val="Vietosrezervavimoenklotekstas"/>
                    <w:rFonts w:ascii="Arial" w:eastAsiaTheme="minorHAnsi" w:hAnsi="Arial" w:cs="Arial"/>
                    <w:b/>
                    <w:bCs/>
                    <w:color w:val="auto"/>
                    <w:sz w:val="22"/>
                    <w:szCs w:val="22"/>
                  </w:rPr>
                  <w:t>Kaina.</w:t>
                </w:r>
              </w:sdtContent>
            </w:sdt>
          </w:p>
          <w:p w14:paraId="70454D2C" w14:textId="711A970A" w:rsidR="002D7FFD" w:rsidRDefault="002D7FFD" w:rsidP="002D7FFD">
            <w:r w:rsidRPr="00F1080A">
              <w:rPr>
                <w:rFonts w:ascii="Arial" w:hAnsi="Arial" w:cs="Arial"/>
                <w:sz w:val="22"/>
                <w:szCs w:val="22"/>
              </w:rPr>
              <w:t>Perkančioji organizacija ekonomiškai naudingiausią pasiūlymą</w:t>
            </w:r>
            <w:r>
              <w:rPr>
                <w:rFonts w:ascii="Arial" w:hAnsi="Arial" w:cs="Arial"/>
                <w:sz w:val="22"/>
                <w:szCs w:val="22"/>
              </w:rPr>
              <w:t xml:space="preserve"> kiekvienoje pirkimo objekto dalyje</w:t>
            </w:r>
            <w:r w:rsidRPr="00F1080A">
              <w:rPr>
                <w:rFonts w:ascii="Arial" w:hAnsi="Arial" w:cs="Arial"/>
                <w:sz w:val="22"/>
                <w:szCs w:val="22"/>
              </w:rPr>
              <w:t xml:space="preserve"> išrenka pagal tiekėjo pasiūlyme nurodytą kainą, kuri turi būti </w:t>
            </w:r>
            <w:r w:rsidRPr="00F1080A">
              <w:rPr>
                <w:rFonts w:ascii="Arial" w:hAnsi="Arial" w:cs="Arial"/>
                <w:sz w:val="22"/>
                <w:szCs w:val="22"/>
              </w:rPr>
              <w:lastRenderedPageBreak/>
              <w:t xml:space="preserve">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2D7FFD">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188A28F4" w14:textId="104CE72E" w:rsidR="00561A2A" w:rsidRPr="00552A6F" w:rsidRDefault="00BD3B81" w:rsidP="00561A2A">
            <w:pPr>
              <w:pStyle w:val="Betarp"/>
              <w:spacing w:line="20" w:lineRule="atLeast"/>
              <w:contextualSpacing/>
              <w:rPr>
                <w:rFonts w:ascii="Arial" w:hAnsi="Arial" w:cs="Arial"/>
                <w:sz w:val="22"/>
                <w:szCs w:val="22"/>
              </w:rPr>
            </w:pPr>
            <w:r w:rsidRPr="00A6340F">
              <w:rPr>
                <w:rFonts w:ascii="Arial" w:hAnsi="Arial" w:cs="Arial"/>
                <w:sz w:val="22"/>
                <w:szCs w:val="22"/>
              </w:rPr>
              <w:t xml:space="preserve">9.2.1. </w:t>
            </w:r>
            <w:r w:rsidR="00561A2A" w:rsidRPr="00552A6F">
              <w:rPr>
                <w:rFonts w:ascii="Arial" w:hAnsi="Arial" w:cs="Arial"/>
                <w:sz w:val="22"/>
                <w:szCs w:val="22"/>
              </w:rPr>
              <w:t xml:space="preserve"> Laimėjusiais pasiūlymais galės būti pripažinti tik </w:t>
            </w:r>
            <w:r w:rsidR="00561A2A">
              <w:rPr>
                <w:rFonts w:ascii="Arial" w:hAnsi="Arial" w:cs="Arial"/>
                <w:sz w:val="22"/>
                <w:szCs w:val="22"/>
              </w:rPr>
              <w:t>3</w:t>
            </w:r>
            <w:r w:rsidR="00561A2A" w:rsidRPr="00552A6F">
              <w:rPr>
                <w:rFonts w:ascii="Arial" w:hAnsi="Arial" w:cs="Arial"/>
                <w:sz w:val="22"/>
                <w:szCs w:val="22"/>
              </w:rPr>
              <w:t xml:space="preserve"> pasiūlymai, kuriems bus pasiūlyta sudaryti preliminariąją sutartį </w:t>
            </w:r>
            <w:r w:rsidR="00561A2A">
              <w:rPr>
                <w:rFonts w:ascii="Arial" w:hAnsi="Arial" w:cs="Arial"/>
                <w:sz w:val="22"/>
                <w:szCs w:val="22"/>
              </w:rPr>
              <w:t xml:space="preserve">kiekvienoje pirkimo objekto dalyje </w:t>
            </w:r>
            <w:r w:rsidR="00561A2A" w:rsidRPr="00552A6F">
              <w:rPr>
                <w:rFonts w:ascii="Arial" w:hAnsi="Arial" w:cs="Arial"/>
                <w:sz w:val="22"/>
                <w:szCs w:val="22"/>
              </w:rPr>
              <w:t xml:space="preserve">vadovaujantis </w:t>
            </w:r>
            <w:r w:rsidR="00561A2A" w:rsidRPr="001C44EE">
              <w:rPr>
                <w:rFonts w:ascii="Arial" w:hAnsi="Arial" w:cs="Arial"/>
                <w:b/>
                <w:bCs/>
                <w:sz w:val="22"/>
                <w:szCs w:val="22"/>
              </w:rPr>
              <w:t xml:space="preserve">SPS priede Nr. </w:t>
            </w:r>
            <w:r w:rsidR="00611058">
              <w:rPr>
                <w:rFonts w:ascii="Arial" w:hAnsi="Arial" w:cs="Arial"/>
                <w:b/>
                <w:bCs/>
                <w:sz w:val="22"/>
                <w:szCs w:val="22"/>
              </w:rPr>
              <w:t>12</w:t>
            </w:r>
            <w:r w:rsidR="00561A2A" w:rsidRPr="00E63914">
              <w:rPr>
                <w:rFonts w:ascii="Arial" w:hAnsi="Arial" w:cs="Arial"/>
                <w:sz w:val="22"/>
                <w:szCs w:val="22"/>
              </w:rPr>
              <w:t xml:space="preserve"> </w:t>
            </w:r>
            <w:r w:rsidR="00561A2A" w:rsidRPr="00552A6F">
              <w:rPr>
                <w:rFonts w:ascii="Arial" w:hAnsi="Arial" w:cs="Arial"/>
                <w:sz w:val="22"/>
                <w:szCs w:val="22"/>
              </w:rPr>
              <w:t>nustatytomis taisyklėmis.</w:t>
            </w:r>
          </w:p>
          <w:p w14:paraId="4F4F8F0C" w14:textId="06485F3F" w:rsidR="00561A2A" w:rsidRDefault="00561A2A" w:rsidP="00561A2A">
            <w:pPr>
              <w:pStyle w:val="Antrat1"/>
              <w:tabs>
                <w:tab w:val="left" w:pos="426"/>
              </w:tabs>
              <w:spacing w:after="120"/>
              <w:ind w:firstLine="0"/>
              <w:rPr>
                <w:rFonts w:ascii="Arial" w:hAnsi="Arial" w:cs="Arial"/>
                <w:sz w:val="22"/>
                <w:szCs w:val="22"/>
              </w:rPr>
            </w:pPr>
            <w:r>
              <w:rPr>
                <w:rFonts w:ascii="Arial" w:hAnsi="Arial" w:cs="Arial"/>
                <w:sz w:val="22"/>
                <w:szCs w:val="22"/>
              </w:rPr>
              <w:t xml:space="preserve">9.2.2. </w:t>
            </w:r>
            <w:r w:rsidRPr="00BF3CD8">
              <w:rPr>
                <w:rFonts w:ascii="Arial" w:hAnsi="Arial" w:cs="Arial"/>
                <w:sz w:val="22"/>
                <w:szCs w:val="22"/>
              </w:rPr>
              <w:t>Per didelė ir nepriimtina Pasiūlymo kaina bus laikoma tokia kaina, kuri viršys</w:t>
            </w:r>
            <w:r>
              <w:rPr>
                <w:rFonts w:ascii="Arial" w:hAnsi="Arial" w:cs="Arial"/>
                <w:sz w:val="22"/>
                <w:szCs w:val="22"/>
              </w:rPr>
              <w:t xml:space="preserve"> atitinkamai:</w:t>
            </w:r>
          </w:p>
          <w:p w14:paraId="774B8549" w14:textId="5E125D9E" w:rsidR="00561A2A" w:rsidRDefault="00561A2A" w:rsidP="00561A2A">
            <w:r>
              <w:t xml:space="preserve">I pirkimo objekto dalyje </w:t>
            </w:r>
            <w:r w:rsidR="000015C9">
              <w:t>– 84 700,00 Eur su PVM (70 000,00 Eur be PVM)</w:t>
            </w:r>
            <w:r>
              <w:t>;</w:t>
            </w:r>
          </w:p>
          <w:p w14:paraId="1A4D68D5" w14:textId="77777777" w:rsidR="000015C9" w:rsidRDefault="00561A2A" w:rsidP="000015C9">
            <w:r>
              <w:t xml:space="preserve">II pirkimo objekto dalyje - </w:t>
            </w:r>
            <w:r w:rsidR="000015C9">
              <w:t>84 700,00 Eur su PVM (70 000,00 Eur be PVM);</w:t>
            </w:r>
          </w:p>
          <w:p w14:paraId="667AFBD2" w14:textId="37E31E9B" w:rsidR="00561A2A" w:rsidRPr="00561A2A" w:rsidRDefault="00561A2A" w:rsidP="00561A2A">
            <w:r>
              <w:t xml:space="preserve">III pirkimo objekto dalyje </w:t>
            </w:r>
            <w:r w:rsidR="000015C9">
              <w:t>–</w:t>
            </w:r>
            <w:r>
              <w:t xml:space="preserve"> </w:t>
            </w:r>
            <w:r w:rsidR="000015C9">
              <w:t>48 400,00 Eur su PVM (40 000,00 Eur be PVM)</w:t>
            </w:r>
            <w:r>
              <w:t>.</w:t>
            </w:r>
          </w:p>
          <w:p w14:paraId="2A85AC08" w14:textId="3A2F99CC" w:rsidR="00BF3CD8" w:rsidRDefault="00561A2A" w:rsidP="00561A2A">
            <w:pPr>
              <w:pStyle w:val="Sraopastraipa"/>
              <w:ind w:left="36"/>
              <w:rPr>
                <w:rFonts w:ascii="Arial" w:hAnsi="Arial" w:cs="Arial"/>
                <w:sz w:val="22"/>
                <w:szCs w:val="22"/>
                <w:shd w:val="clear" w:color="auto" w:fill="E6E6E6"/>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561A2A">
              <w:rPr>
                <w:rFonts w:ascii="Arial" w:hAnsi="Arial" w:cs="Arial"/>
                <w:sz w:val="22"/>
                <w:szCs w:val="22"/>
              </w:rPr>
              <w:t xml:space="preserve">9.2.2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2689A09B" w14:textId="7405EA19" w:rsidR="00EF216B" w:rsidRPr="00BF4AE7" w:rsidRDefault="00EF216B" w:rsidP="00EF216B">
            <w:pPr>
              <w:pStyle w:val="Sraopastraipa"/>
              <w:ind w:left="0"/>
              <w:rPr>
                <w:rFonts w:ascii="Arial" w:eastAsiaTheme="minorHAnsi" w:hAnsi="Arial" w:cs="Arial"/>
                <w:bCs/>
                <w:iCs/>
                <w:sz w:val="22"/>
                <w:szCs w:val="22"/>
              </w:rPr>
            </w:pPr>
            <w:r w:rsidRPr="00BF4AE7">
              <w:rPr>
                <w:rFonts w:ascii="Arial" w:hAnsi="Arial" w:cs="Arial"/>
                <w:color w:val="000000" w:themeColor="text1"/>
                <w:sz w:val="22"/>
                <w:szCs w:val="22"/>
              </w:rPr>
              <w:t>Ši pirkimo procedūra atliekama siekiant sudaryti preliminariąją sutartį. Preliminarioji sutartis</w:t>
            </w:r>
            <w:r w:rsidRPr="00BF4AE7">
              <w:rPr>
                <w:rFonts w:ascii="Arial" w:hAnsi="Arial" w:cs="Arial"/>
                <w:sz w:val="22"/>
                <w:szCs w:val="22"/>
              </w:rPr>
              <w:t xml:space="preserve"> bus sudaroma su </w:t>
            </w:r>
            <w:r>
              <w:rPr>
                <w:rFonts w:ascii="Arial" w:hAnsi="Arial" w:cs="Arial"/>
                <w:sz w:val="22"/>
                <w:szCs w:val="22"/>
              </w:rPr>
              <w:t>3</w:t>
            </w:r>
            <w:r w:rsidRPr="00BF4AE7">
              <w:rPr>
                <w:rFonts w:ascii="Arial" w:hAnsi="Arial" w:cs="Arial"/>
                <w:sz w:val="22"/>
                <w:szCs w:val="22"/>
              </w:rPr>
              <w:t xml:space="preserve"> tiekėjais</w:t>
            </w:r>
            <w:r w:rsidRPr="00BF4AE7">
              <w:rPr>
                <w:rFonts w:ascii="Arial" w:hAnsi="Arial" w:cs="Arial"/>
                <w:color w:val="000000" w:themeColor="text1"/>
                <w:sz w:val="22"/>
                <w:szCs w:val="22"/>
              </w:rPr>
              <w:t xml:space="preserve">, kurių pasiūlymai bus pripažinti laimėję kiekvienoje dalyje. </w:t>
            </w:r>
            <w:r w:rsidRPr="00BF4AE7">
              <w:rPr>
                <w:rFonts w:ascii="Arial" w:hAnsi="Arial" w:cs="Arial"/>
                <w:sz w:val="22"/>
                <w:szCs w:val="22"/>
              </w:rPr>
              <w:t xml:space="preserve">Tvarka, kurios laikantis pagal šią preliminariąją sutartį bus sudaroma sutartis, pateikiama </w:t>
            </w:r>
            <w:r w:rsidRPr="00BF4AE7">
              <w:rPr>
                <w:rFonts w:ascii="Arial" w:hAnsi="Arial" w:cs="Arial"/>
                <w:b/>
                <w:bCs/>
                <w:sz w:val="22"/>
                <w:szCs w:val="22"/>
              </w:rPr>
              <w:t xml:space="preserve">SPS priede Nr. </w:t>
            </w:r>
            <w:r w:rsidR="00611058">
              <w:rPr>
                <w:rFonts w:ascii="Arial" w:hAnsi="Arial" w:cs="Arial"/>
                <w:b/>
                <w:bCs/>
                <w:sz w:val="22"/>
                <w:szCs w:val="22"/>
              </w:rPr>
              <w:t>12</w:t>
            </w:r>
            <w:r w:rsidRPr="00BF4AE7">
              <w:rPr>
                <w:rFonts w:ascii="Arial" w:hAnsi="Arial" w:cs="Arial"/>
                <w:sz w:val="22"/>
                <w:szCs w:val="22"/>
              </w:rPr>
              <w:t xml:space="preserve"> </w:t>
            </w:r>
            <w:r>
              <w:rPr>
                <w:rFonts w:ascii="Arial" w:hAnsi="Arial" w:cs="Arial"/>
                <w:sz w:val="22"/>
                <w:szCs w:val="22"/>
              </w:rPr>
              <w:t>[</w:t>
            </w:r>
            <w:r w:rsidRPr="00BF4AE7">
              <w:rPr>
                <w:rFonts w:ascii="Arial" w:eastAsiaTheme="minorHAnsi" w:hAnsi="Arial" w:cs="Arial"/>
                <w:bCs/>
                <w:iCs/>
                <w:sz w:val="22"/>
                <w:szCs w:val="22"/>
              </w:rPr>
              <w:t>„</w:t>
            </w:r>
            <w:r w:rsidR="00611058">
              <w:rPr>
                <w:rFonts w:ascii="Arial" w:eastAsiaTheme="minorHAnsi" w:hAnsi="Arial" w:cs="Arial"/>
                <w:bCs/>
                <w:iCs/>
                <w:sz w:val="22"/>
                <w:szCs w:val="22"/>
              </w:rPr>
              <w:t>Preliminariosios ir pagrindinės sutarties sudarymo ir vykdymo tvarka</w:t>
            </w:r>
            <w:r w:rsidRPr="00BF4AE7">
              <w:rPr>
                <w:rFonts w:ascii="Arial" w:eastAsiaTheme="minorHAnsi" w:hAnsi="Arial" w:cs="Arial"/>
                <w:bCs/>
                <w:iCs/>
                <w:sz w:val="22"/>
                <w:szCs w:val="22"/>
              </w:rPr>
              <w:t>“</w:t>
            </w:r>
            <w:r>
              <w:rPr>
                <w:rFonts w:ascii="Arial" w:eastAsiaTheme="minorHAnsi" w:hAnsi="Arial" w:cs="Arial"/>
                <w:bCs/>
                <w:iCs/>
                <w:sz w:val="22"/>
                <w:szCs w:val="22"/>
              </w:rPr>
              <w:t>]</w:t>
            </w:r>
            <w:r w:rsidRPr="00BF4AE7">
              <w:rPr>
                <w:rFonts w:ascii="Arial" w:hAnsi="Arial" w:cs="Arial"/>
                <w:sz w:val="22"/>
                <w:szCs w:val="22"/>
              </w:rPr>
              <w:t xml:space="preserve">. </w:t>
            </w:r>
            <w:r w:rsidR="00B94222">
              <w:rPr>
                <w:rFonts w:ascii="Arial" w:hAnsi="Arial" w:cs="Arial"/>
                <w:sz w:val="22"/>
                <w:szCs w:val="22"/>
              </w:rPr>
              <w:t xml:space="preserve">Su tiekėjais, su kuriais bus sudaryta preliminarioji sutartis, bus pasirašoma ir pagrindinė sutartis kiekvienoje pirkimo objekto dalyje (SPS priedas Nr.8). </w:t>
            </w:r>
          </w:p>
          <w:p w14:paraId="3EF32E43" w14:textId="338D912B" w:rsidR="00BF4AE7" w:rsidRPr="0004213E" w:rsidRDefault="00BF4AE7" w:rsidP="0038768B">
            <w:pPr>
              <w:pStyle w:val="Sraopastraipa"/>
              <w:ind w:left="36"/>
              <w:rPr>
                <w:rFonts w:ascii="Arial" w:hAnsi="Arial" w:cs="Arial"/>
                <w:b/>
                <w:sz w:val="8"/>
                <w:szCs w:val="8"/>
              </w:rPr>
            </w:pP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6BE3CFAC" w14:textId="77777777" w:rsidR="00EF216B" w:rsidRDefault="00EF216B" w:rsidP="00EF216B">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3446F336" w14:textId="77777777" w:rsidR="00EF216B" w:rsidRDefault="00EF216B" w:rsidP="00EF216B">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Pr>
                <w:rFonts w:ascii="Arial" w:hAnsi="Arial" w:cs="Arial"/>
                <w:sz w:val="22"/>
                <w:szCs w:val="22"/>
              </w:rPr>
              <w:t>, atitinkamai kiekvienoje pirkimo objekto dalyje:</w:t>
            </w:r>
          </w:p>
          <w:p w14:paraId="43AF6931" w14:textId="77777777" w:rsidR="000015C9" w:rsidRDefault="00EF216B" w:rsidP="000015C9">
            <w:r>
              <w:rPr>
                <w:rFonts w:ascii="Arial" w:hAnsi="Arial" w:cs="Arial"/>
                <w:sz w:val="22"/>
                <w:szCs w:val="22"/>
              </w:rPr>
              <w:t xml:space="preserve">I pirkimo objekto dalyje -  </w:t>
            </w:r>
            <w:r w:rsidR="000015C9">
              <w:t>84 700,00 Eur su PVM (70 000,00 Eur be PVM);</w:t>
            </w:r>
          </w:p>
          <w:p w14:paraId="142783D2" w14:textId="77777777" w:rsidR="000015C9" w:rsidRDefault="00EF216B" w:rsidP="000015C9">
            <w:r>
              <w:rPr>
                <w:rFonts w:ascii="Arial" w:hAnsi="Arial" w:cs="Arial"/>
                <w:sz w:val="22"/>
                <w:szCs w:val="22"/>
              </w:rPr>
              <w:t xml:space="preserve">II pirkimo objekto dalyje -  </w:t>
            </w:r>
            <w:r w:rsidR="000015C9">
              <w:t>84 700,00 Eur su PVM (70 000,00 Eur be PVM);</w:t>
            </w:r>
          </w:p>
          <w:p w14:paraId="1C88E25C" w14:textId="0338F661" w:rsidR="00BF3CD8" w:rsidRPr="00C70C9C" w:rsidRDefault="00EF216B" w:rsidP="00EF216B">
            <w:pPr>
              <w:pStyle w:val="Sraopastraipa"/>
              <w:ind w:left="36"/>
              <w:rPr>
                <w:rFonts w:ascii="Arial" w:hAnsi="Arial" w:cs="Arial"/>
                <w:sz w:val="22"/>
                <w:szCs w:val="22"/>
              </w:rPr>
            </w:pPr>
            <w:r>
              <w:rPr>
                <w:rFonts w:ascii="Arial" w:hAnsi="Arial" w:cs="Arial"/>
                <w:sz w:val="22"/>
                <w:szCs w:val="22"/>
              </w:rPr>
              <w:t xml:space="preserve">III pirkimo objekto dalyje - </w:t>
            </w:r>
            <w:r w:rsidR="000015C9">
              <w:t>48 400,00 Eur su PVM (40 000,00 Eur be PVM)</w:t>
            </w:r>
            <w:r>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B5012A7" w14:textId="2335302B" w:rsidR="00C4392B" w:rsidRDefault="00D01174" w:rsidP="00C4392B">
            <w:pPr>
              <w:rPr>
                <w:rFonts w:ascii="Arial" w:eastAsia="Calibri" w:hAnsi="Arial" w:cs="Arial"/>
                <w:sz w:val="22"/>
                <w:szCs w:val="22"/>
              </w:rPr>
            </w:pPr>
            <w:r>
              <w:rPr>
                <w:rFonts w:ascii="Arial" w:eastAsia="Calibri" w:hAnsi="Arial" w:cs="Arial"/>
                <w:sz w:val="22"/>
                <w:szCs w:val="22"/>
              </w:rPr>
              <w:t>Sutarties sąlygų įvykdymo užtikrinimui sutartyje numatyti delspinigiai ir baudos</w:t>
            </w:r>
            <w:r w:rsidR="00C4392B" w:rsidRPr="00D9683D">
              <w:rPr>
                <w:rFonts w:ascii="Arial" w:eastAsia="Calibri" w:hAnsi="Arial" w:cs="Arial"/>
                <w:sz w:val="22"/>
                <w:szCs w:val="22"/>
              </w:rPr>
              <w:t xml:space="preserve"> (</w:t>
            </w:r>
            <w:r w:rsidR="00C4392B"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00C4392B" w:rsidRPr="00D9683D">
              <w:rPr>
                <w:rFonts w:ascii="Arial" w:eastAsia="Calibri" w:hAnsi="Arial" w:cs="Arial"/>
                <w:b/>
                <w:bCs/>
                <w:sz w:val="22"/>
                <w:szCs w:val="22"/>
              </w:rPr>
              <w:t xml:space="preserve">riedas Nr. </w:t>
            </w:r>
            <w:r w:rsidRPr="00611058">
              <w:rPr>
                <w:rFonts w:ascii="Arial" w:eastAsia="Calibri" w:hAnsi="Arial" w:cs="Arial"/>
                <w:b/>
                <w:bCs/>
                <w:sz w:val="22"/>
                <w:szCs w:val="22"/>
              </w:rPr>
              <w:t>8</w:t>
            </w:r>
            <w:r w:rsidR="00C4392B" w:rsidRPr="00611058">
              <w:rPr>
                <w:rFonts w:ascii="Arial" w:eastAsia="Calibri" w:hAnsi="Arial" w:cs="Arial"/>
                <w:sz w:val="22"/>
                <w:szCs w:val="22"/>
              </w:rPr>
              <w:t>)</w:t>
            </w:r>
            <w:r w:rsidR="00C4392B"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4D9F6D2E" w:rsidR="00DD43FF" w:rsidRPr="00374DEA" w:rsidRDefault="00D01174" w:rsidP="00DD43FF">
            <w:pPr>
              <w:rPr>
                <w:rFonts w:ascii="Arial" w:eastAsia="Calibri" w:hAnsi="Arial" w:cs="Arial"/>
                <w:b/>
                <w:bCs/>
                <w:color w:val="C00000"/>
                <w:sz w:val="22"/>
                <w:szCs w:val="22"/>
              </w:rPr>
            </w:pPr>
            <w:r>
              <w:rPr>
                <w:rFonts w:ascii="Arial" w:eastAsia="Calibri" w:hAnsi="Arial" w:cs="Arial"/>
                <w:sz w:val="22"/>
                <w:szCs w:val="22"/>
              </w:rPr>
              <w:t>Net</w:t>
            </w:r>
            <w:r w:rsidR="00D964F0">
              <w:rPr>
                <w:rFonts w:ascii="Arial" w:eastAsia="Calibri" w:hAnsi="Arial" w:cs="Arial"/>
                <w:sz w:val="22"/>
                <w:szCs w:val="22"/>
              </w:rPr>
              <w: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3ECE1AA" w14:textId="77777777" w:rsidR="00DE59B1" w:rsidRPr="00396864" w:rsidRDefault="00DE59B1" w:rsidP="00DD43FF">
            <w:pPr>
              <w:rPr>
                <w:rFonts w:ascii="Arial" w:eastAsia="Calibri" w:hAnsi="Arial" w:cs="Arial"/>
                <w:sz w:val="22"/>
                <w:szCs w:val="22"/>
              </w:rPr>
            </w:pPr>
          </w:p>
          <w:p w14:paraId="38613BE3" w14:textId="0E81D1B3" w:rsidR="00DD43FF" w:rsidRPr="00374DEA" w:rsidRDefault="00DD43FF" w:rsidP="00DD43FF">
            <w:pPr>
              <w:rPr>
                <w:rFonts w:ascii="Arial" w:eastAsia="Calibri" w:hAnsi="Arial" w:cs="Arial"/>
                <w:b/>
                <w:bCs/>
                <w:color w:val="C00000"/>
                <w:sz w:val="22"/>
                <w:szCs w:val="22"/>
              </w:rPr>
            </w:pPr>
          </w:p>
        </w:tc>
      </w:tr>
      <w:tr w:rsidR="00611058" w:rsidRPr="00CF7302" w14:paraId="52C99880" w14:textId="77777777" w:rsidTr="00257E38">
        <w:tc>
          <w:tcPr>
            <w:tcW w:w="706" w:type="dxa"/>
          </w:tcPr>
          <w:p w14:paraId="41E41EE8" w14:textId="6CF7591E" w:rsidR="00611058" w:rsidRPr="00396864" w:rsidRDefault="00611058" w:rsidP="00DD43FF">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78C39965" w14:textId="77777777" w:rsidR="00DE59B1" w:rsidRPr="00F66DF2" w:rsidRDefault="00DE59B1" w:rsidP="00DE59B1">
            <w:pPr>
              <w:rPr>
                <w:rFonts w:ascii="Arial" w:hAnsi="Arial" w:cs="Arial"/>
                <w:b/>
                <w:bCs/>
                <w:sz w:val="22"/>
                <w:szCs w:val="22"/>
              </w:rPr>
            </w:pPr>
            <w:r w:rsidRPr="00F66DF2">
              <w:rPr>
                <w:rFonts w:ascii="Arial" w:hAnsi="Arial" w:cs="Arial"/>
                <w:b/>
                <w:bCs/>
                <w:sz w:val="22"/>
                <w:szCs w:val="22"/>
              </w:rPr>
              <w:t xml:space="preserve">Pagrindimas dėl VPT patvirtintų tipinių paslaugų teikimo sutarčių šablono netaikymo </w:t>
            </w:r>
          </w:p>
          <w:p w14:paraId="67826F5D" w14:textId="77777777" w:rsidR="00611058" w:rsidRPr="00396864" w:rsidRDefault="00611058" w:rsidP="00DD43FF">
            <w:pPr>
              <w:pStyle w:val="Antrat1"/>
              <w:tabs>
                <w:tab w:val="left" w:pos="0"/>
              </w:tabs>
              <w:ind w:firstLine="0"/>
              <w:rPr>
                <w:rFonts w:ascii="Arial" w:eastAsia="Calibri" w:hAnsi="Arial" w:cs="Arial"/>
                <w:b/>
                <w:sz w:val="22"/>
                <w:szCs w:val="22"/>
              </w:rPr>
            </w:pPr>
          </w:p>
        </w:tc>
        <w:tc>
          <w:tcPr>
            <w:tcW w:w="5810" w:type="dxa"/>
          </w:tcPr>
          <w:p w14:paraId="6D329D7A" w14:textId="77777777" w:rsidR="00DE59B1" w:rsidRPr="00F66DF2" w:rsidRDefault="00DE59B1" w:rsidP="00DE59B1">
            <w:pPr>
              <w:rPr>
                <w:rFonts w:ascii="Arial" w:hAnsi="Arial" w:cs="Arial"/>
                <w:sz w:val="22"/>
                <w:szCs w:val="22"/>
              </w:rPr>
            </w:pPr>
            <w:r w:rsidRPr="00F66DF2">
              <w:rPr>
                <w:rFonts w:ascii="Arial" w:hAnsi="Arial" w:cs="Arial"/>
                <w:b/>
                <w:bCs/>
                <w:sz w:val="22"/>
                <w:szCs w:val="22"/>
              </w:rPr>
              <w:lastRenderedPageBreak/>
              <w:t xml:space="preserve">Su valstybinės reikšmės kelių (bei kitų transporto statinių) tiesimo, rekonstravimo, taisymo ir priežiūros darbais susijusių papildomų ar arbitražinių </w:t>
            </w:r>
            <w:r w:rsidRPr="00F66DF2">
              <w:rPr>
                <w:rFonts w:ascii="Arial" w:hAnsi="Arial" w:cs="Arial"/>
                <w:b/>
                <w:bCs/>
                <w:sz w:val="22"/>
                <w:szCs w:val="22"/>
              </w:rPr>
              <w:lastRenderedPageBreak/>
              <w:t>laboratorinių tyrimų ir bandymų atlikimo paslaugoms būdingos šios ypatybės</w:t>
            </w:r>
            <w:r w:rsidRPr="00F66DF2">
              <w:rPr>
                <w:rFonts w:ascii="Arial" w:hAnsi="Arial" w:cs="Arial"/>
                <w:sz w:val="22"/>
                <w:szCs w:val="22"/>
              </w:rPr>
              <w:t>, dėl kurių Tipinės sąlygos nėra tinkamos:</w:t>
            </w:r>
          </w:p>
          <w:p w14:paraId="49D04B27" w14:textId="19BA458B" w:rsidR="00DE59B1" w:rsidRPr="00F66DF2" w:rsidRDefault="00DE59B1" w:rsidP="00DE59B1">
            <w:pPr>
              <w:numPr>
                <w:ilvl w:val="0"/>
                <w:numId w:val="31"/>
              </w:numPr>
              <w:tabs>
                <w:tab w:val="clear" w:pos="720"/>
              </w:tabs>
              <w:spacing w:after="160"/>
              <w:ind w:left="36" w:firstLine="0"/>
              <w:rPr>
                <w:rFonts w:ascii="Arial" w:hAnsi="Arial" w:cs="Arial"/>
                <w:sz w:val="22"/>
                <w:szCs w:val="22"/>
              </w:rPr>
            </w:pPr>
            <w:r w:rsidRPr="00F66DF2">
              <w:rPr>
                <w:rFonts w:ascii="Arial" w:hAnsi="Arial" w:cs="Arial"/>
                <w:b/>
                <w:bCs/>
                <w:sz w:val="22"/>
                <w:szCs w:val="22"/>
              </w:rPr>
              <w:t xml:space="preserve">Specifinis paslaugų pobūdis. </w:t>
            </w:r>
            <w:r w:rsidRPr="00F66DF2">
              <w:rPr>
                <w:rFonts w:ascii="Arial" w:hAnsi="Arial" w:cs="Arial"/>
                <w:sz w:val="22"/>
                <w:szCs w:val="22"/>
              </w:rPr>
              <w:t xml:space="preserve">Papildomi ar arbitražiniai laboratoriniai tyrimai ir bandymai yra specializuotos, techninio pobūdžio paslaugos, atliekamos pagal statybos normatyvus, techninius reglamentus ar techninius darbo projektus. Jų apimtis, trukmė, atlikimo vietos ir metodikos priklauso nuo konkrečių statybos darbų pobūdžio ir sąlygų, todėl </w:t>
            </w:r>
            <w:r w:rsidRPr="00F66DF2">
              <w:rPr>
                <w:rFonts w:ascii="Arial" w:hAnsi="Arial" w:cs="Arial"/>
                <w:b/>
                <w:bCs/>
                <w:sz w:val="22"/>
                <w:szCs w:val="22"/>
              </w:rPr>
              <w:t>reikia lankstesnių ir techninius reikalavimus atitinkančių sutarčių sąlygų</w:t>
            </w:r>
            <w:r w:rsidRPr="00F66DF2">
              <w:rPr>
                <w:rFonts w:ascii="Arial" w:hAnsi="Arial" w:cs="Arial"/>
                <w:sz w:val="22"/>
                <w:szCs w:val="22"/>
              </w:rPr>
              <w:t>, nei siūlo bendro pobūdžio Tipinės sąlygos.</w:t>
            </w:r>
          </w:p>
          <w:p w14:paraId="56DFFE7E" w14:textId="1DCA629D" w:rsidR="00DE59B1" w:rsidRPr="00F66DF2" w:rsidRDefault="00DE59B1" w:rsidP="00DE59B1">
            <w:pPr>
              <w:numPr>
                <w:ilvl w:val="0"/>
                <w:numId w:val="31"/>
              </w:numPr>
              <w:tabs>
                <w:tab w:val="clear" w:pos="720"/>
              </w:tabs>
              <w:spacing w:after="160"/>
              <w:ind w:left="36" w:firstLine="0"/>
              <w:rPr>
                <w:rFonts w:ascii="Arial" w:hAnsi="Arial" w:cs="Arial"/>
                <w:sz w:val="22"/>
                <w:szCs w:val="22"/>
              </w:rPr>
            </w:pPr>
            <w:r w:rsidRPr="00F66DF2">
              <w:rPr>
                <w:rFonts w:ascii="Arial" w:hAnsi="Arial" w:cs="Arial"/>
                <w:b/>
                <w:bCs/>
                <w:sz w:val="22"/>
                <w:szCs w:val="22"/>
              </w:rPr>
              <w:t xml:space="preserve">Paslaugų teikimo būtinybė ekstremaliomis ar neatidėliotinomis sąlygomis. </w:t>
            </w:r>
            <w:r w:rsidRPr="00F66DF2">
              <w:rPr>
                <w:rFonts w:ascii="Arial" w:hAnsi="Arial" w:cs="Arial"/>
                <w:sz w:val="22"/>
                <w:szCs w:val="22"/>
              </w:rPr>
              <w:t xml:space="preserve">Arbitražiniai tyrimai dažnai atliekami kaip atsakas į ginčytinas situacijas statybos aikštelėje. Dėl to reikalingas operatyvumas, konkretūs terminai, detalūs procedūriniai reikalavimai, kurie </w:t>
            </w:r>
            <w:r w:rsidRPr="00F66DF2">
              <w:rPr>
                <w:rFonts w:ascii="Arial" w:hAnsi="Arial" w:cs="Arial"/>
                <w:b/>
                <w:bCs/>
                <w:sz w:val="22"/>
                <w:szCs w:val="22"/>
              </w:rPr>
              <w:t>nėra numatyti Tipinėse sąlygose</w:t>
            </w:r>
            <w:r w:rsidRPr="00F66DF2">
              <w:rPr>
                <w:rFonts w:ascii="Arial" w:hAnsi="Arial" w:cs="Arial"/>
                <w:sz w:val="22"/>
                <w:szCs w:val="22"/>
              </w:rPr>
              <w:t>, bet yra kritiškai svarbūs kokybiškam tyrimų rezultatų pritaikymui.</w:t>
            </w:r>
          </w:p>
          <w:p w14:paraId="6A33141E" w14:textId="1518A6B8" w:rsidR="00DE59B1" w:rsidRPr="00F66DF2" w:rsidRDefault="00DE59B1" w:rsidP="00DE59B1">
            <w:pPr>
              <w:numPr>
                <w:ilvl w:val="0"/>
                <w:numId w:val="31"/>
              </w:numPr>
              <w:tabs>
                <w:tab w:val="clear" w:pos="720"/>
              </w:tabs>
              <w:spacing w:after="160"/>
              <w:ind w:left="36" w:firstLine="0"/>
              <w:rPr>
                <w:rFonts w:ascii="Arial" w:hAnsi="Arial" w:cs="Arial"/>
                <w:sz w:val="22"/>
                <w:szCs w:val="22"/>
              </w:rPr>
            </w:pPr>
            <w:r w:rsidRPr="00F66DF2">
              <w:rPr>
                <w:rFonts w:ascii="Arial" w:hAnsi="Arial" w:cs="Arial"/>
                <w:b/>
                <w:bCs/>
                <w:sz w:val="22"/>
                <w:szCs w:val="22"/>
              </w:rPr>
              <w:t xml:space="preserve">Tiesioginis ryšys su statybos technine priežiūra ir kokybės kontrole. </w:t>
            </w:r>
            <w:r w:rsidRPr="00F66DF2">
              <w:rPr>
                <w:rFonts w:ascii="Arial" w:hAnsi="Arial" w:cs="Arial"/>
                <w:sz w:val="22"/>
                <w:szCs w:val="22"/>
              </w:rPr>
              <w:t xml:space="preserve">Tokio tipo paslaugos yra </w:t>
            </w:r>
            <w:r w:rsidRPr="00F66DF2">
              <w:rPr>
                <w:rFonts w:ascii="Arial" w:hAnsi="Arial" w:cs="Arial"/>
                <w:b/>
                <w:bCs/>
                <w:sz w:val="22"/>
                <w:szCs w:val="22"/>
              </w:rPr>
              <w:t>integrali statybos kokybės užtikrinimo dalis</w:t>
            </w:r>
            <w:r w:rsidRPr="00F66DF2">
              <w:rPr>
                <w:rFonts w:ascii="Arial" w:hAnsi="Arial" w:cs="Arial"/>
                <w:sz w:val="22"/>
                <w:szCs w:val="22"/>
              </w:rPr>
              <w:t>, kuri reikalauja griežto atitikimo techniniams reglamentams ir projekto specifikacijoms, todėl reikalauja specifinių sutarties nuostatų dėl atsakomybės, atskaitomybės, tyrimų metodų ir rezultatų pripažinimo. Tipinės sąlygos šių aspektų neapima.</w:t>
            </w:r>
          </w:p>
          <w:p w14:paraId="4497B5C3" w14:textId="6E8C4404" w:rsidR="00DE59B1" w:rsidRDefault="00DE59B1" w:rsidP="00DE59B1">
            <w:pPr>
              <w:numPr>
                <w:ilvl w:val="0"/>
                <w:numId w:val="31"/>
              </w:numPr>
              <w:tabs>
                <w:tab w:val="clear" w:pos="720"/>
              </w:tabs>
              <w:spacing w:after="160"/>
              <w:ind w:left="36" w:firstLine="0"/>
              <w:rPr>
                <w:rFonts w:ascii="Arial" w:hAnsi="Arial" w:cs="Arial"/>
                <w:sz w:val="22"/>
                <w:szCs w:val="22"/>
              </w:rPr>
            </w:pPr>
            <w:r w:rsidRPr="00F66DF2">
              <w:rPr>
                <w:rFonts w:ascii="Arial" w:hAnsi="Arial" w:cs="Arial"/>
                <w:b/>
                <w:bCs/>
                <w:sz w:val="22"/>
                <w:szCs w:val="22"/>
              </w:rPr>
              <w:t xml:space="preserve">Sąsajos su kitų sutarčių vykdymu ir įgyvendinimu. </w:t>
            </w:r>
            <w:r w:rsidRPr="00F66DF2">
              <w:rPr>
                <w:rFonts w:ascii="Arial" w:hAnsi="Arial" w:cs="Arial"/>
                <w:sz w:val="22"/>
                <w:szCs w:val="22"/>
              </w:rPr>
              <w:t xml:space="preserve">Laboratoriniai tyrimai dažnai susiję su pagrindinių rangos sutarčių kontrole. Tam reikalingas </w:t>
            </w:r>
            <w:r w:rsidRPr="00F66DF2">
              <w:rPr>
                <w:rFonts w:ascii="Arial" w:hAnsi="Arial" w:cs="Arial"/>
                <w:b/>
                <w:bCs/>
                <w:sz w:val="22"/>
                <w:szCs w:val="22"/>
              </w:rPr>
              <w:t>suderinamumas su techniniais projektais ir statybos darbų sutartimis</w:t>
            </w:r>
            <w:r w:rsidRPr="00F66DF2">
              <w:rPr>
                <w:rFonts w:ascii="Arial" w:hAnsi="Arial" w:cs="Arial"/>
                <w:sz w:val="22"/>
                <w:szCs w:val="22"/>
              </w:rPr>
              <w:t xml:space="preserve">, kurių VPT Tipinės sąlygos neapima, todėl </w:t>
            </w:r>
            <w:r w:rsidRPr="00F66DF2">
              <w:rPr>
                <w:rFonts w:ascii="Arial" w:hAnsi="Arial" w:cs="Arial"/>
                <w:b/>
                <w:bCs/>
                <w:sz w:val="22"/>
                <w:szCs w:val="22"/>
              </w:rPr>
              <w:t>reikia individualiai pritaikytų sutarčių sąlygų</w:t>
            </w:r>
            <w:r w:rsidRPr="00F66DF2">
              <w:rPr>
                <w:rFonts w:ascii="Arial" w:hAnsi="Arial" w:cs="Arial"/>
                <w:sz w:val="22"/>
                <w:szCs w:val="22"/>
              </w:rPr>
              <w:t>.</w:t>
            </w:r>
          </w:p>
          <w:p w14:paraId="6995E6C3" w14:textId="77777777" w:rsidR="00F66DF2" w:rsidRPr="00F66DF2" w:rsidRDefault="00F66DF2" w:rsidP="00F66DF2">
            <w:pPr>
              <w:rPr>
                <w:rFonts w:ascii="Arial" w:hAnsi="Arial" w:cs="Arial"/>
                <w:sz w:val="22"/>
                <w:szCs w:val="22"/>
              </w:rPr>
            </w:pPr>
            <w:r w:rsidRPr="00F66DF2">
              <w:rPr>
                <w:rFonts w:ascii="Arial" w:hAnsi="Arial" w:cs="Arial"/>
                <w:sz w:val="22"/>
                <w:szCs w:val="22"/>
              </w:rPr>
              <w:t>Atsižvelgiant į tai, kad:</w:t>
            </w:r>
          </w:p>
          <w:p w14:paraId="36C2AFD1" w14:textId="77777777" w:rsidR="00F66DF2" w:rsidRPr="00F66DF2" w:rsidRDefault="00F66DF2" w:rsidP="00F66DF2">
            <w:pPr>
              <w:numPr>
                <w:ilvl w:val="0"/>
                <w:numId w:val="32"/>
              </w:numPr>
              <w:rPr>
                <w:rFonts w:ascii="Arial" w:hAnsi="Arial" w:cs="Arial"/>
                <w:sz w:val="22"/>
                <w:szCs w:val="22"/>
              </w:rPr>
            </w:pPr>
            <w:r w:rsidRPr="00F66DF2">
              <w:rPr>
                <w:rFonts w:ascii="Arial" w:hAnsi="Arial" w:cs="Arial"/>
                <w:sz w:val="22"/>
                <w:szCs w:val="22"/>
              </w:rPr>
              <w:t>paslaugos yra itin specializuotos ir susijusios su techniniu reglamentavimu;</w:t>
            </w:r>
          </w:p>
          <w:p w14:paraId="65DFAAC2" w14:textId="77777777" w:rsidR="00F66DF2" w:rsidRPr="00F66DF2" w:rsidRDefault="00F66DF2" w:rsidP="00F66DF2">
            <w:pPr>
              <w:numPr>
                <w:ilvl w:val="0"/>
                <w:numId w:val="32"/>
              </w:numPr>
              <w:rPr>
                <w:rFonts w:ascii="Arial" w:hAnsi="Arial" w:cs="Arial"/>
                <w:sz w:val="22"/>
                <w:szCs w:val="22"/>
              </w:rPr>
            </w:pPr>
            <w:r w:rsidRPr="00F66DF2">
              <w:rPr>
                <w:rFonts w:ascii="Arial" w:hAnsi="Arial" w:cs="Arial"/>
                <w:sz w:val="22"/>
                <w:szCs w:val="22"/>
              </w:rPr>
              <w:t>būtinas operatyvus jų atlikimas esant specifinėms aplinkybėms;</w:t>
            </w:r>
          </w:p>
          <w:p w14:paraId="50A6B967" w14:textId="77777777" w:rsidR="00F66DF2" w:rsidRPr="00F66DF2" w:rsidRDefault="00F66DF2" w:rsidP="00F66DF2">
            <w:pPr>
              <w:numPr>
                <w:ilvl w:val="0"/>
                <w:numId w:val="32"/>
              </w:numPr>
              <w:rPr>
                <w:rFonts w:ascii="Arial" w:hAnsi="Arial" w:cs="Arial"/>
                <w:sz w:val="22"/>
                <w:szCs w:val="22"/>
              </w:rPr>
            </w:pPr>
            <w:r w:rsidRPr="00F66DF2">
              <w:rPr>
                <w:rFonts w:ascii="Arial" w:hAnsi="Arial" w:cs="Arial"/>
                <w:sz w:val="22"/>
                <w:szCs w:val="22"/>
              </w:rPr>
              <w:t>jos glaudžiai susijusios su valstybinės reikšmės infrastruktūros kokybės užtikrinimu;</w:t>
            </w:r>
          </w:p>
          <w:p w14:paraId="22D1F82D" w14:textId="1628F4CB" w:rsidR="00F66DF2" w:rsidRPr="00F66DF2" w:rsidRDefault="00F66DF2" w:rsidP="00F66DF2">
            <w:pPr>
              <w:rPr>
                <w:rFonts w:ascii="Arial" w:hAnsi="Arial" w:cs="Arial"/>
                <w:sz w:val="22"/>
                <w:szCs w:val="22"/>
              </w:rPr>
            </w:pPr>
            <w:r w:rsidRPr="00F66DF2">
              <w:rPr>
                <w:rFonts w:ascii="Arial" w:hAnsi="Arial" w:cs="Arial"/>
                <w:sz w:val="22"/>
                <w:szCs w:val="22"/>
              </w:rPr>
              <w:t xml:space="preserve">— </w:t>
            </w:r>
            <w:r w:rsidRPr="00F66DF2">
              <w:rPr>
                <w:rFonts w:ascii="Arial" w:hAnsi="Arial" w:cs="Arial"/>
                <w:b/>
                <w:bCs/>
                <w:sz w:val="22"/>
                <w:szCs w:val="22"/>
              </w:rPr>
              <w:t>VPT Tipinės pirkimo sutarčių sąlygos šiuo atveju nėra taikomos, nes neužtikrina tinkamo paslaugų pobūdį atitinkančio teisinio reguliavimo ir neužtikrina sklandaus paslaugų vykdymo.</w:t>
            </w:r>
          </w:p>
          <w:p w14:paraId="11F72EC3" w14:textId="77777777" w:rsidR="00611058" w:rsidRPr="00396864" w:rsidRDefault="00611058" w:rsidP="00DD43FF">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5BFD2C53"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sidR="00601E5E">
        <w:rPr>
          <w:rFonts w:ascii="Arial" w:hAnsi="Arial" w:cs="Arial"/>
          <w:sz w:val="22"/>
          <w:szCs w:val="22"/>
        </w:rPr>
        <w:t>specifikacija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lastRenderedPageBreak/>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04406506" w14:textId="7DE378D2"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12 priedas. P</w:t>
      </w:r>
      <w:r w:rsidR="00D01174">
        <w:rPr>
          <w:rFonts w:ascii="Arial" w:hAnsi="Arial" w:cs="Arial"/>
          <w:sz w:val="22"/>
          <w:szCs w:val="22"/>
        </w:rPr>
        <w:t>reliminariosios ir pagrindinės sutarties sudarymo ir vykdymo</w:t>
      </w:r>
      <w:r w:rsidRPr="00694274">
        <w:rPr>
          <w:rFonts w:ascii="Arial" w:hAnsi="Arial" w:cs="Arial"/>
          <w:sz w:val="22"/>
          <w:szCs w:val="22"/>
        </w:rPr>
        <w:t xml:space="preserve"> tvarka </w:t>
      </w:r>
      <w:r w:rsidRPr="007C1FEE">
        <w:rPr>
          <w:rFonts w:ascii="Arial" w:hAnsi="Arial" w:cs="Arial"/>
          <w:sz w:val="22"/>
          <w:szCs w:val="22"/>
        </w:rPr>
        <w:t>(pridedama atskiru priedu)</w:t>
      </w:r>
      <w:r w:rsidR="00D01174">
        <w:rPr>
          <w:rFonts w:ascii="Arial" w:hAnsi="Arial" w:cs="Arial"/>
          <w:sz w:val="22"/>
          <w:szCs w:val="22"/>
        </w:rPr>
        <w:t>.</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3BB83424" w14:textId="77777777" w:rsidR="00E72A5E" w:rsidRDefault="00E72A5E" w:rsidP="00F31248">
      <w:pPr>
        <w:pStyle w:val="Pagrindinistekstas"/>
        <w:ind w:firstLine="0"/>
        <w:rPr>
          <w:rFonts w:ascii="Arial" w:hAnsi="Arial" w:cs="Arial"/>
          <w:b/>
          <w:bCs/>
          <w:sz w:val="22"/>
          <w:szCs w:val="22"/>
        </w:rPr>
      </w:pPr>
    </w:p>
    <w:p w14:paraId="5473BE42" w14:textId="77777777" w:rsidR="00E72A5E" w:rsidRDefault="00E72A5E" w:rsidP="00F31248">
      <w:pPr>
        <w:pStyle w:val="Pagrindinistekstas"/>
        <w:ind w:firstLine="0"/>
        <w:rPr>
          <w:rFonts w:ascii="Arial" w:hAnsi="Arial" w:cs="Arial"/>
          <w:b/>
          <w:bCs/>
          <w:sz w:val="22"/>
          <w:szCs w:val="22"/>
        </w:rPr>
      </w:pPr>
    </w:p>
    <w:p w14:paraId="56B719B1" w14:textId="77777777" w:rsidR="00E72A5E" w:rsidRDefault="00E72A5E" w:rsidP="00F31248">
      <w:pPr>
        <w:pStyle w:val="Pagrindinistekstas"/>
        <w:ind w:firstLine="0"/>
        <w:rPr>
          <w:rFonts w:ascii="Arial" w:hAnsi="Arial" w:cs="Arial"/>
          <w:b/>
          <w:bCs/>
          <w:sz w:val="22"/>
          <w:szCs w:val="22"/>
        </w:rPr>
      </w:pPr>
    </w:p>
    <w:p w14:paraId="3C3667F9" w14:textId="77777777" w:rsidR="00E72A5E" w:rsidRDefault="00E72A5E" w:rsidP="00F31248">
      <w:pPr>
        <w:pStyle w:val="Pagrindinistekstas"/>
        <w:ind w:firstLine="0"/>
        <w:rPr>
          <w:rFonts w:ascii="Arial" w:hAnsi="Arial" w:cs="Arial"/>
          <w:b/>
          <w:bCs/>
          <w:sz w:val="22"/>
          <w:szCs w:val="22"/>
        </w:rPr>
      </w:pPr>
    </w:p>
    <w:p w14:paraId="37A2DE0B" w14:textId="77777777" w:rsidR="00E72A5E" w:rsidRDefault="00E72A5E" w:rsidP="00F31248">
      <w:pPr>
        <w:pStyle w:val="Pagrindinistekstas"/>
        <w:ind w:firstLine="0"/>
        <w:rPr>
          <w:rFonts w:ascii="Arial" w:hAnsi="Arial" w:cs="Arial"/>
          <w:b/>
          <w:bCs/>
          <w:sz w:val="22"/>
          <w:szCs w:val="22"/>
        </w:rPr>
      </w:pPr>
    </w:p>
    <w:p w14:paraId="21CFB9EC" w14:textId="77777777" w:rsidR="00E72A5E" w:rsidRDefault="00E72A5E" w:rsidP="00F31248">
      <w:pPr>
        <w:pStyle w:val="Pagrindinistekstas"/>
        <w:ind w:firstLine="0"/>
        <w:rPr>
          <w:rFonts w:ascii="Arial" w:hAnsi="Arial" w:cs="Arial"/>
          <w:b/>
          <w:bCs/>
          <w:sz w:val="22"/>
          <w:szCs w:val="22"/>
        </w:rPr>
      </w:pPr>
    </w:p>
    <w:p w14:paraId="0D8D4DFB" w14:textId="77777777" w:rsidR="00E72A5E" w:rsidRDefault="00E72A5E" w:rsidP="00F31248">
      <w:pPr>
        <w:pStyle w:val="Pagrindinistekstas"/>
        <w:ind w:firstLine="0"/>
        <w:rPr>
          <w:rFonts w:ascii="Arial" w:hAnsi="Arial" w:cs="Arial"/>
          <w:b/>
          <w:bCs/>
          <w:sz w:val="22"/>
          <w:szCs w:val="22"/>
        </w:rPr>
      </w:pPr>
    </w:p>
    <w:p w14:paraId="5E8D5941" w14:textId="77777777" w:rsidR="00E72A5E" w:rsidRDefault="00E72A5E" w:rsidP="00F31248">
      <w:pPr>
        <w:pStyle w:val="Pagrindinistekstas"/>
        <w:ind w:firstLine="0"/>
        <w:rPr>
          <w:rFonts w:ascii="Arial" w:hAnsi="Arial" w:cs="Arial"/>
          <w:b/>
          <w:bCs/>
          <w:sz w:val="22"/>
          <w:szCs w:val="22"/>
        </w:rPr>
      </w:pPr>
    </w:p>
    <w:p w14:paraId="4B8F79B9" w14:textId="77777777" w:rsidR="00E72A5E" w:rsidRDefault="00E72A5E" w:rsidP="00F31248">
      <w:pPr>
        <w:pStyle w:val="Pagrindinistekstas"/>
        <w:ind w:firstLine="0"/>
        <w:rPr>
          <w:rFonts w:ascii="Arial" w:hAnsi="Arial" w:cs="Arial"/>
          <w:b/>
          <w:bCs/>
          <w:sz w:val="22"/>
          <w:szCs w:val="22"/>
        </w:rPr>
      </w:pPr>
    </w:p>
    <w:p w14:paraId="086D6572" w14:textId="77777777" w:rsidR="00E72A5E" w:rsidRDefault="00E72A5E" w:rsidP="00F31248">
      <w:pPr>
        <w:pStyle w:val="Pagrindinistekstas"/>
        <w:ind w:firstLine="0"/>
        <w:rPr>
          <w:rFonts w:ascii="Arial" w:hAnsi="Arial" w:cs="Arial"/>
          <w:b/>
          <w:bCs/>
          <w:sz w:val="22"/>
          <w:szCs w:val="22"/>
        </w:rPr>
      </w:pPr>
    </w:p>
    <w:p w14:paraId="1CAD36EF" w14:textId="77777777" w:rsidR="00E72A5E" w:rsidRDefault="00E72A5E"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29AF31B0"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67A7C14A"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8DCA8C0" w14:textId="77777777" w:rsidR="00A01A63" w:rsidRDefault="00A01A63" w:rsidP="00A85C07">
      <w:pPr>
        <w:pStyle w:val="Sraopastraipa"/>
        <w:suppressAutoHyphens/>
        <w:ind w:left="360"/>
        <w:jc w:val="right"/>
        <w:rPr>
          <w:rFonts w:ascii="Arial" w:hAnsi="Arial" w:cs="Arial"/>
          <w:sz w:val="22"/>
          <w:szCs w:val="22"/>
        </w:rPr>
      </w:pPr>
      <w:bookmarkStart w:id="4" w:name="_Ref518306669"/>
    </w:p>
    <w:p w14:paraId="08ABE57E" w14:textId="77777777" w:rsidR="00A01A63" w:rsidRDefault="00A01A63" w:rsidP="00A85C07">
      <w:pPr>
        <w:pStyle w:val="Sraopastraipa"/>
        <w:suppressAutoHyphens/>
        <w:ind w:left="360"/>
        <w:jc w:val="right"/>
        <w:rPr>
          <w:rFonts w:ascii="Arial" w:hAnsi="Arial" w:cs="Arial"/>
          <w:sz w:val="22"/>
          <w:szCs w:val="22"/>
        </w:rPr>
      </w:pPr>
    </w:p>
    <w:p w14:paraId="38C0AAE5" w14:textId="77777777" w:rsidR="00A01A63" w:rsidRDefault="00A01A63" w:rsidP="00A85C07">
      <w:pPr>
        <w:pStyle w:val="Sraopastraipa"/>
        <w:suppressAutoHyphens/>
        <w:ind w:left="360"/>
        <w:jc w:val="right"/>
        <w:rPr>
          <w:rFonts w:ascii="Arial" w:hAnsi="Arial" w:cs="Arial"/>
          <w:sz w:val="22"/>
          <w:szCs w:val="22"/>
        </w:rPr>
      </w:pPr>
    </w:p>
    <w:p w14:paraId="1E573DB6" w14:textId="77777777" w:rsidR="00A01A63" w:rsidRDefault="00A01A63" w:rsidP="00A85C07">
      <w:pPr>
        <w:pStyle w:val="Sraopastraipa"/>
        <w:suppressAutoHyphens/>
        <w:ind w:left="360"/>
        <w:jc w:val="right"/>
        <w:rPr>
          <w:rFonts w:ascii="Arial" w:hAnsi="Arial" w:cs="Arial"/>
          <w:sz w:val="22"/>
          <w:szCs w:val="22"/>
        </w:rPr>
      </w:pPr>
    </w:p>
    <w:p w14:paraId="3E9E9293" w14:textId="5268EC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6B7573A5" w14:textId="39AF194F" w:rsidR="00D636F6"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p>
    <w:p w14:paraId="4E996238" w14:textId="0EFAF85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0FB0C468"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67159B">
        <w:rPr>
          <w:rFonts w:ascii="Arial" w:hAnsi="Arial" w:cs="Arial"/>
          <w:sz w:val="22"/>
          <w:szCs w:val="22"/>
        </w:rPr>
        <w:t>specifikacija</w:t>
      </w:r>
      <w:r>
        <w:rPr>
          <w:rFonts w:ascii="Arial" w:hAnsi="Arial" w:cs="Arial"/>
          <w:sz w:val="22"/>
          <w:szCs w:val="22"/>
        </w:rPr>
        <w:t>.</w:t>
      </w:r>
      <w:r w:rsidR="0067159B">
        <w:rPr>
          <w:rFonts w:ascii="Arial" w:hAnsi="Arial" w:cs="Arial"/>
          <w:sz w:val="22"/>
          <w:szCs w:val="22"/>
        </w:rPr>
        <w:t>docx</w:t>
      </w:r>
    </w:p>
    <w:p w14:paraId="101EDDE5" w14:textId="77777777" w:rsidR="0030777E" w:rsidRPr="00DA7C27" w:rsidRDefault="0030777E" w:rsidP="0030777E">
      <w:pPr>
        <w:ind w:firstLine="567"/>
        <w:rPr>
          <w:rFonts w:ascii="Arial" w:hAnsi="Arial" w:cs="Arial"/>
          <w:sz w:val="22"/>
          <w:szCs w:val="22"/>
        </w:rPr>
      </w:pPr>
    </w:p>
    <w:p w14:paraId="0B334ECB" w14:textId="20FA403C"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w:t>
      </w:r>
      <w:r w:rsidR="0067159B">
        <w:rPr>
          <w:rFonts w:ascii="Arial" w:hAnsi="Arial" w:cs="Arial"/>
          <w:sz w:val="22"/>
          <w:szCs w:val="22"/>
        </w:rPr>
        <w:t>s</w:t>
      </w:r>
      <w:r w:rsidRPr="00DA7C27">
        <w:rPr>
          <w:rFonts w:ascii="Arial" w:hAnsi="Arial" w:cs="Arial"/>
          <w:sz w:val="22"/>
          <w:szCs w:val="22"/>
        </w:rPr>
        <w:t xml:space="preserve"> skelbiam</w:t>
      </w:r>
      <w:r w:rsidR="0067159B">
        <w:rPr>
          <w:rFonts w:ascii="Arial" w:hAnsi="Arial" w:cs="Arial"/>
          <w:sz w:val="22"/>
          <w:szCs w:val="22"/>
        </w:rPr>
        <w:t>as</w:t>
      </w:r>
      <w:r w:rsidRPr="00DA7C27">
        <w:rPr>
          <w:rFonts w:ascii="Arial" w:hAnsi="Arial" w:cs="Arial"/>
          <w:sz w:val="22"/>
          <w:szCs w:val="22"/>
        </w:rPr>
        <w:t xml:space="preserve">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7C64" w14:textId="77777777" w:rsidR="006D483C" w:rsidRDefault="006D483C" w:rsidP="0075209B">
      <w:r>
        <w:separator/>
      </w:r>
    </w:p>
  </w:endnote>
  <w:endnote w:type="continuationSeparator" w:id="0">
    <w:p w14:paraId="4E9CEB73" w14:textId="77777777" w:rsidR="006D483C" w:rsidRDefault="006D483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398" w14:textId="77777777" w:rsidR="006D483C" w:rsidRDefault="006D483C" w:rsidP="0075209B">
      <w:r>
        <w:separator/>
      </w:r>
    </w:p>
  </w:footnote>
  <w:footnote w:type="continuationSeparator" w:id="0">
    <w:p w14:paraId="56E1D841" w14:textId="77777777" w:rsidR="006D483C" w:rsidRDefault="006D483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8F80AB8"/>
    <w:multiLevelType w:val="multilevel"/>
    <w:tmpl w:val="A880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BC1AD2"/>
    <w:multiLevelType w:val="multilevel"/>
    <w:tmpl w:val="6674F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D997846"/>
    <w:multiLevelType w:val="multilevel"/>
    <w:tmpl w:val="AC26CE3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0"/>
  </w:num>
  <w:num w:numId="2" w16cid:durableId="449669383">
    <w:abstractNumId w:val="15"/>
  </w:num>
  <w:num w:numId="3" w16cid:durableId="1681542963">
    <w:abstractNumId w:val="2"/>
  </w:num>
  <w:num w:numId="4" w16cid:durableId="2021657991">
    <w:abstractNumId w:val="6"/>
  </w:num>
  <w:num w:numId="5" w16cid:durableId="132866609">
    <w:abstractNumId w:val="16"/>
  </w:num>
  <w:num w:numId="6" w16cid:durableId="408162091">
    <w:abstractNumId w:val="29"/>
  </w:num>
  <w:num w:numId="7" w16cid:durableId="634990135">
    <w:abstractNumId w:val="30"/>
  </w:num>
  <w:num w:numId="8" w16cid:durableId="819346757">
    <w:abstractNumId w:val="14"/>
  </w:num>
  <w:num w:numId="9" w16cid:durableId="625156943">
    <w:abstractNumId w:val="0"/>
  </w:num>
  <w:num w:numId="10" w16cid:durableId="776876079">
    <w:abstractNumId w:val="7"/>
  </w:num>
  <w:num w:numId="11" w16cid:durableId="993022486">
    <w:abstractNumId w:val="12"/>
  </w:num>
  <w:num w:numId="12" w16cid:durableId="1349021203">
    <w:abstractNumId w:val="13"/>
  </w:num>
  <w:num w:numId="13" w16cid:durableId="1859735600">
    <w:abstractNumId w:val="20"/>
  </w:num>
  <w:num w:numId="14" w16cid:durableId="1308589039">
    <w:abstractNumId w:val="4"/>
  </w:num>
  <w:num w:numId="15" w16cid:durableId="1482305889">
    <w:abstractNumId w:val="26"/>
  </w:num>
  <w:num w:numId="16" w16cid:durableId="152256294">
    <w:abstractNumId w:val="18"/>
  </w:num>
  <w:num w:numId="17" w16cid:durableId="1516917841">
    <w:abstractNumId w:val="11"/>
  </w:num>
  <w:num w:numId="18" w16cid:durableId="2105684055">
    <w:abstractNumId w:val="24"/>
  </w:num>
  <w:num w:numId="19" w16cid:durableId="371005059">
    <w:abstractNumId w:val="22"/>
  </w:num>
  <w:num w:numId="20" w16cid:durableId="1789858266">
    <w:abstractNumId w:val="28"/>
  </w:num>
  <w:num w:numId="21" w16cid:durableId="494614562">
    <w:abstractNumId w:val="23"/>
  </w:num>
  <w:num w:numId="22" w16cid:durableId="1473055655">
    <w:abstractNumId w:val="27"/>
  </w:num>
  <w:num w:numId="23" w16cid:durableId="510532351">
    <w:abstractNumId w:val="1"/>
  </w:num>
  <w:num w:numId="24"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5"/>
  </w:num>
  <w:num w:numId="27" w16cid:durableId="591427287">
    <w:abstractNumId w:val="3"/>
  </w:num>
  <w:num w:numId="28" w16cid:durableId="1017658676">
    <w:abstractNumId w:val="19"/>
  </w:num>
  <w:num w:numId="29" w16cid:durableId="1599168532">
    <w:abstractNumId w:val="9"/>
  </w:num>
  <w:num w:numId="30" w16cid:durableId="1752779270">
    <w:abstractNumId w:val="21"/>
  </w:num>
  <w:num w:numId="31" w16cid:durableId="142738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574683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15C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C19"/>
    <w:rsid w:val="000741B0"/>
    <w:rsid w:val="00074E76"/>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C7CA7"/>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672B"/>
    <w:rsid w:val="00137578"/>
    <w:rsid w:val="0014022F"/>
    <w:rsid w:val="00140C6E"/>
    <w:rsid w:val="00140DFE"/>
    <w:rsid w:val="00142DC9"/>
    <w:rsid w:val="001431D2"/>
    <w:rsid w:val="0014325A"/>
    <w:rsid w:val="001432B4"/>
    <w:rsid w:val="001441EC"/>
    <w:rsid w:val="00144B65"/>
    <w:rsid w:val="001450D9"/>
    <w:rsid w:val="00145A50"/>
    <w:rsid w:val="00146511"/>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535C"/>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4FBA"/>
    <w:rsid w:val="002454D8"/>
    <w:rsid w:val="00245A65"/>
    <w:rsid w:val="00246432"/>
    <w:rsid w:val="0024664A"/>
    <w:rsid w:val="00246CB5"/>
    <w:rsid w:val="0025084E"/>
    <w:rsid w:val="002509AE"/>
    <w:rsid w:val="0025149B"/>
    <w:rsid w:val="00251F73"/>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2C33"/>
    <w:rsid w:val="00273767"/>
    <w:rsid w:val="00273F34"/>
    <w:rsid w:val="00274E57"/>
    <w:rsid w:val="00274F6F"/>
    <w:rsid w:val="002760C7"/>
    <w:rsid w:val="002767B3"/>
    <w:rsid w:val="00276D75"/>
    <w:rsid w:val="00277A97"/>
    <w:rsid w:val="00277FFE"/>
    <w:rsid w:val="002812BE"/>
    <w:rsid w:val="002829CD"/>
    <w:rsid w:val="00283461"/>
    <w:rsid w:val="002836CB"/>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D7FFD"/>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53A"/>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15E4"/>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1A2A"/>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3487"/>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1E5E"/>
    <w:rsid w:val="00602063"/>
    <w:rsid w:val="0060240D"/>
    <w:rsid w:val="00602943"/>
    <w:rsid w:val="00602AEE"/>
    <w:rsid w:val="006040FF"/>
    <w:rsid w:val="0060485C"/>
    <w:rsid w:val="00604FC8"/>
    <w:rsid w:val="0060569D"/>
    <w:rsid w:val="0060592B"/>
    <w:rsid w:val="006075AB"/>
    <w:rsid w:val="0060791A"/>
    <w:rsid w:val="00607C97"/>
    <w:rsid w:val="00610677"/>
    <w:rsid w:val="00611058"/>
    <w:rsid w:val="0061133D"/>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59B"/>
    <w:rsid w:val="00671F9C"/>
    <w:rsid w:val="00673EBB"/>
    <w:rsid w:val="00674496"/>
    <w:rsid w:val="00675071"/>
    <w:rsid w:val="0067526C"/>
    <w:rsid w:val="0067587C"/>
    <w:rsid w:val="00675C34"/>
    <w:rsid w:val="00677758"/>
    <w:rsid w:val="00677943"/>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3D8A"/>
    <w:rsid w:val="006A4C42"/>
    <w:rsid w:val="006A5E45"/>
    <w:rsid w:val="006A6058"/>
    <w:rsid w:val="006A6F12"/>
    <w:rsid w:val="006B07C6"/>
    <w:rsid w:val="006B1131"/>
    <w:rsid w:val="006B2468"/>
    <w:rsid w:val="006B2500"/>
    <w:rsid w:val="006B285E"/>
    <w:rsid w:val="006B44AE"/>
    <w:rsid w:val="006B4F5B"/>
    <w:rsid w:val="006B55C1"/>
    <w:rsid w:val="006B62F4"/>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483C"/>
    <w:rsid w:val="006D5405"/>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5F62"/>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AF2"/>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2F"/>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618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A7F9C"/>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2F7"/>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0CC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1A63"/>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84C"/>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772D"/>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222"/>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03"/>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A45"/>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295"/>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3223"/>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74"/>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6F6"/>
    <w:rsid w:val="00D63C66"/>
    <w:rsid w:val="00D64138"/>
    <w:rsid w:val="00D6475F"/>
    <w:rsid w:val="00D647F2"/>
    <w:rsid w:val="00D64AF6"/>
    <w:rsid w:val="00D6595E"/>
    <w:rsid w:val="00D67E48"/>
    <w:rsid w:val="00D70605"/>
    <w:rsid w:val="00D75609"/>
    <w:rsid w:val="00D756B5"/>
    <w:rsid w:val="00D75831"/>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4AC"/>
    <w:rsid w:val="00DD6DCC"/>
    <w:rsid w:val="00DD775E"/>
    <w:rsid w:val="00DE02D9"/>
    <w:rsid w:val="00DE15A5"/>
    <w:rsid w:val="00DE2447"/>
    <w:rsid w:val="00DE3EC0"/>
    <w:rsid w:val="00DE43C9"/>
    <w:rsid w:val="00DE53CD"/>
    <w:rsid w:val="00DE580B"/>
    <w:rsid w:val="00DE59B1"/>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1DE"/>
    <w:rsid w:val="00E03AC8"/>
    <w:rsid w:val="00E042E0"/>
    <w:rsid w:val="00E04716"/>
    <w:rsid w:val="00E04CD8"/>
    <w:rsid w:val="00E05F00"/>
    <w:rsid w:val="00E05F1F"/>
    <w:rsid w:val="00E062ED"/>
    <w:rsid w:val="00E06B06"/>
    <w:rsid w:val="00E07C78"/>
    <w:rsid w:val="00E10931"/>
    <w:rsid w:val="00E11866"/>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68B2"/>
    <w:rsid w:val="00E67569"/>
    <w:rsid w:val="00E675AE"/>
    <w:rsid w:val="00E702B1"/>
    <w:rsid w:val="00E70EFF"/>
    <w:rsid w:val="00E71D8F"/>
    <w:rsid w:val="00E728F4"/>
    <w:rsid w:val="00E72994"/>
    <w:rsid w:val="00E72A5E"/>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86E40"/>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16B"/>
    <w:rsid w:val="00EF26EC"/>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58D2"/>
    <w:rsid w:val="00F56411"/>
    <w:rsid w:val="00F572C5"/>
    <w:rsid w:val="00F57E8B"/>
    <w:rsid w:val="00F61C36"/>
    <w:rsid w:val="00F61ECA"/>
    <w:rsid w:val="00F63A44"/>
    <w:rsid w:val="00F63F52"/>
    <w:rsid w:val="00F6445D"/>
    <w:rsid w:val="00F64C8D"/>
    <w:rsid w:val="00F64CD8"/>
    <w:rsid w:val="00F64D97"/>
    <w:rsid w:val="00F64E36"/>
    <w:rsid w:val="00F66435"/>
    <w:rsid w:val="00F66DF2"/>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6CEB"/>
    <w:rsid w:val="00FA798B"/>
    <w:rsid w:val="00FA7C63"/>
    <w:rsid w:val="00FB0B2B"/>
    <w:rsid w:val="00FB0C10"/>
    <w:rsid w:val="00FB2352"/>
    <w:rsid w:val="00FB3189"/>
    <w:rsid w:val="00FB347C"/>
    <w:rsid w:val="00FB3BEE"/>
    <w:rsid w:val="00FB54F2"/>
    <w:rsid w:val="00FB5E95"/>
    <w:rsid w:val="00FB710D"/>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6870"/>
    <w:rsid w:val="00FE7091"/>
    <w:rsid w:val="00FE7ABE"/>
    <w:rsid w:val="00FF18A4"/>
    <w:rsid w:val="00FF233C"/>
    <w:rsid w:val="00FF2511"/>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444A"/>
    <w:rsid w:val="001173AE"/>
    <w:rsid w:val="00121114"/>
    <w:rsid w:val="00127A49"/>
    <w:rsid w:val="00142FA0"/>
    <w:rsid w:val="0015196E"/>
    <w:rsid w:val="001631B1"/>
    <w:rsid w:val="001643DE"/>
    <w:rsid w:val="00173502"/>
    <w:rsid w:val="001A233C"/>
    <w:rsid w:val="001A28B0"/>
    <w:rsid w:val="001A5628"/>
    <w:rsid w:val="001A6E0F"/>
    <w:rsid w:val="001D2C7D"/>
    <w:rsid w:val="001E535C"/>
    <w:rsid w:val="001F0DFD"/>
    <w:rsid w:val="0021168B"/>
    <w:rsid w:val="00223E9B"/>
    <w:rsid w:val="00244C4B"/>
    <w:rsid w:val="00244CE3"/>
    <w:rsid w:val="0028079E"/>
    <w:rsid w:val="00283C8C"/>
    <w:rsid w:val="002B0F7C"/>
    <w:rsid w:val="002B4AD4"/>
    <w:rsid w:val="002B569E"/>
    <w:rsid w:val="002C5127"/>
    <w:rsid w:val="002C7C3E"/>
    <w:rsid w:val="00304F3B"/>
    <w:rsid w:val="00310C0B"/>
    <w:rsid w:val="003235E5"/>
    <w:rsid w:val="003248DC"/>
    <w:rsid w:val="00340203"/>
    <w:rsid w:val="00344298"/>
    <w:rsid w:val="00345D42"/>
    <w:rsid w:val="003544F6"/>
    <w:rsid w:val="00366897"/>
    <w:rsid w:val="00376E1D"/>
    <w:rsid w:val="00380F3F"/>
    <w:rsid w:val="003B2BBC"/>
    <w:rsid w:val="003C4942"/>
    <w:rsid w:val="003D6212"/>
    <w:rsid w:val="003E524A"/>
    <w:rsid w:val="003F175D"/>
    <w:rsid w:val="003F253A"/>
    <w:rsid w:val="00401C7D"/>
    <w:rsid w:val="004115D5"/>
    <w:rsid w:val="0042166F"/>
    <w:rsid w:val="0042525B"/>
    <w:rsid w:val="004510FC"/>
    <w:rsid w:val="004815E4"/>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833EC"/>
    <w:rsid w:val="006C355C"/>
    <w:rsid w:val="00702681"/>
    <w:rsid w:val="00716EAA"/>
    <w:rsid w:val="00720A5E"/>
    <w:rsid w:val="00724FFD"/>
    <w:rsid w:val="00773698"/>
    <w:rsid w:val="00774AE0"/>
    <w:rsid w:val="00783470"/>
    <w:rsid w:val="0079385A"/>
    <w:rsid w:val="007B7062"/>
    <w:rsid w:val="007B7C6C"/>
    <w:rsid w:val="007C0F8D"/>
    <w:rsid w:val="007C123A"/>
    <w:rsid w:val="007C2E92"/>
    <w:rsid w:val="007D53D6"/>
    <w:rsid w:val="007E1D2C"/>
    <w:rsid w:val="00802CE8"/>
    <w:rsid w:val="0082040C"/>
    <w:rsid w:val="008308EE"/>
    <w:rsid w:val="00836184"/>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0CCC"/>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1295"/>
    <w:rsid w:val="00C74436"/>
    <w:rsid w:val="00C919FF"/>
    <w:rsid w:val="00CB7754"/>
    <w:rsid w:val="00CE70F2"/>
    <w:rsid w:val="00CF074C"/>
    <w:rsid w:val="00D52390"/>
    <w:rsid w:val="00D54BEE"/>
    <w:rsid w:val="00D54F47"/>
    <w:rsid w:val="00D56EFB"/>
    <w:rsid w:val="00D63366"/>
    <w:rsid w:val="00D65316"/>
    <w:rsid w:val="00D74586"/>
    <w:rsid w:val="00D75831"/>
    <w:rsid w:val="00D81F66"/>
    <w:rsid w:val="00D84AA0"/>
    <w:rsid w:val="00DE260C"/>
    <w:rsid w:val="00DE4012"/>
    <w:rsid w:val="00DF254E"/>
    <w:rsid w:val="00DF762E"/>
    <w:rsid w:val="00E024CB"/>
    <w:rsid w:val="00E07382"/>
    <w:rsid w:val="00E17036"/>
    <w:rsid w:val="00E34D6F"/>
    <w:rsid w:val="00E354ED"/>
    <w:rsid w:val="00E370CA"/>
    <w:rsid w:val="00E47F17"/>
    <w:rsid w:val="00E55189"/>
    <w:rsid w:val="00E84BE0"/>
    <w:rsid w:val="00E8545D"/>
    <w:rsid w:val="00E9149F"/>
    <w:rsid w:val="00EA2C6D"/>
    <w:rsid w:val="00EB0E25"/>
    <w:rsid w:val="00EB7109"/>
    <w:rsid w:val="00ED1844"/>
    <w:rsid w:val="00ED36DF"/>
    <w:rsid w:val="00ED5465"/>
    <w:rsid w:val="00EE16FC"/>
    <w:rsid w:val="00EE46B2"/>
    <w:rsid w:val="00F056B0"/>
    <w:rsid w:val="00F07462"/>
    <w:rsid w:val="00F134E5"/>
    <w:rsid w:val="00F24C1B"/>
    <w:rsid w:val="00F2504E"/>
    <w:rsid w:val="00F30FFC"/>
    <w:rsid w:val="00F33E14"/>
    <w:rsid w:val="00F558D2"/>
    <w:rsid w:val="00F6564E"/>
    <w:rsid w:val="00F72F0B"/>
    <w:rsid w:val="00F96736"/>
    <w:rsid w:val="00FB3F88"/>
    <w:rsid w:val="00FE2BA7"/>
    <w:rsid w:val="00FE6870"/>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20</Pages>
  <Words>29106</Words>
  <Characters>16591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26</cp:revision>
  <cp:lastPrinted>2019-05-27T13:27:00Z</cp:lastPrinted>
  <dcterms:created xsi:type="dcterms:W3CDTF">2025-04-11T11:46:00Z</dcterms:created>
  <dcterms:modified xsi:type="dcterms:W3CDTF">2025-05-14T06:48:00Z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