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59035CA0"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AD1D59" w:rsidRPr="00AD1D59">
            <w:rPr>
              <w:rFonts w:ascii="Times New Roman" w:eastAsia="Times New Roman" w:hAnsi="Times New Roman" w:cs="Times New Roman"/>
              <w:b/>
              <w:bCs/>
              <w:sz w:val="24"/>
              <w:szCs w:val="24"/>
              <w:lang w:eastAsia="en-US"/>
            </w:rPr>
            <w:t>RŪSIO PATALPŲ PAPRASTOJO REMONTO DARBŲ, ADRESU: RESPUBLIKOS G. 4, NAUJOJI AKMENĖ, AKMENĖS R. SAV.,</w:t>
          </w:r>
          <w:r w:rsidR="00AD1D59">
            <w:rPr>
              <w:rFonts w:ascii="Times New Roman" w:eastAsia="Times New Roman" w:hAnsi="Times New Roman" w:cs="Times New Roman"/>
              <w:b/>
              <w:bCs/>
              <w:sz w:val="24"/>
              <w:szCs w:val="24"/>
              <w:lang w:eastAsia="en-US"/>
            </w:rPr>
            <w:t xml:space="preserve"> </w:t>
          </w:r>
          <w:r w:rsidR="00DD0F35"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825F0D"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1CDA"/>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59F"/>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ADB"/>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0D"/>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1D59"/>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99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9B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EB8"/>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F35"/>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33617</Words>
  <Characters>19162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21</cp:revision>
  <dcterms:created xsi:type="dcterms:W3CDTF">2024-08-21T07:59:00Z</dcterms:created>
  <dcterms:modified xsi:type="dcterms:W3CDTF">2025-05-15T11:55:00Z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