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rsidR="00027B83" w:rsidRDefault="00027B83" w:rsidP="00D418E6">
      <w:pPr>
        <w:spacing w:line="276" w:lineRule="auto"/>
        <w:ind w:firstLine="5670"/>
        <w:rPr>
          <w:bCs/>
          <w:caps/>
        </w:rPr>
      </w:pPr>
    </w:p>
    <w:p w:rsidR="00027B83" w:rsidRDefault="00027B83">
      <w:pPr>
        <w:spacing w:line="276" w:lineRule="auto"/>
        <w:rPr>
          <w:b/>
          <w:caps/>
        </w:rPr>
      </w:pPr>
    </w:p>
    <w:p w:rsidR="00027B83" w:rsidRDefault="00027B83">
      <w:pPr>
        <w:spacing w:line="276" w:lineRule="auto"/>
        <w:jc w:val="center"/>
        <w:rPr>
          <w:b/>
          <w:caps/>
        </w:rPr>
      </w:pPr>
    </w:p>
    <w:p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rsidR="00027B83" w:rsidRDefault="00027B83">
      <w:pPr>
        <w:spacing w:line="276" w:lineRule="auto"/>
        <w:jc w:val="center"/>
      </w:pPr>
    </w:p>
    <w:p w:rsidR="00027B83" w:rsidRDefault="000B0897">
      <w:pPr>
        <w:keepNext/>
        <w:keepLines/>
        <w:tabs>
          <w:tab w:val="left" w:pos="426"/>
        </w:tabs>
        <w:spacing w:line="276" w:lineRule="auto"/>
        <w:jc w:val="center"/>
        <w:rPr>
          <w:rFonts w:eastAsia="Cambria"/>
          <w:b/>
          <w:bCs/>
          <w:caps/>
        </w:rPr>
      </w:pPr>
      <w:r>
        <w:rPr>
          <w:rFonts w:eastAsia="Cambria"/>
          <w:b/>
          <w:bCs/>
          <w:caps/>
        </w:rPr>
        <w:t>1.</w:t>
      </w:r>
      <w:r>
        <w:rPr>
          <w:rFonts w:eastAsia="Cambria"/>
          <w:b/>
          <w:bCs/>
          <w:caps/>
        </w:rPr>
        <w:tab/>
        <w:t>Pagrindinės sąvokos ir Sutarties aiškinimas</w:t>
      </w:r>
    </w:p>
    <w:p w:rsidR="00027B83" w:rsidRDefault="00027B83">
      <w:pPr>
        <w:keepNext/>
        <w:keepLines/>
        <w:tabs>
          <w:tab w:val="left" w:pos="426"/>
        </w:tabs>
        <w:spacing w:line="276" w:lineRule="auto"/>
        <w:jc w:val="both"/>
        <w:rPr>
          <w:rFonts w:eastAsia="Cambria"/>
          <w:b/>
          <w:bCs/>
          <w:caps/>
        </w:rPr>
      </w:pPr>
    </w:p>
    <w:p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tabs>
          <w:tab w:val="left" w:pos="567"/>
        </w:tabs>
        <w:spacing w:line="276" w:lineRule="auto"/>
        <w:jc w:val="center"/>
        <w:rPr>
          <w:rFonts w:eastAsia="Cambria"/>
          <w:b/>
          <w:bCs/>
        </w:rPr>
      </w:pPr>
      <w:r>
        <w:rPr>
          <w:rFonts w:eastAsia="Cambria"/>
          <w:b/>
          <w:bCs/>
        </w:rPr>
        <w:t>1.2.</w:t>
      </w:r>
      <w:r>
        <w:rPr>
          <w:rFonts w:eastAsia="Cambria"/>
          <w:b/>
          <w:bCs/>
        </w:rPr>
        <w:tab/>
        <w:t>Sutarties aiškinimas</w:t>
      </w:r>
    </w:p>
    <w:p w:rsidR="00027B83" w:rsidRDefault="00027B83">
      <w:pPr>
        <w:keepNext/>
        <w:keepLines/>
        <w:tabs>
          <w:tab w:val="left" w:pos="567"/>
        </w:tabs>
        <w:spacing w:line="276" w:lineRule="auto"/>
        <w:ind w:left="792"/>
        <w:jc w:val="both"/>
        <w:rPr>
          <w:rFonts w:eastAsia="Cambria"/>
          <w:b/>
          <w:bCs/>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rsidR="00027B83" w:rsidRDefault="000B0897">
      <w:pPr>
        <w:tabs>
          <w:tab w:val="left" w:pos="709"/>
        </w:tabs>
        <w:spacing w:line="276" w:lineRule="auto"/>
        <w:jc w:val="both"/>
        <w:outlineLvl w:val="2"/>
        <w:rPr>
          <w:rFonts w:eastAsia="Trebuchet MS"/>
          <w:bCs/>
        </w:rPr>
      </w:pPr>
      <w:r>
        <w:rPr>
          <w:rFonts w:eastAsia="Trebuchet MS"/>
          <w:bCs/>
        </w:rPr>
        <w:t>1.3.1.3. Bendrosios sąlygos;</w:t>
      </w:r>
    </w:p>
    <w:p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rsidR="00027B83" w:rsidRDefault="000B0897">
      <w:pPr>
        <w:tabs>
          <w:tab w:val="left" w:pos="709"/>
        </w:tabs>
        <w:spacing w:line="276" w:lineRule="auto"/>
        <w:jc w:val="both"/>
        <w:outlineLvl w:val="2"/>
        <w:rPr>
          <w:rFonts w:eastAsia="Trebuchet MS"/>
          <w:bCs/>
        </w:rPr>
      </w:pPr>
      <w:r>
        <w:rPr>
          <w:rFonts w:eastAsia="Trebuchet MS"/>
          <w:bCs/>
        </w:rPr>
        <w:t>1.3.1.5. Pasiūlymas;</w:t>
      </w:r>
    </w:p>
    <w:p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w:t>
      </w:r>
      <w:r>
        <w:rPr>
          <w:rFonts w:eastAsia="Arial"/>
        </w:rPr>
        <w:lastRenderedPageBreak/>
        <w:t xml:space="preserve">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027B83" w:rsidRDefault="00027B83">
      <w:pPr>
        <w:widowControl w:val="0"/>
        <w:tabs>
          <w:tab w:val="left" w:pos="426"/>
          <w:tab w:val="left" w:pos="567"/>
          <w:tab w:val="left" w:pos="851"/>
          <w:tab w:val="left" w:pos="992"/>
          <w:tab w:val="left" w:pos="1134"/>
        </w:tabs>
        <w:spacing w:line="276" w:lineRule="auto"/>
        <w:jc w:val="both"/>
        <w:rPr>
          <w:rFonts w:eastAsia="Arial"/>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w:t>
      </w:r>
      <w:r>
        <w:rPr>
          <w:rFonts w:eastAsia="Arial"/>
          <w:shd w:val="clear" w:color="auto" w:fill="FFFFFF"/>
        </w:rPr>
        <w:lastRenderedPageBreak/>
        <w:t xml:space="preserve">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w:t>
      </w:r>
      <w:r>
        <w:rPr>
          <w:rFonts w:eastAsia="Cambria"/>
          <w:shd w:val="clear" w:color="auto" w:fill="FFFFFF"/>
        </w:rPr>
        <w:lastRenderedPageBreak/>
        <w:t>Sutarties vykdyme, nutrūkus teisiniams santykiams su Tiekėju ir pan.) nebegali vykdyti visų ar dalies Sutartyje numatytų įsipareigojimų;</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w:t>
      </w:r>
      <w:r>
        <w:rPr>
          <w:rFonts w:eastAsia="Cambria"/>
          <w:shd w:val="clear" w:color="auto" w:fill="FFFFFF"/>
        </w:rPr>
        <w:lastRenderedPageBreak/>
        <w:t>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Pr>
          <w:rFonts w:eastAsia="Arial"/>
        </w:rPr>
        <w:lastRenderedPageBreak/>
        <w:t xml:space="preserve">trūkumų pašalinimo tvarką (toliau – </w:t>
      </w:r>
      <w:r>
        <w:rPr>
          <w:rFonts w:eastAsia="Arial"/>
          <w:b/>
          <w:bCs/>
        </w:rPr>
        <w:t>Defektų aktas</w:t>
      </w:r>
      <w:r>
        <w:rPr>
          <w:rFonts w:eastAsia="Arial"/>
        </w:rPr>
        <w:t>);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rsidR="00027B83" w:rsidRDefault="000B0897">
      <w:pPr>
        <w:tabs>
          <w:tab w:val="left" w:pos="567"/>
          <w:tab w:val="left" w:pos="851"/>
          <w:tab w:val="left" w:pos="992"/>
          <w:tab w:val="left" w:pos="1134"/>
        </w:tabs>
        <w:spacing w:line="276" w:lineRule="auto"/>
        <w:jc w:val="both"/>
      </w:pPr>
      <w:r>
        <w:t>7.2.4. Ekspertizės išvados Šalims yra privalomos.</w:t>
      </w:r>
    </w:p>
    <w:p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027B83" w:rsidRDefault="00027B83">
      <w:pP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w:t>
      </w:r>
      <w:r>
        <w:rPr>
          <w:rFonts w:eastAsia="Arial"/>
        </w:rPr>
        <w:lastRenderedPageBreak/>
        <w:t>visais atvejais turi būti atliekami Tiekėjo rizika ir sąskaita.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terminus, nustatytus Specialiosiose sąlygose, </w:t>
      </w:r>
      <w:r>
        <w:rPr>
          <w:rFonts w:eastAsia="Arial"/>
        </w:rPr>
        <w:lastRenderedPageBreak/>
        <w:t>Tiekėjui iki Paslaugų suteikimo dienos taikomos Specialiosiose sąlygose nurodyto dydžio netesybos.</w:t>
      </w:r>
    </w:p>
    <w:p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027B83" w:rsidRDefault="000B0897">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lastRenderedPageBreak/>
        <w:t>vykdymą gavimo dienos sumokėti Pirkėjui Sutarties įvykdymo užtikrinime nurodytą sumą, pinigus pervedant į Pirkėjo sąskaitą.</w:t>
      </w:r>
    </w:p>
    <w:p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027B83" w:rsidRDefault="000B0897">
      <w:pPr>
        <w:tabs>
          <w:tab w:val="left" w:pos="567"/>
        </w:tabs>
        <w:spacing w:line="276" w:lineRule="auto"/>
        <w:jc w:val="both"/>
        <w:textAlignment w:val="baseline"/>
      </w:pPr>
      <w:r>
        <w:t>10.7. Sutarties įvykdymo užtikrinimas turi įsigalioti ne vėliau negu jo pateikimo Pirkėjui dieną.</w:t>
      </w:r>
    </w:p>
    <w:p w:rsidR="00027B83" w:rsidRDefault="000B0897">
      <w:pPr>
        <w:tabs>
          <w:tab w:val="left" w:pos="567"/>
        </w:tabs>
        <w:spacing w:line="276" w:lineRule="auto"/>
        <w:jc w:val="both"/>
        <w:textAlignment w:val="baseline"/>
      </w:pPr>
      <w:r>
        <w:t>10.8. Sutarties įvykdymo užtikrinimo suma turi būti nurodoma ir išmokama eurais.</w:t>
      </w:r>
    </w:p>
    <w:p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rsidR="00027B83" w:rsidRDefault="000B0897">
      <w:pPr>
        <w:tabs>
          <w:tab w:val="left" w:pos="567"/>
        </w:tabs>
        <w:spacing w:line="276" w:lineRule="auto"/>
        <w:jc w:val="both"/>
        <w:textAlignment w:val="baseline"/>
      </w:pPr>
      <w:r>
        <w:t>10.16.1. Tiekėjas neįvykdė, nevykdo arba netinkamai vykdo savo įsipareigojimus pagal Sutartį;</w:t>
      </w:r>
    </w:p>
    <w:p w:rsidR="00027B83" w:rsidRDefault="000B0897">
      <w:pPr>
        <w:tabs>
          <w:tab w:val="left" w:pos="567"/>
        </w:tabs>
        <w:spacing w:line="276" w:lineRule="auto"/>
        <w:jc w:val="both"/>
        <w:textAlignment w:val="baseline"/>
      </w:pPr>
      <w:r>
        <w:lastRenderedPageBreak/>
        <w:t xml:space="preserve">10.16.2. Tiekėjas per protingai nustatytą laikotarpį neįvykdo Pirkėjo nurodymo ištaisyti </w:t>
      </w:r>
      <w:r>
        <w:rPr>
          <w:rFonts w:eastAsia="Arial"/>
        </w:rPr>
        <w:t>Paslaugų</w:t>
      </w:r>
      <w:r>
        <w:t xml:space="preserve"> trūkumus;</w:t>
      </w:r>
    </w:p>
    <w:p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rsidR="00027B83" w:rsidRDefault="00027B83">
      <w:pPr>
        <w:tabs>
          <w:tab w:val="left" w:pos="567"/>
        </w:tabs>
        <w:spacing w:line="276" w:lineRule="auto"/>
        <w:jc w:val="both"/>
        <w:textAlignment w:val="baseline"/>
        <w:rPr>
          <w:b/>
          <w:bCs/>
        </w:rPr>
      </w:pPr>
    </w:p>
    <w:p w:rsidR="00027B83" w:rsidRDefault="000B0897">
      <w:pPr>
        <w:keepNext/>
        <w:keepLines/>
        <w:tabs>
          <w:tab w:val="left" w:pos="567"/>
          <w:tab w:val="left" w:pos="851"/>
          <w:tab w:val="left" w:pos="992"/>
          <w:tab w:val="left" w:pos="1134"/>
        </w:tabs>
        <w:spacing w:line="276" w:lineRule="auto"/>
        <w:jc w:val="center"/>
        <w:rPr>
          <w:rFonts w:eastAsia="Cambria"/>
          <w:caps/>
        </w:rPr>
      </w:pPr>
      <w:r>
        <w:rPr>
          <w:rFonts w:eastAsia="Cambria"/>
          <w:b/>
          <w:bCs/>
          <w:caps/>
        </w:rPr>
        <w:t>11.</w:t>
      </w:r>
      <w:r>
        <w:rPr>
          <w:rFonts w:eastAsia="Cambria"/>
          <w:b/>
          <w:bCs/>
          <w:caps/>
        </w:rPr>
        <w:tab/>
        <w:t>SUTARTIES KAINA IR JOS PERSKAIČIAVIMAS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tabs>
          <w:tab w:val="left" w:pos="567"/>
          <w:tab w:val="left" w:pos="851"/>
          <w:tab w:val="left" w:pos="992"/>
          <w:tab w:val="left" w:pos="1134"/>
        </w:tabs>
        <w:spacing w:line="276" w:lineRule="auto"/>
        <w:jc w:val="center"/>
        <w:rPr>
          <w:rFonts w:eastAsia="Cambria"/>
          <w:b/>
          <w:bCs/>
          <w:caps/>
        </w:rPr>
      </w:pPr>
      <w:r>
        <w:rPr>
          <w:rFonts w:eastAsia="Cambria"/>
          <w:b/>
          <w:bCs/>
          <w:caps/>
        </w:rPr>
        <w:t>12.</w:t>
      </w:r>
      <w:r>
        <w:rPr>
          <w:rFonts w:eastAsia="Cambria"/>
          <w:b/>
          <w:bCs/>
          <w:caps/>
        </w:rPr>
        <w:tab/>
        <w:t>ATSISKAITYMO TVARKA</w:t>
      </w:r>
    </w:p>
    <w:p w:rsidR="00027B83" w:rsidRDefault="00027B83">
      <w:pPr>
        <w:keepNext/>
        <w:keepLines/>
        <w:tabs>
          <w:tab w:val="left" w:pos="567"/>
          <w:tab w:val="left" w:pos="851"/>
          <w:tab w:val="left" w:pos="992"/>
          <w:tab w:val="left" w:pos="1134"/>
        </w:tabs>
        <w:spacing w:line="276" w:lineRule="auto"/>
        <w:jc w:val="center"/>
        <w:rPr>
          <w:rFonts w:eastAsia="Cambria"/>
          <w:b/>
          <w:bCs/>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rsidR="00027B83" w:rsidRDefault="000B0897">
      <w:pPr>
        <w:tabs>
          <w:tab w:val="left" w:pos="567"/>
        </w:tabs>
        <w:spacing w:line="276" w:lineRule="auto"/>
        <w:jc w:val="both"/>
        <w:textAlignment w:val="baseline"/>
      </w:pPr>
      <w:r>
        <w:t>12.1.2. Pirkėjas sumoka Tiekėjui ne didesnį kaip Specialiosiose sąlygose nurodyto dydžio Avansą.</w:t>
      </w:r>
    </w:p>
    <w:p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027B83" w:rsidRDefault="000B0897">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w:t>
      </w:r>
      <w:r>
        <w:lastRenderedPageBreak/>
        <w:t>neįvykdymą ar Sutarties nutraukimą dėl Tiekėjo kaltės, sumokėti Pirkėjui sumą, neviršijančią išmokėto Avanso sumos ir užtikrinimo sumos, pinigus pervedant į Pirkėjo sąskaitą.</w:t>
      </w:r>
    </w:p>
    <w:p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027B83" w:rsidRDefault="000B0897">
      <w:pPr>
        <w:tabs>
          <w:tab w:val="left" w:pos="567"/>
        </w:tabs>
        <w:spacing w:line="276" w:lineRule="auto"/>
        <w:jc w:val="both"/>
        <w:textAlignment w:val="baseline"/>
      </w:pPr>
      <w:r>
        <w:t>12.1.7. Avanso užtikrinimo suma turi būti nurodoma ir išmokama eurais.</w:t>
      </w:r>
    </w:p>
    <w:p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27B83" w:rsidRDefault="00027B83">
      <w:pPr>
        <w:tabs>
          <w:tab w:val="left" w:pos="567"/>
        </w:tabs>
        <w:spacing w:line="276" w:lineRule="auto"/>
        <w:jc w:val="both"/>
        <w:textAlignment w:val="baseline"/>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 xml:space="preserve">Išankstinio mokėjimo sąskaitas (jeigu Specialiosiose sąlygose yra numatytas Avanso </w:t>
      </w:r>
      <w:r>
        <w:lastRenderedPageBreak/>
        <w:t>mokėjimas) Tiekėjas privalo pateikti šiame Sutarties poskyryje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27B83" w:rsidRDefault="00027B83">
      <w:pPr>
        <w:tabs>
          <w:tab w:val="left" w:pos="0"/>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rsidR="00027B83" w:rsidRDefault="00027B83">
      <w:pPr>
        <w:widowControl w:val="0"/>
        <w:tabs>
          <w:tab w:val="left" w:pos="567"/>
          <w:tab w:val="left" w:pos="851"/>
          <w:tab w:val="left" w:pos="992"/>
          <w:tab w:val="left" w:pos="1134"/>
        </w:tabs>
        <w:spacing w:line="276" w:lineRule="auto"/>
        <w:jc w:val="both"/>
        <w:rPr>
          <w:rFonts w:eastAsia="Arial"/>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17.3. Tuo atveju, jei paaiškėja, kad kuris nors iš šioje Sutartyje pateiktų pareiškimų ar garantijų buvo iš </w:t>
      </w:r>
      <w:r>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rsidR="00027B83" w:rsidRDefault="00027B83">
      <w:pPr>
        <w:widowControl w:val="0"/>
        <w:tabs>
          <w:tab w:val="left" w:pos="567"/>
          <w:tab w:val="left" w:pos="851"/>
          <w:tab w:val="left" w:pos="992"/>
          <w:tab w:val="left" w:pos="1134"/>
        </w:tabs>
        <w:spacing w:line="276" w:lineRule="auto"/>
        <w:ind w:firstLine="53"/>
        <w:jc w:val="both"/>
        <w:rPr>
          <w:rFonts w:eastAsia="Arial"/>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w:t>
      </w:r>
      <w:r>
        <w:rPr>
          <w:rFonts w:eastAsia="Arial"/>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rsidR="00027B83" w:rsidRDefault="000B0897">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027B83" w:rsidRDefault="000B0897">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w:t>
      </w:r>
      <w:r>
        <w:lastRenderedPageBreak/>
        <w:t>atveju, jei Tiekėjas savo sąskaita ir jėgomis gali pašalinti atsiradusias aplinkybes, dėl kurių kilo būtinybė stabdyti sutartinių įsipareigojimų vykdymą;</w:t>
      </w:r>
    </w:p>
    <w:p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27B83" w:rsidRDefault="000B0897">
      <w:pPr>
        <w:spacing w:line="276" w:lineRule="auto"/>
        <w:jc w:val="both"/>
      </w:pPr>
      <w:r>
        <w:t>21.7. Sutartinių įsipareigojimų vykdymas sustabdomas ne ilgesniam kaip konkrečios, pagrįstos aplinkybės egzistavimo laikotarpiui.</w:t>
      </w:r>
    </w:p>
    <w:p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rsidR="00027B83" w:rsidRDefault="00027B83">
      <w:pPr>
        <w:tabs>
          <w:tab w:val="left" w:pos="567"/>
          <w:tab w:val="left" w:pos="851"/>
          <w:tab w:val="left" w:pos="992"/>
          <w:tab w:val="left" w:pos="1134"/>
        </w:tabs>
        <w:spacing w:line="276" w:lineRule="auto"/>
        <w:jc w:val="both"/>
        <w:rPr>
          <w:rFonts w:eastAsia="Cambria"/>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 xml:space="preserve">Tiekėjo teisė siūlyti kitą terminą </w:t>
      </w:r>
      <w:r>
        <w:lastRenderedPageBreak/>
        <w:t>nelaikoma Pirkėjo pareiga tą terminą priimti. Pretenziją gavusios Šalies pasiūlytasis terminas pakeičia terminą, nurodytą pretenzijoje, tik jeigu kita Šalis jį patvirtina.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rsidR="00027B83" w:rsidRDefault="000B0897">
      <w:pPr>
        <w:tabs>
          <w:tab w:val="left" w:pos="567"/>
        </w:tabs>
        <w:spacing w:line="276" w:lineRule="auto"/>
        <w:jc w:val="both"/>
      </w:pPr>
      <w:r>
        <w:t>22.2.2.2. Tiekėjo padėtis pasikeičia ir jis atitinka pirkimo dokumentuose nustatytą pašalinimo pagrindą;</w:t>
      </w:r>
    </w:p>
    <w:p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rsidR="00027B83" w:rsidRDefault="000B0897">
      <w:pPr>
        <w:tabs>
          <w:tab w:val="left" w:pos="567"/>
        </w:tabs>
        <w:spacing w:line="276" w:lineRule="auto"/>
        <w:jc w:val="both"/>
        <w:textAlignment w:val="baseline"/>
      </w:pPr>
      <w:r>
        <w:t>22.2.2.5. Pirkėjo valdymo organas priima sprendimą, dėl kurio Sutarties poreikis išnyksta;</w:t>
      </w:r>
    </w:p>
    <w:p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w:t>
      </w:r>
      <w:r>
        <w:lastRenderedPageBreak/>
        <w:t>Sankcijų įstatyme ir kituose tarptautiniuose, Europos Sąjungos ir Lietuvos Respublikos teisės aktuose (bent vienai iš taikomų sankcijų). Sutarties negaliojimo momentas nustatomas vadovaujantis minėtu įstatymu.</w:t>
      </w:r>
    </w:p>
    <w:p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027B83" w:rsidRDefault="00027B83">
      <w:pPr>
        <w:tabs>
          <w:tab w:val="left" w:pos="567"/>
        </w:tabs>
        <w:spacing w:line="276" w:lineRule="auto"/>
        <w:jc w:val="both"/>
        <w:textAlignment w:val="baseline"/>
        <w:rPr>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rsidR="00027B83" w:rsidRDefault="000B0897">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rsidR="00027B83" w:rsidRDefault="000B0897">
      <w:pPr>
        <w:tabs>
          <w:tab w:val="left" w:pos="567"/>
        </w:tabs>
        <w:spacing w:line="276" w:lineRule="auto"/>
        <w:jc w:val="both"/>
        <w:textAlignment w:val="baseline"/>
      </w:pPr>
      <w:r>
        <w:t>22.4.2. Nutraukus Sutartį, Šalys privalo:</w:t>
      </w:r>
    </w:p>
    <w:p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rsidR="00027B83" w:rsidRDefault="000B0897">
      <w:pPr>
        <w:spacing w:line="276" w:lineRule="auto"/>
        <w:jc w:val="both"/>
      </w:pPr>
      <w:r>
        <w:t xml:space="preserve">23.1.2. jei keičiamos prekės visiškai atitinka visus pirkimo dokumentų reikalavimus, yra ne prastesnės, o lygiavertės ar geresnės kokybės nei Tiekėjo pasiūlyme nurodytos prekės ir Tiekėjas pateikia tai </w:t>
      </w:r>
      <w:r>
        <w:lastRenderedPageBreak/>
        <w:t>patvirtinančius dokumentus. Jeigu pirkimo procedūrų metu Tiekėjas buvo pateikęs prekių pavyzdžius, pristatomos prekės turi būti ne prastesnės kokybės nei pateikti pavyzdžiai;</w:t>
      </w:r>
    </w:p>
    <w:p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rsidR="00027B83" w:rsidRDefault="000B0897">
      <w:pPr>
        <w:spacing w:line="276" w:lineRule="auto"/>
        <w:jc w:val="both"/>
      </w:pPr>
      <w:r>
        <w:t>23.1.4. Šalys sudarė rašytinį Susitarimą prie Sutarties dėl prekių keitimo.</w:t>
      </w:r>
    </w:p>
    <w:p w:rsidR="00027B83" w:rsidRDefault="000B0897">
      <w:pPr>
        <w:spacing w:line="276" w:lineRule="auto"/>
        <w:jc w:val="both"/>
      </w:pPr>
      <w:r>
        <w:t>23.2. Šiame Bendrųjų sąlygų skyriuje nurodytu atveju prekės turi būti pristatytos už ne didesnę nei pasiūlyme nurodytą kainą.</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rsidR="00027B83" w:rsidRDefault="00027B83">
      <w:pPr>
        <w:widowControl w:val="0"/>
        <w:tabs>
          <w:tab w:val="left" w:pos="0"/>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rsidR="00027B83" w:rsidRDefault="00AD13BC" w:rsidP="00AD13BC">
      <w:pPr>
        <w:spacing w:line="276" w:lineRule="auto"/>
        <w:jc w:val="center"/>
      </w:pPr>
      <w:r w:rsidRPr="00AD13BC">
        <w:t>__________</w:t>
      </w:r>
    </w:p>
    <w:sectPr w:rsidR="00027B83" w:rsidSect="00AF0EDD">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3BA" w:rsidRDefault="007663BA">
      <w:pPr>
        <w:rPr>
          <w:sz w:val="20"/>
        </w:rPr>
      </w:pPr>
      <w:r>
        <w:rPr>
          <w:sz w:val="20"/>
        </w:rPr>
        <w:separator/>
      </w:r>
    </w:p>
  </w:endnote>
  <w:endnote w:type="continuationSeparator" w:id="0">
    <w:p w:rsidR="007663BA" w:rsidRDefault="007663BA">
      <w:pPr>
        <w:rPr>
          <w:sz w:val="20"/>
        </w:rPr>
      </w:pPr>
      <w:r>
        <w:rPr>
          <w:sz w:val="20"/>
        </w:rPr>
        <w:continuationSeparator/>
      </w:r>
    </w:p>
  </w:endnote>
  <w:endnote w:type="continuationNotice" w:id="1">
    <w:p w:rsidR="007663BA" w:rsidRDefault="007663B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B83" w:rsidRDefault="00027B83">
    <w:pPr>
      <w:tabs>
        <w:tab w:val="center" w:pos="4680"/>
        <w:tab w:val="right" w:pos="936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3BA" w:rsidRDefault="007663BA">
      <w:pPr>
        <w:rPr>
          <w:sz w:val="20"/>
        </w:rPr>
      </w:pPr>
      <w:r>
        <w:rPr>
          <w:sz w:val="20"/>
        </w:rPr>
        <w:separator/>
      </w:r>
    </w:p>
  </w:footnote>
  <w:footnote w:type="continuationSeparator" w:id="0">
    <w:p w:rsidR="007663BA" w:rsidRDefault="007663BA">
      <w:pPr>
        <w:rPr>
          <w:sz w:val="20"/>
        </w:rPr>
      </w:pPr>
      <w:r>
        <w:rPr>
          <w:sz w:val="20"/>
        </w:rPr>
        <w:continuationSeparator/>
      </w:r>
    </w:p>
  </w:footnote>
  <w:footnote w:type="continuationNotice" w:id="1">
    <w:p w:rsidR="007663BA" w:rsidRDefault="007663B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B83" w:rsidRDefault="00AF0ED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sidR="000B0897">
      <w:rPr>
        <w:rFonts w:ascii="Arial" w:eastAsia="Arial" w:hAnsi="Arial" w:cs="Arial"/>
        <w:sz w:val="18"/>
        <w:szCs w:val="18"/>
      </w:rPr>
      <w:instrText>PAGE   \* MERGEFORMAT</w:instrText>
    </w:r>
    <w:r>
      <w:rPr>
        <w:rFonts w:ascii="Arial" w:eastAsia="Arial" w:hAnsi="Arial" w:cs="Arial"/>
        <w:sz w:val="18"/>
        <w:szCs w:val="18"/>
      </w:rPr>
      <w:fldChar w:fldCharType="separate"/>
    </w:r>
    <w:r w:rsidR="00F14B39">
      <w:rPr>
        <w:rFonts w:ascii="Arial" w:eastAsia="Arial" w:hAnsi="Arial" w:cs="Arial"/>
        <w:noProof/>
        <w:sz w:val="18"/>
        <w:szCs w:val="18"/>
      </w:rPr>
      <w:t>2</w:t>
    </w:r>
    <w:r>
      <w:rPr>
        <w:rFonts w:ascii="Arial" w:eastAsia="Arial" w:hAnsi="Arial" w:cs="Arial"/>
        <w:sz w:val="18"/>
        <w:szCs w:val="18"/>
      </w:rPr>
      <w:fldChar w:fldCharType="end"/>
    </w:r>
  </w:p>
  <w:p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1296"/>
  <w:hyphenationZone w:val="396"/>
  <w:doNotHyphenateCaps/>
  <w:characterSpacingControl w:val="doNotCompress"/>
  <w:hdrShapeDefaults>
    <o:shapedefaults v:ext="edit" spidmax="7170"/>
  </w:hdrShapeDefaults>
  <w:footnotePr>
    <w:footnote w:id="-1"/>
    <w:footnote w:id="0"/>
    <w:footnote w:id="1"/>
  </w:footnotePr>
  <w:endnotePr>
    <w:numFmt w:val="decimal"/>
    <w:endnote w:id="-1"/>
    <w:endnote w:id="0"/>
    <w:endnote w:id="1"/>
  </w:endnotePr>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604B0"/>
    <w:rsid w:val="007663BA"/>
    <w:rsid w:val="007D4CAA"/>
    <w:rsid w:val="0083118A"/>
    <w:rsid w:val="00925978"/>
    <w:rsid w:val="009728BC"/>
    <w:rsid w:val="00A72765"/>
    <w:rsid w:val="00AD13BC"/>
    <w:rsid w:val="00AF0EDD"/>
    <w:rsid w:val="00D13EBE"/>
    <w:rsid w:val="00D418E6"/>
    <w:rsid w:val="00DA4E0C"/>
    <w:rsid w:val="00EF5956"/>
    <w:rsid w:val="00F14B39"/>
    <w:rsid w:val="00F60BD9"/>
    <w:rsid w:val="00FB1FC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AF0ED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r="http://schemas.openxmlformats.org/officeDocument/2006/relationships" xmlns:w="http://schemas.openxmlformats.org/wordprocessingml/2006/main">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47833F5-C2E2-4400-989B-B9842C092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88923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2025-05-11T20:42:00Z</dcterms:created>
  <dcterms:modified xsi:type="dcterms:W3CDTF">2025-05-11T20:42:00Z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