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EC233" w14:textId="0F8A2C8A" w:rsidR="00B764C4" w:rsidRPr="00B764C4" w:rsidRDefault="00B764C4" w:rsidP="00B764C4">
      <w:pPr>
        <w:ind w:left="7314" w:firstLine="0"/>
        <w:rPr>
          <w:rFonts w:asciiTheme="minorHAnsi" w:hAnsiTheme="minorHAnsi" w:cstheme="minorHAnsi"/>
        </w:rPr>
      </w:pPr>
      <w:r w:rsidRPr="00B764C4">
        <w:rPr>
          <w:rFonts w:asciiTheme="minorHAnsi" w:hAnsiTheme="minorHAnsi" w:cstheme="minorHAnsi"/>
        </w:rPr>
        <w:t>Pirkimo sąlygų 6 priedas „Techninė specifikacija“</w:t>
      </w:r>
    </w:p>
    <w:p w14:paraId="5A743EED" w14:textId="77777777" w:rsidR="00B764C4" w:rsidRPr="00B764C4" w:rsidRDefault="00B764C4" w:rsidP="62889C55">
      <w:pPr>
        <w:ind w:firstLine="0"/>
        <w:jc w:val="center"/>
        <w:rPr>
          <w:rFonts w:asciiTheme="minorHAnsi" w:hAnsiTheme="minorHAnsi" w:cstheme="minorHAnsi"/>
          <w:b/>
          <w:bCs/>
          <w:sz w:val="24"/>
        </w:rPr>
      </w:pPr>
    </w:p>
    <w:p w14:paraId="246A33C0" w14:textId="78331331" w:rsidR="00E60DF2" w:rsidRPr="00B764C4" w:rsidRDefault="000C0706" w:rsidP="62889C55">
      <w:pPr>
        <w:ind w:firstLine="0"/>
        <w:jc w:val="center"/>
        <w:rPr>
          <w:rFonts w:asciiTheme="minorHAnsi" w:hAnsiTheme="minorHAnsi" w:cstheme="minorHAnsi"/>
          <w:b/>
          <w:bCs/>
          <w:sz w:val="24"/>
        </w:rPr>
      </w:pPr>
      <w:r w:rsidRPr="00B764C4">
        <w:rPr>
          <w:rFonts w:asciiTheme="minorHAnsi" w:hAnsiTheme="minorHAnsi" w:cstheme="minorHAnsi"/>
          <w:b/>
          <w:bCs/>
          <w:sz w:val="24"/>
        </w:rPr>
        <w:t>Techninė specifikacija</w:t>
      </w:r>
    </w:p>
    <w:p w14:paraId="721F1E68" w14:textId="77777777" w:rsidR="000C0706" w:rsidRPr="00B764C4" w:rsidRDefault="000C0706" w:rsidP="62889C55">
      <w:pPr>
        <w:ind w:firstLine="0"/>
        <w:jc w:val="center"/>
        <w:rPr>
          <w:rFonts w:asciiTheme="minorHAnsi" w:hAnsiTheme="minorHAnsi" w:cstheme="minorHAnsi"/>
          <w:sz w:val="24"/>
        </w:rPr>
      </w:pPr>
    </w:p>
    <w:p w14:paraId="2A7DDEE7" w14:textId="77777777" w:rsidR="00017E88" w:rsidRPr="00B764C4" w:rsidRDefault="00017E88" w:rsidP="00017E88">
      <w:pPr>
        <w:autoSpaceDE/>
        <w:autoSpaceDN/>
        <w:adjustRightInd/>
        <w:ind w:left="567"/>
        <w:jc w:val="center"/>
        <w:rPr>
          <w:rFonts w:asciiTheme="minorHAnsi" w:hAnsiTheme="minorHAnsi" w:cstheme="minorHAnsi"/>
          <w:b/>
          <w:bCs/>
        </w:rPr>
      </w:pPr>
    </w:p>
    <w:p w14:paraId="39DD0D59" w14:textId="77777777" w:rsidR="00017E88" w:rsidRDefault="00017E88" w:rsidP="00017E88">
      <w:pPr>
        <w:pStyle w:val="Sraopastraipa"/>
        <w:widowControl/>
        <w:numPr>
          <w:ilvl w:val="0"/>
          <w:numId w:val="11"/>
        </w:numPr>
        <w:overflowPunct w:val="0"/>
        <w:ind w:left="0" w:right="-234" w:firstLine="851"/>
        <w:jc w:val="both"/>
        <w:textAlignment w:val="baseline"/>
        <w:rPr>
          <w:rFonts w:asciiTheme="minorHAnsi" w:hAnsiTheme="minorHAnsi" w:cstheme="minorHAnsi"/>
        </w:rPr>
      </w:pPr>
      <w:r w:rsidRPr="00B764C4">
        <w:rPr>
          <w:rFonts w:asciiTheme="minorHAnsi" w:hAnsiTheme="minorHAnsi" w:cstheme="minorHAnsi"/>
        </w:rPr>
        <w:t>VšĮ Ukmergės pirminės sveikatos priežiūros centras įgyvendindamas Projektą „Sveikatos centrų veiklos modelio diegimas“ pagal 2022–2030 metų Sveikatos priežiūros kokybės ir efektyvumo didinimo plėtros programos pažangos priemones Nr. 11-002-02-11-01 „Gerinti sveikatos priežiūros paslaugų kokybę ir prieinamumą“</w:t>
      </w:r>
      <w:r w:rsidRPr="00B764C4">
        <w:rPr>
          <w:rFonts w:asciiTheme="minorHAnsi" w:hAnsiTheme="minorHAnsi" w:cstheme="minorHAnsi"/>
          <w:bCs/>
        </w:rPr>
        <w:t xml:space="preserve"> </w:t>
      </w:r>
      <w:r w:rsidRPr="00B764C4">
        <w:rPr>
          <w:rFonts w:asciiTheme="minorHAnsi" w:hAnsiTheme="minorHAnsi" w:cstheme="minorHAnsi"/>
        </w:rPr>
        <w:t>siekia įsigyti Sveikatos centro veiklos koordinavimo procesus reglamentuojančių ir pacientų srautų valdymo dokumentų paketo parengimo paslaugą.</w:t>
      </w:r>
    </w:p>
    <w:p w14:paraId="41E5807C" w14:textId="77777777" w:rsidR="0010673A" w:rsidRPr="0010673A" w:rsidRDefault="0010673A" w:rsidP="0010673A">
      <w:pPr>
        <w:pStyle w:val="Sraopastraipa"/>
        <w:widowControl/>
        <w:numPr>
          <w:ilvl w:val="0"/>
          <w:numId w:val="11"/>
        </w:numPr>
        <w:overflowPunct w:val="0"/>
        <w:ind w:left="0" w:right="-234" w:firstLine="568"/>
        <w:jc w:val="both"/>
        <w:textAlignment w:val="baseline"/>
        <w:rPr>
          <w:rFonts w:asciiTheme="minorHAnsi" w:hAnsiTheme="minorHAnsi" w:cstheme="minorHAnsi"/>
        </w:rPr>
      </w:pPr>
      <w:r w:rsidRPr="0010673A">
        <w:rPr>
          <w:rFonts w:asciiTheme="minorHAnsi" w:hAnsiTheme="minorHAnsi" w:cstheme="minorHAnsi"/>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8C70F3" w14:textId="1C7EEE24" w:rsidR="0010673A" w:rsidRPr="00B764C4" w:rsidRDefault="0010673A" w:rsidP="0010673A">
      <w:pPr>
        <w:pStyle w:val="Sraopastraipa"/>
        <w:widowControl/>
        <w:numPr>
          <w:ilvl w:val="0"/>
          <w:numId w:val="11"/>
        </w:numPr>
        <w:overflowPunct w:val="0"/>
        <w:ind w:left="0" w:right="-234" w:firstLine="568"/>
        <w:jc w:val="both"/>
        <w:textAlignment w:val="baseline"/>
        <w:rPr>
          <w:rFonts w:asciiTheme="minorHAnsi" w:hAnsiTheme="minorHAnsi" w:cstheme="minorHAnsi"/>
        </w:rPr>
      </w:pPr>
      <w:r w:rsidRPr="0010673A">
        <w:rPr>
          <w:rFonts w:asciiTheme="minorHAnsi" w:hAnsiTheme="minorHAnsi" w:cstheme="minorHAnsi"/>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055E978" w14:textId="77777777" w:rsidR="00017E88" w:rsidRPr="00B764C4" w:rsidRDefault="00017E88" w:rsidP="00017E88">
      <w:pPr>
        <w:pStyle w:val="Sraopastraipa"/>
        <w:ind w:right="-234"/>
        <w:jc w:val="both"/>
        <w:rPr>
          <w:rFonts w:asciiTheme="minorHAnsi" w:hAnsiTheme="minorHAnsi" w:cstheme="minorHAnsi"/>
        </w:rPr>
      </w:pPr>
    </w:p>
    <w:tbl>
      <w:tblPr>
        <w:tblStyle w:val="Lentelstinklelis"/>
        <w:tblW w:w="9781" w:type="dxa"/>
        <w:tblInd w:w="137" w:type="dxa"/>
        <w:tblLook w:val="04A0" w:firstRow="1" w:lastRow="0" w:firstColumn="1" w:lastColumn="0" w:noHBand="0" w:noVBand="1"/>
      </w:tblPr>
      <w:tblGrid>
        <w:gridCol w:w="9781"/>
      </w:tblGrid>
      <w:tr w:rsidR="00017E88" w:rsidRPr="00B764C4" w14:paraId="035BC423" w14:textId="77777777" w:rsidTr="00B764C4">
        <w:tc>
          <w:tcPr>
            <w:tcW w:w="9781" w:type="dxa"/>
          </w:tcPr>
          <w:p w14:paraId="2AEA8E24" w14:textId="77777777" w:rsidR="00017E88" w:rsidRPr="00B764C4" w:rsidRDefault="00017E88" w:rsidP="00017E88">
            <w:pPr>
              <w:pStyle w:val="Sraopastraipa"/>
              <w:widowControl/>
              <w:numPr>
                <w:ilvl w:val="0"/>
                <w:numId w:val="12"/>
              </w:numPr>
              <w:overflowPunct w:val="0"/>
              <w:ind w:left="23" w:right="180" w:firstLine="850"/>
              <w:jc w:val="both"/>
              <w:textAlignment w:val="baseline"/>
              <w:rPr>
                <w:rFonts w:asciiTheme="minorHAnsi" w:hAnsiTheme="minorHAnsi" w:cstheme="minorHAnsi"/>
                <w:b/>
                <w:bCs/>
              </w:rPr>
            </w:pPr>
            <w:r w:rsidRPr="00B764C4">
              <w:rPr>
                <w:rFonts w:asciiTheme="minorHAnsi" w:hAnsiTheme="minorHAnsi" w:cstheme="minorHAnsi"/>
                <w:b/>
                <w:bCs/>
              </w:rPr>
              <w:t>Sveikatos centro veiklos koordinavimo procesus reglamentuojančio dokumento parengimas:</w:t>
            </w:r>
          </w:p>
        </w:tc>
      </w:tr>
      <w:tr w:rsidR="00184B43" w:rsidRPr="00B764C4" w14:paraId="6896B246" w14:textId="77777777" w:rsidTr="00F5145D">
        <w:trPr>
          <w:trHeight w:val="1182"/>
        </w:trPr>
        <w:tc>
          <w:tcPr>
            <w:tcW w:w="9781" w:type="dxa"/>
          </w:tcPr>
          <w:p w14:paraId="304CA86F" w14:textId="77777777" w:rsidR="00184B43" w:rsidRPr="00161A82" w:rsidRDefault="00184B43" w:rsidP="00017E88">
            <w:pPr>
              <w:pStyle w:val="Sraopastraipa"/>
              <w:widowControl/>
              <w:numPr>
                <w:ilvl w:val="0"/>
                <w:numId w:val="14"/>
              </w:numPr>
              <w:tabs>
                <w:tab w:val="left" w:pos="420"/>
              </w:tabs>
              <w:overflowPunct w:val="0"/>
              <w:ind w:left="0" w:firstLine="165"/>
              <w:jc w:val="both"/>
              <w:textAlignment w:val="baseline"/>
              <w:rPr>
                <w:rFonts w:asciiTheme="minorHAnsi" w:hAnsiTheme="minorHAnsi" w:cstheme="minorHAnsi"/>
                <w:lang w:val="lt-LT"/>
              </w:rPr>
            </w:pPr>
            <w:r w:rsidRPr="00161A82">
              <w:rPr>
                <w:rFonts w:asciiTheme="minorHAnsi" w:hAnsiTheme="minorHAnsi" w:cstheme="minorHAnsi"/>
                <w:lang w:val="lt-LT"/>
              </w:rPr>
              <w:t>Centro misijos, vizijos, vertybių ir strateginių tikslų formavimas ir apibrėžimas;</w:t>
            </w:r>
          </w:p>
          <w:p w14:paraId="62F017F7" w14:textId="77777777" w:rsidR="00B267F2" w:rsidRDefault="00184B43" w:rsidP="00017E88">
            <w:pPr>
              <w:pStyle w:val="Sraopastraipa"/>
              <w:widowControl/>
              <w:numPr>
                <w:ilvl w:val="0"/>
                <w:numId w:val="14"/>
              </w:numPr>
              <w:tabs>
                <w:tab w:val="left" w:pos="420"/>
              </w:tabs>
              <w:overflowPunct w:val="0"/>
              <w:ind w:left="0" w:firstLine="165"/>
              <w:jc w:val="both"/>
              <w:textAlignment w:val="baseline"/>
              <w:rPr>
                <w:rFonts w:asciiTheme="minorHAnsi" w:hAnsiTheme="minorHAnsi" w:cstheme="minorHAnsi"/>
              </w:rPr>
            </w:pPr>
            <w:r w:rsidRPr="00B764C4">
              <w:rPr>
                <w:rFonts w:asciiTheme="minorHAnsi" w:hAnsiTheme="minorHAnsi" w:cstheme="minorHAnsi"/>
              </w:rPr>
              <w:t xml:space="preserve">Centro </w:t>
            </w:r>
            <w:proofErr w:type="spellStart"/>
            <w:r w:rsidRPr="00B764C4">
              <w:rPr>
                <w:rFonts w:asciiTheme="minorHAnsi" w:hAnsiTheme="minorHAnsi" w:cstheme="minorHAnsi"/>
              </w:rPr>
              <w:t>veiklos</w:t>
            </w:r>
            <w:proofErr w:type="spellEnd"/>
            <w:r w:rsidRPr="00B764C4">
              <w:rPr>
                <w:rFonts w:asciiTheme="minorHAnsi" w:hAnsiTheme="minorHAnsi" w:cstheme="minorHAnsi"/>
              </w:rPr>
              <w:t xml:space="preserve"> </w:t>
            </w:r>
            <w:proofErr w:type="spellStart"/>
            <w:r w:rsidRPr="00B764C4">
              <w:rPr>
                <w:rFonts w:asciiTheme="minorHAnsi" w:hAnsiTheme="minorHAnsi" w:cstheme="minorHAnsi"/>
              </w:rPr>
              <w:t>koordinavimo</w:t>
            </w:r>
            <w:proofErr w:type="spellEnd"/>
            <w:r w:rsidRPr="00B764C4">
              <w:rPr>
                <w:rFonts w:asciiTheme="minorHAnsi" w:hAnsiTheme="minorHAnsi" w:cstheme="minorHAnsi"/>
              </w:rPr>
              <w:t xml:space="preserve"> </w:t>
            </w:r>
            <w:proofErr w:type="spellStart"/>
            <w:r w:rsidRPr="00B764C4">
              <w:rPr>
                <w:rFonts w:asciiTheme="minorHAnsi" w:hAnsiTheme="minorHAnsi" w:cstheme="minorHAnsi"/>
              </w:rPr>
              <w:t>proceso</w:t>
            </w:r>
            <w:proofErr w:type="spellEnd"/>
            <w:r w:rsidRPr="00B764C4">
              <w:rPr>
                <w:rFonts w:asciiTheme="minorHAnsi" w:hAnsiTheme="minorHAnsi" w:cstheme="minorHAnsi"/>
              </w:rPr>
              <w:t xml:space="preserve"> </w:t>
            </w:r>
            <w:proofErr w:type="spellStart"/>
            <w:r w:rsidRPr="00B764C4">
              <w:rPr>
                <w:rFonts w:asciiTheme="minorHAnsi" w:hAnsiTheme="minorHAnsi" w:cstheme="minorHAnsi"/>
              </w:rPr>
              <w:t>apibrėžimas</w:t>
            </w:r>
            <w:proofErr w:type="spellEnd"/>
            <w:r w:rsidR="00B267F2">
              <w:rPr>
                <w:rFonts w:asciiTheme="minorHAnsi" w:hAnsiTheme="minorHAnsi" w:cstheme="minorHAnsi"/>
              </w:rPr>
              <w:t>;</w:t>
            </w:r>
          </w:p>
          <w:p w14:paraId="5004F0CC" w14:textId="28A879A0" w:rsidR="00184B43" w:rsidRPr="00F571A7" w:rsidRDefault="00B267F2" w:rsidP="00F571A7">
            <w:pPr>
              <w:pStyle w:val="Sraopastraipa"/>
              <w:widowControl/>
              <w:numPr>
                <w:ilvl w:val="0"/>
                <w:numId w:val="14"/>
              </w:numPr>
              <w:tabs>
                <w:tab w:val="left" w:pos="420"/>
              </w:tabs>
              <w:overflowPunct w:val="0"/>
              <w:ind w:left="0" w:firstLine="165"/>
              <w:jc w:val="both"/>
              <w:textAlignment w:val="baseline"/>
              <w:rPr>
                <w:rFonts w:asciiTheme="minorHAnsi" w:hAnsiTheme="minorHAnsi" w:cstheme="minorHAnsi"/>
              </w:rPr>
            </w:pPr>
            <w:r w:rsidRPr="009E1FC3">
              <w:rPr>
                <w:rFonts w:asciiTheme="minorHAnsi" w:hAnsiTheme="minorHAnsi" w:cstheme="minorHAnsi"/>
              </w:rPr>
              <w:t xml:space="preserve">Centro </w:t>
            </w:r>
            <w:proofErr w:type="spellStart"/>
            <w:r w:rsidRPr="009E1FC3">
              <w:rPr>
                <w:rFonts w:asciiTheme="minorHAnsi" w:hAnsiTheme="minorHAnsi" w:cstheme="minorHAnsi"/>
              </w:rPr>
              <w:t>veiklos</w:t>
            </w:r>
            <w:proofErr w:type="spellEnd"/>
            <w:r w:rsidRPr="009E1FC3">
              <w:rPr>
                <w:rFonts w:asciiTheme="minorHAnsi" w:hAnsiTheme="minorHAnsi" w:cstheme="minorHAnsi"/>
              </w:rPr>
              <w:t xml:space="preserve"> </w:t>
            </w:r>
            <w:proofErr w:type="spellStart"/>
            <w:r w:rsidRPr="009E1FC3">
              <w:rPr>
                <w:rFonts w:asciiTheme="minorHAnsi" w:hAnsiTheme="minorHAnsi" w:cstheme="minorHAnsi"/>
              </w:rPr>
              <w:t>koordinavimo</w:t>
            </w:r>
            <w:proofErr w:type="spellEnd"/>
            <w:r w:rsidR="009E1FC3">
              <w:rPr>
                <w:rFonts w:asciiTheme="minorHAnsi" w:hAnsiTheme="minorHAnsi" w:cstheme="minorHAnsi"/>
              </w:rPr>
              <w:t xml:space="preserve"> </w:t>
            </w:r>
            <w:proofErr w:type="spellStart"/>
            <w:r w:rsidR="009E1FC3">
              <w:rPr>
                <w:rFonts w:asciiTheme="minorHAnsi" w:hAnsiTheme="minorHAnsi" w:cstheme="minorHAnsi"/>
              </w:rPr>
              <w:t>tvarkos</w:t>
            </w:r>
            <w:proofErr w:type="spellEnd"/>
            <w:r w:rsidR="009E1FC3">
              <w:rPr>
                <w:rFonts w:asciiTheme="minorHAnsi" w:hAnsiTheme="minorHAnsi" w:cstheme="minorHAnsi"/>
              </w:rPr>
              <w:t xml:space="preserve"> </w:t>
            </w:r>
            <w:proofErr w:type="spellStart"/>
            <w:r w:rsidR="009E1FC3">
              <w:rPr>
                <w:rFonts w:asciiTheme="minorHAnsi" w:hAnsiTheme="minorHAnsi" w:cstheme="minorHAnsi"/>
              </w:rPr>
              <w:t>aprašo</w:t>
            </w:r>
            <w:proofErr w:type="spellEnd"/>
            <w:r w:rsidR="009E1FC3">
              <w:rPr>
                <w:rFonts w:asciiTheme="minorHAnsi" w:hAnsiTheme="minorHAnsi" w:cstheme="minorHAnsi"/>
              </w:rPr>
              <w:t xml:space="preserve"> </w:t>
            </w:r>
            <w:proofErr w:type="spellStart"/>
            <w:r w:rsidR="009E1FC3">
              <w:rPr>
                <w:rFonts w:asciiTheme="minorHAnsi" w:hAnsiTheme="minorHAnsi" w:cstheme="minorHAnsi"/>
              </w:rPr>
              <w:t>parengimas</w:t>
            </w:r>
            <w:proofErr w:type="spellEnd"/>
            <w:r w:rsidR="00184B43" w:rsidRPr="00B764C4">
              <w:rPr>
                <w:rFonts w:asciiTheme="minorHAnsi" w:hAnsiTheme="minorHAnsi" w:cstheme="minorHAnsi"/>
              </w:rPr>
              <w:t>.</w:t>
            </w:r>
          </w:p>
        </w:tc>
      </w:tr>
      <w:tr w:rsidR="00017E88" w:rsidRPr="00B764C4" w14:paraId="1C7BA916" w14:textId="77777777" w:rsidTr="00B764C4">
        <w:tc>
          <w:tcPr>
            <w:tcW w:w="9781" w:type="dxa"/>
          </w:tcPr>
          <w:p w14:paraId="78422468" w14:textId="77777777" w:rsidR="00017E88" w:rsidRPr="00161A82" w:rsidRDefault="00017E88" w:rsidP="00017E88">
            <w:pPr>
              <w:pStyle w:val="Sraopastraipa"/>
              <w:widowControl/>
              <w:numPr>
                <w:ilvl w:val="0"/>
                <w:numId w:val="12"/>
              </w:numPr>
              <w:autoSpaceDE/>
              <w:autoSpaceDN/>
              <w:adjustRightInd/>
              <w:ind w:left="0" w:firstLine="732"/>
              <w:jc w:val="both"/>
              <w:rPr>
                <w:rFonts w:asciiTheme="minorHAnsi" w:hAnsiTheme="minorHAnsi" w:cstheme="minorHAnsi"/>
                <w:b/>
                <w:bCs/>
                <w:lang w:val="lt-LT"/>
              </w:rPr>
            </w:pPr>
            <w:r w:rsidRPr="00161A82">
              <w:rPr>
                <w:rFonts w:asciiTheme="minorHAnsi" w:hAnsiTheme="minorHAnsi" w:cstheme="minorHAnsi"/>
                <w:b/>
                <w:bCs/>
                <w:lang w:val="lt-LT"/>
              </w:rPr>
              <w:t>Dokumentų, reikalingų  pacientų srautų valdymo ir (ar) paslaugų teikimo priemonių taikant žaliojo koridoriaus principą įgyvendinimui, parengimas ir procesų diegimas:</w:t>
            </w:r>
          </w:p>
        </w:tc>
      </w:tr>
      <w:tr w:rsidR="00184B43" w:rsidRPr="00B764C4" w14:paraId="2F0020FD" w14:textId="77777777" w:rsidTr="003A75E3">
        <w:trPr>
          <w:trHeight w:val="4857"/>
        </w:trPr>
        <w:tc>
          <w:tcPr>
            <w:tcW w:w="9781" w:type="dxa"/>
          </w:tcPr>
          <w:p w14:paraId="6597ADF7" w14:textId="77777777" w:rsidR="00184B43" w:rsidRPr="00161A82" w:rsidRDefault="00184B43" w:rsidP="00405BBA">
            <w:pPr>
              <w:tabs>
                <w:tab w:val="left" w:pos="590"/>
              </w:tabs>
              <w:ind w:firstLine="165"/>
              <w:jc w:val="both"/>
              <w:rPr>
                <w:rFonts w:asciiTheme="minorHAnsi" w:hAnsiTheme="minorHAnsi" w:cstheme="minorHAnsi"/>
                <w:lang w:val="lt-LT"/>
              </w:rPr>
            </w:pPr>
            <w:r w:rsidRPr="00161A82">
              <w:rPr>
                <w:rFonts w:asciiTheme="minorHAnsi" w:hAnsiTheme="minorHAnsi" w:cstheme="minorHAnsi"/>
                <w:lang w:val="lt-LT"/>
              </w:rPr>
              <w:t>- apibrėžtos Atvejo vadybininko funkcijos ir atsakomybės;</w:t>
            </w:r>
          </w:p>
          <w:p w14:paraId="06F9CA5B" w14:textId="02758845" w:rsidR="00184B43" w:rsidRPr="00161A82" w:rsidRDefault="00184B43" w:rsidP="00405BBA">
            <w:pPr>
              <w:tabs>
                <w:tab w:val="left" w:pos="590"/>
              </w:tabs>
              <w:ind w:firstLine="165"/>
              <w:jc w:val="both"/>
              <w:rPr>
                <w:rFonts w:asciiTheme="minorHAnsi" w:hAnsiTheme="minorHAnsi" w:cstheme="minorHAnsi"/>
                <w:lang w:val="lt-LT"/>
              </w:rPr>
            </w:pPr>
            <w:r w:rsidRPr="00161A82">
              <w:rPr>
                <w:rFonts w:asciiTheme="minorHAnsi" w:hAnsiTheme="minorHAnsi" w:cstheme="minorHAnsi"/>
                <w:lang w:val="lt-LT"/>
              </w:rPr>
              <w:t>- standartizuoti, apibrėžti, dokumentuoti sveikatos priežiūros paslaugų teikimo procesai (inovatyvi praktika):</w:t>
            </w:r>
          </w:p>
          <w:p w14:paraId="37D4AE92" w14:textId="77777777" w:rsidR="00184B43" w:rsidRPr="00161A82" w:rsidRDefault="00184B43" w:rsidP="00405BBA">
            <w:pPr>
              <w:tabs>
                <w:tab w:val="left" w:pos="590"/>
              </w:tabs>
              <w:ind w:firstLine="165"/>
              <w:jc w:val="both"/>
              <w:rPr>
                <w:rFonts w:asciiTheme="minorHAnsi" w:hAnsiTheme="minorHAnsi" w:cstheme="minorHAnsi"/>
                <w:lang w:val="lt-LT"/>
              </w:rPr>
            </w:pPr>
            <w:r w:rsidRPr="00161A82">
              <w:rPr>
                <w:rFonts w:asciiTheme="minorHAnsi" w:hAnsiTheme="minorHAnsi" w:cstheme="minorHAnsi"/>
                <w:lang w:val="lt-LT"/>
              </w:rPr>
              <w:t>- pacientų registravimo procesas;</w:t>
            </w:r>
          </w:p>
          <w:p w14:paraId="7539E2A4" w14:textId="77777777" w:rsidR="00184B43" w:rsidRPr="00161A82" w:rsidRDefault="00184B43" w:rsidP="00405BBA">
            <w:pPr>
              <w:tabs>
                <w:tab w:val="left" w:pos="590"/>
              </w:tabs>
              <w:ind w:firstLine="165"/>
              <w:jc w:val="both"/>
              <w:rPr>
                <w:rFonts w:asciiTheme="minorHAnsi" w:hAnsiTheme="minorHAnsi" w:cstheme="minorHAnsi"/>
                <w:lang w:val="lt-LT"/>
              </w:rPr>
            </w:pPr>
            <w:r w:rsidRPr="00161A82">
              <w:rPr>
                <w:rFonts w:asciiTheme="minorHAnsi" w:hAnsiTheme="minorHAnsi" w:cstheme="minorHAnsi"/>
                <w:lang w:val="lt-LT"/>
              </w:rPr>
              <w:t>- pirmo lygio paslaugų teikimo procesas (šeimos gydytojo komandos sąveika);</w:t>
            </w:r>
          </w:p>
          <w:p w14:paraId="48B891FB" w14:textId="77777777" w:rsidR="00184B43" w:rsidRPr="00161A82" w:rsidRDefault="00184B43" w:rsidP="00405BBA">
            <w:pPr>
              <w:tabs>
                <w:tab w:val="left" w:pos="590"/>
              </w:tabs>
              <w:ind w:firstLine="165"/>
              <w:jc w:val="both"/>
              <w:rPr>
                <w:rFonts w:asciiTheme="minorHAnsi" w:hAnsiTheme="minorHAnsi" w:cstheme="minorHAnsi"/>
                <w:lang w:val="lt-LT"/>
              </w:rPr>
            </w:pPr>
            <w:r w:rsidRPr="00161A82">
              <w:rPr>
                <w:rFonts w:asciiTheme="minorHAnsi" w:hAnsiTheme="minorHAnsi" w:cstheme="minorHAnsi"/>
                <w:lang w:val="lt-LT"/>
              </w:rPr>
              <w:t>- antro lygio paslaugų teikimo procesas;</w:t>
            </w:r>
          </w:p>
          <w:p w14:paraId="6BC5334E" w14:textId="77777777" w:rsidR="00184B43" w:rsidRPr="00161A82" w:rsidRDefault="00184B43" w:rsidP="00405BBA">
            <w:pPr>
              <w:tabs>
                <w:tab w:val="left" w:pos="590"/>
              </w:tabs>
              <w:ind w:firstLine="165"/>
              <w:jc w:val="both"/>
              <w:rPr>
                <w:rFonts w:asciiTheme="minorHAnsi" w:hAnsiTheme="minorHAnsi" w:cstheme="minorHAnsi"/>
                <w:lang w:val="lt-LT"/>
              </w:rPr>
            </w:pPr>
            <w:r w:rsidRPr="00161A82">
              <w:rPr>
                <w:rFonts w:asciiTheme="minorHAnsi" w:hAnsiTheme="minorHAnsi" w:cstheme="minorHAnsi"/>
                <w:lang w:val="lt-LT"/>
              </w:rPr>
              <w:t>- sąveika tarp visų lygių (ypač, kai sąveikauja skirtingos įstaigos);</w:t>
            </w:r>
          </w:p>
          <w:p w14:paraId="074E3179" w14:textId="77777777" w:rsidR="00184B43" w:rsidRPr="0018368A" w:rsidRDefault="00184B43" w:rsidP="00405BBA">
            <w:pPr>
              <w:tabs>
                <w:tab w:val="left" w:pos="590"/>
              </w:tabs>
              <w:ind w:firstLine="165"/>
              <w:jc w:val="both"/>
              <w:rPr>
                <w:rFonts w:asciiTheme="minorHAnsi" w:hAnsiTheme="minorHAnsi" w:cstheme="minorHAnsi"/>
                <w:lang w:val="lt-LT"/>
              </w:rPr>
            </w:pPr>
            <w:r w:rsidRPr="0018368A">
              <w:rPr>
                <w:rFonts w:asciiTheme="minorHAnsi" w:hAnsiTheme="minorHAnsi" w:cstheme="minorHAnsi"/>
                <w:lang w:val="lt-LT"/>
              </w:rPr>
              <w:t>- „žaliojo koridoriaus“ veikimo procesas:</w:t>
            </w:r>
          </w:p>
          <w:p w14:paraId="5DCCA56E" w14:textId="77777777" w:rsidR="00184B43" w:rsidRPr="0018368A" w:rsidRDefault="00184B43" w:rsidP="00405BBA">
            <w:pPr>
              <w:tabs>
                <w:tab w:val="left" w:pos="590"/>
              </w:tabs>
              <w:ind w:firstLine="448"/>
              <w:jc w:val="both"/>
              <w:rPr>
                <w:rFonts w:asciiTheme="minorHAnsi" w:hAnsiTheme="minorHAnsi" w:cstheme="minorHAnsi"/>
                <w:lang w:val="lt-LT"/>
              </w:rPr>
            </w:pPr>
            <w:r w:rsidRPr="0018368A">
              <w:rPr>
                <w:rFonts w:asciiTheme="minorHAnsi" w:hAnsiTheme="minorHAnsi" w:cstheme="minorHAnsi"/>
                <w:lang w:val="lt-LT"/>
              </w:rPr>
              <w:t>- paciento patekimo į ,,Žaliąjį koridorių“ kriterijai, jų apibrėžimai ir taikymo galimybių įvertinimas;</w:t>
            </w:r>
          </w:p>
          <w:p w14:paraId="0EF348D4" w14:textId="5DAE4D6E" w:rsidR="00184B43" w:rsidRPr="0018368A" w:rsidRDefault="00184B43" w:rsidP="00405BBA">
            <w:pPr>
              <w:tabs>
                <w:tab w:val="left" w:pos="590"/>
              </w:tabs>
              <w:ind w:firstLine="448"/>
              <w:jc w:val="both"/>
              <w:rPr>
                <w:rFonts w:asciiTheme="minorHAnsi" w:hAnsiTheme="minorHAnsi" w:cstheme="minorHAnsi"/>
                <w:lang w:val="lt-LT"/>
              </w:rPr>
            </w:pPr>
            <w:r w:rsidRPr="0018368A">
              <w:rPr>
                <w:rFonts w:asciiTheme="minorHAnsi" w:hAnsiTheme="minorHAnsi" w:cstheme="minorHAnsi"/>
                <w:lang w:val="lt-LT"/>
              </w:rPr>
              <w:t>- ,,Žaliojo koridoriaus“ veikimo procesų/tvarkų aprašymai (veiksmų nuoseklumas, darbuotojų vaidmenys, privalomi ištekliai, reikalavimai procesų etapų trukmei;</w:t>
            </w:r>
          </w:p>
          <w:p w14:paraId="263D94A8" w14:textId="77777777" w:rsidR="00184B43" w:rsidRPr="0018368A" w:rsidRDefault="00184B43" w:rsidP="00405BBA">
            <w:pPr>
              <w:tabs>
                <w:tab w:val="left" w:pos="590"/>
              </w:tabs>
              <w:ind w:right="277" w:firstLine="448"/>
              <w:jc w:val="both"/>
              <w:rPr>
                <w:rFonts w:asciiTheme="minorHAnsi" w:hAnsiTheme="minorHAnsi" w:cstheme="minorHAnsi"/>
                <w:lang w:val="lt-LT"/>
              </w:rPr>
            </w:pPr>
            <w:r w:rsidRPr="0018368A">
              <w:rPr>
                <w:rFonts w:asciiTheme="minorHAnsi" w:hAnsiTheme="minorHAnsi" w:cstheme="minorHAnsi"/>
                <w:lang w:val="lt-LT"/>
              </w:rPr>
              <w:t>- „Žaliojo koridoriaus“ procesų diegimo projekto detalus aprašymas;</w:t>
            </w:r>
          </w:p>
          <w:p w14:paraId="237CA7E1" w14:textId="77777777" w:rsidR="00184B43" w:rsidRPr="0018368A" w:rsidRDefault="00184B43" w:rsidP="00405BBA">
            <w:pPr>
              <w:tabs>
                <w:tab w:val="left" w:pos="590"/>
              </w:tabs>
              <w:ind w:right="277" w:firstLine="448"/>
              <w:jc w:val="both"/>
              <w:rPr>
                <w:rFonts w:asciiTheme="minorHAnsi" w:hAnsiTheme="minorHAnsi" w:cstheme="minorHAnsi"/>
                <w:lang w:val="lt-LT"/>
              </w:rPr>
            </w:pPr>
            <w:r w:rsidRPr="0018368A">
              <w:rPr>
                <w:rFonts w:asciiTheme="minorHAnsi" w:hAnsiTheme="minorHAnsi" w:cstheme="minorHAnsi"/>
                <w:lang w:val="lt-LT"/>
              </w:rPr>
              <w:t>- ,,Žaliojo koridoriaus“ veikimo rodiklių stebėsenos modelio sudarymas.</w:t>
            </w:r>
          </w:p>
          <w:p w14:paraId="00413B15" w14:textId="77777777" w:rsidR="00184B43" w:rsidRPr="00161A82" w:rsidRDefault="00184B43" w:rsidP="00405BBA">
            <w:pPr>
              <w:tabs>
                <w:tab w:val="left" w:pos="590"/>
              </w:tabs>
              <w:ind w:right="277" w:firstLine="448"/>
              <w:jc w:val="both"/>
              <w:rPr>
                <w:rFonts w:asciiTheme="minorHAnsi" w:hAnsiTheme="minorHAnsi" w:cstheme="minorHAnsi"/>
                <w:lang w:val="sv-SE"/>
              </w:rPr>
            </w:pPr>
            <w:r w:rsidRPr="00161A82">
              <w:rPr>
                <w:rFonts w:asciiTheme="minorHAnsi" w:hAnsiTheme="minorHAnsi" w:cstheme="minorHAnsi"/>
                <w:lang w:val="sv-SE"/>
              </w:rPr>
              <w:t>Procesai standartizuojami atsižvelgiant į šiuos kriterijus:</w:t>
            </w:r>
          </w:p>
          <w:p w14:paraId="61844E06" w14:textId="77777777" w:rsidR="00184B43" w:rsidRPr="00B764C4" w:rsidRDefault="00184B43" w:rsidP="00017E88">
            <w:pPr>
              <w:pStyle w:val="Sraopastraipa"/>
              <w:widowControl/>
              <w:numPr>
                <w:ilvl w:val="0"/>
                <w:numId w:val="13"/>
              </w:numPr>
              <w:tabs>
                <w:tab w:val="left" w:pos="408"/>
                <w:tab w:val="left" w:pos="590"/>
              </w:tabs>
              <w:overflowPunct w:val="0"/>
              <w:ind w:left="0" w:right="277" w:firstLine="165"/>
              <w:jc w:val="both"/>
              <w:textAlignment w:val="baseline"/>
              <w:rPr>
                <w:rFonts w:asciiTheme="minorHAnsi" w:hAnsiTheme="minorHAnsi" w:cstheme="minorHAnsi"/>
              </w:rPr>
            </w:pPr>
            <w:r w:rsidRPr="00B764C4">
              <w:rPr>
                <w:rFonts w:asciiTheme="minorHAnsi" w:hAnsiTheme="minorHAnsi" w:cstheme="minorHAnsi"/>
              </w:rPr>
              <w:t>mažiau laukimo laiko;</w:t>
            </w:r>
          </w:p>
          <w:p w14:paraId="2BB21B44" w14:textId="77777777" w:rsidR="00184B43" w:rsidRPr="00B764C4" w:rsidRDefault="00184B43" w:rsidP="00017E88">
            <w:pPr>
              <w:pStyle w:val="Sraopastraipa"/>
              <w:widowControl/>
              <w:numPr>
                <w:ilvl w:val="0"/>
                <w:numId w:val="13"/>
              </w:numPr>
              <w:tabs>
                <w:tab w:val="left" w:pos="408"/>
                <w:tab w:val="left" w:pos="590"/>
              </w:tabs>
              <w:overflowPunct w:val="0"/>
              <w:ind w:left="0" w:right="277" w:firstLine="165"/>
              <w:jc w:val="both"/>
              <w:textAlignment w:val="baseline"/>
              <w:rPr>
                <w:rFonts w:asciiTheme="minorHAnsi" w:hAnsiTheme="minorHAnsi" w:cstheme="minorHAnsi"/>
              </w:rPr>
            </w:pPr>
            <w:r w:rsidRPr="00B764C4">
              <w:rPr>
                <w:rFonts w:asciiTheme="minorHAnsi" w:hAnsiTheme="minorHAnsi" w:cstheme="minorHAnsi"/>
              </w:rPr>
              <w:t>nėra beprasmių darbų;</w:t>
            </w:r>
          </w:p>
          <w:p w14:paraId="6ACCD4D2" w14:textId="77777777" w:rsidR="00184B43" w:rsidRPr="00161A82" w:rsidRDefault="00184B43" w:rsidP="00017E88">
            <w:pPr>
              <w:pStyle w:val="Sraopastraipa"/>
              <w:widowControl/>
              <w:numPr>
                <w:ilvl w:val="0"/>
                <w:numId w:val="13"/>
              </w:numPr>
              <w:tabs>
                <w:tab w:val="left" w:pos="408"/>
                <w:tab w:val="left" w:pos="590"/>
              </w:tabs>
              <w:overflowPunct w:val="0"/>
              <w:ind w:left="0" w:right="277" w:firstLine="165"/>
              <w:jc w:val="both"/>
              <w:textAlignment w:val="baseline"/>
              <w:rPr>
                <w:rFonts w:asciiTheme="minorHAnsi" w:hAnsiTheme="minorHAnsi" w:cstheme="minorHAnsi"/>
                <w:lang w:val="sv-SE"/>
              </w:rPr>
            </w:pPr>
            <w:r w:rsidRPr="00161A82">
              <w:rPr>
                <w:rFonts w:asciiTheme="minorHAnsi" w:hAnsiTheme="minorHAnsi" w:cstheme="minorHAnsi"/>
                <w:lang w:val="sv-SE"/>
              </w:rPr>
              <w:t>darbo operacijas atlieka joms labiausiai tinkantys darbuotojai;</w:t>
            </w:r>
          </w:p>
          <w:p w14:paraId="1CCAE6AC" w14:textId="77EE3669" w:rsidR="00184B43" w:rsidRPr="00161A82" w:rsidRDefault="00184B43" w:rsidP="00184B43">
            <w:pPr>
              <w:ind w:right="180"/>
              <w:jc w:val="both"/>
              <w:rPr>
                <w:rFonts w:asciiTheme="minorHAnsi" w:hAnsiTheme="minorHAnsi" w:cstheme="minorHAnsi"/>
                <w:lang w:val="sv-SE"/>
              </w:rPr>
            </w:pPr>
            <w:r w:rsidRPr="0018368A">
              <w:rPr>
                <w:rFonts w:asciiTheme="minorHAnsi" w:hAnsiTheme="minorHAnsi" w:cstheme="minorHAnsi"/>
                <w:lang w:val="sv-SE"/>
              </w:rPr>
              <w:t xml:space="preserve">proceso eigoje nereikia sugrįžti atgal ir pradėti iš naujo  dėl kažkieno padarytų klaidų ar neužbaigtų, nepilnai atliktų darbų. </w:t>
            </w:r>
          </w:p>
        </w:tc>
      </w:tr>
    </w:tbl>
    <w:p w14:paraId="32FE4ED8" w14:textId="77777777" w:rsidR="00017E88" w:rsidRPr="005B045D" w:rsidRDefault="00017E88" w:rsidP="00017E88">
      <w:pPr>
        <w:pStyle w:val="Sraopastraipa"/>
        <w:ind w:right="-234"/>
        <w:jc w:val="both"/>
        <w:rPr>
          <w:rFonts w:asciiTheme="minorHAnsi" w:hAnsiTheme="minorHAnsi" w:cstheme="minorHAnsi"/>
        </w:rPr>
      </w:pPr>
    </w:p>
    <w:p w14:paraId="61239281" w14:textId="77777777" w:rsidR="00017E88" w:rsidRPr="005B045D" w:rsidRDefault="00017E88" w:rsidP="00017E88">
      <w:pPr>
        <w:pStyle w:val="Sraopastraipa"/>
        <w:widowControl/>
        <w:numPr>
          <w:ilvl w:val="0"/>
          <w:numId w:val="11"/>
        </w:numPr>
        <w:overflowPunct w:val="0"/>
        <w:ind w:left="0" w:right="-234" w:firstLine="851"/>
        <w:jc w:val="both"/>
        <w:textAlignment w:val="baseline"/>
        <w:rPr>
          <w:rFonts w:asciiTheme="minorHAnsi" w:hAnsiTheme="minorHAnsi" w:cstheme="minorHAnsi"/>
        </w:rPr>
      </w:pPr>
      <w:r w:rsidRPr="005B045D">
        <w:rPr>
          <w:rFonts w:asciiTheme="minorHAnsi" w:hAnsiTheme="minorHAnsi" w:cstheme="minorHAnsi"/>
        </w:rPr>
        <w:t>Numatytų dokumentų parengimui, paslaugos tiekėjas turi  įvertinti Sveikatos centro praktinius ir teisinio reguliavimo veiklos aspektus, pasirinkti tinkamus strateginio planavimo  ir veiklos efektyvinimo metodus, įrankius ir procesus, kurie padėtų užtikrinti efektyvų ir kokybišką numatytų įsipareigojimų vykdymą.</w:t>
      </w:r>
    </w:p>
    <w:p w14:paraId="2CB83721" w14:textId="77777777" w:rsidR="00017E88" w:rsidRPr="005B045D" w:rsidRDefault="00017E88" w:rsidP="00017E88">
      <w:pPr>
        <w:pStyle w:val="Sraopastraipa"/>
        <w:widowControl/>
        <w:numPr>
          <w:ilvl w:val="0"/>
          <w:numId w:val="11"/>
        </w:numPr>
        <w:overflowPunct w:val="0"/>
        <w:ind w:left="0" w:right="-234" w:firstLine="851"/>
        <w:jc w:val="both"/>
        <w:textAlignment w:val="baseline"/>
        <w:rPr>
          <w:rFonts w:asciiTheme="minorHAnsi" w:hAnsiTheme="minorHAnsi" w:cstheme="minorHAnsi"/>
        </w:rPr>
      </w:pPr>
      <w:r w:rsidRPr="005B045D">
        <w:rPr>
          <w:rFonts w:asciiTheme="minorHAnsi" w:hAnsiTheme="minorHAnsi" w:cstheme="minorHAnsi"/>
        </w:rPr>
        <w:t>Dokumentuose reglamentuojami veiklos procesai turi būti orientuoti į procesų efektyvumo didinimą, procesų optimizavimą  paremti ISO 9001 Lead Auditor ir /ar Lean Six Sigma ir / ar Certified ScrumMaster (CSM) ar lygiaverčių standartų principais.</w:t>
      </w:r>
    </w:p>
    <w:p w14:paraId="3227C5C8" w14:textId="77777777" w:rsidR="00017E88" w:rsidRPr="00B764C4" w:rsidRDefault="00017E88" w:rsidP="00017E88">
      <w:pPr>
        <w:pStyle w:val="Sraopastraipa"/>
        <w:widowControl/>
        <w:numPr>
          <w:ilvl w:val="0"/>
          <w:numId w:val="11"/>
        </w:numPr>
        <w:overflowPunct w:val="0"/>
        <w:ind w:left="0" w:right="-234" w:firstLine="851"/>
        <w:jc w:val="both"/>
        <w:textAlignment w:val="baseline"/>
        <w:rPr>
          <w:rFonts w:asciiTheme="minorHAnsi" w:hAnsiTheme="minorHAnsi" w:cstheme="minorHAnsi"/>
        </w:rPr>
      </w:pPr>
      <w:r w:rsidRPr="00B764C4">
        <w:rPr>
          <w:rFonts w:asciiTheme="minorHAnsi" w:hAnsiTheme="minorHAnsi" w:cstheme="minorHAnsi"/>
          <w:bCs/>
        </w:rPr>
        <w:t xml:space="preserve">Numatytus dokumentus, juose numatytus procesus tiekėjas turi pristatyti Sveikatos centro įstaigoms ir konsultuoti dėl įgyvendinimo (diegimo) </w:t>
      </w:r>
      <w:r w:rsidRPr="00B764C4">
        <w:rPr>
          <w:rFonts w:asciiTheme="minorHAnsi" w:hAnsiTheme="minorHAnsi" w:cstheme="minorHAnsi"/>
        </w:rPr>
        <w:t>Sveikatos centro partnerių įstaigose (tiesiogiai atvykus arba nuotoline forma):</w:t>
      </w:r>
      <w:r w:rsidRPr="00B764C4">
        <w:rPr>
          <w:rFonts w:asciiTheme="minorHAnsi" w:hAnsiTheme="minorHAnsi" w:cstheme="minorHAnsi"/>
          <w:bCs/>
        </w:rPr>
        <w:t xml:space="preserve"> </w:t>
      </w:r>
    </w:p>
    <w:p w14:paraId="3ADB4680" w14:textId="77777777" w:rsidR="00017E88" w:rsidRPr="00B764C4" w:rsidRDefault="00017E88" w:rsidP="00017E88">
      <w:pPr>
        <w:pStyle w:val="Sraopastraipa"/>
        <w:ind w:left="851" w:right="-234"/>
        <w:jc w:val="both"/>
        <w:rPr>
          <w:rFonts w:asciiTheme="minorHAnsi" w:hAnsiTheme="minorHAnsi" w:cstheme="minorHAnsi"/>
        </w:rPr>
      </w:pPr>
      <w:r w:rsidRPr="00B764C4">
        <w:rPr>
          <w:rFonts w:asciiTheme="minorHAnsi" w:hAnsiTheme="minorHAnsi" w:cstheme="minorHAnsi"/>
          <w:b/>
          <w:bCs/>
        </w:rPr>
        <w:t xml:space="preserve">- </w:t>
      </w:r>
      <w:r w:rsidRPr="00B764C4">
        <w:rPr>
          <w:rFonts w:asciiTheme="minorHAnsi" w:hAnsiTheme="minorHAnsi" w:cstheme="minorHAnsi"/>
        </w:rPr>
        <w:t xml:space="preserve">10 konsultavimo sesijų </w:t>
      </w:r>
      <w:r w:rsidRPr="00D051A7">
        <w:rPr>
          <w:rFonts w:asciiTheme="minorHAnsi" w:hAnsiTheme="minorHAnsi" w:cstheme="minorHAnsi"/>
        </w:rPr>
        <w:t>s</w:t>
      </w:r>
      <w:r w:rsidRPr="00B764C4">
        <w:rPr>
          <w:rFonts w:asciiTheme="minorHAnsi" w:hAnsiTheme="minorHAnsi" w:cstheme="minorHAnsi"/>
        </w:rPr>
        <w:t>utarties galiojimo laikotarpiu;</w:t>
      </w:r>
    </w:p>
    <w:p w14:paraId="323CC705" w14:textId="77777777" w:rsidR="000777FB" w:rsidRDefault="00017E88" w:rsidP="000777FB">
      <w:pPr>
        <w:pStyle w:val="Sraopastraipa"/>
        <w:ind w:left="851" w:right="-234"/>
        <w:jc w:val="both"/>
        <w:rPr>
          <w:rFonts w:asciiTheme="minorHAnsi" w:hAnsiTheme="minorHAnsi" w:cstheme="minorHAnsi"/>
        </w:rPr>
      </w:pPr>
      <w:r w:rsidRPr="00B764C4">
        <w:rPr>
          <w:rFonts w:asciiTheme="minorHAnsi" w:hAnsiTheme="minorHAnsi" w:cstheme="minorHAnsi"/>
          <w:b/>
          <w:bCs/>
        </w:rPr>
        <w:t>-</w:t>
      </w:r>
      <w:r w:rsidRPr="00B764C4">
        <w:rPr>
          <w:rFonts w:asciiTheme="minorHAnsi" w:hAnsiTheme="minorHAnsi" w:cstheme="minorHAnsi"/>
        </w:rPr>
        <w:t xml:space="preserve"> kiekvienos sesijos orientacinė trukmė </w:t>
      </w:r>
      <w:r w:rsidR="001567C6">
        <w:rPr>
          <w:rFonts w:asciiTheme="minorHAnsi" w:hAnsiTheme="minorHAnsi" w:cstheme="minorHAnsi"/>
        </w:rPr>
        <w:t>–</w:t>
      </w:r>
      <w:r w:rsidRPr="00B764C4">
        <w:rPr>
          <w:rFonts w:asciiTheme="minorHAnsi" w:hAnsiTheme="minorHAnsi" w:cstheme="minorHAnsi"/>
        </w:rPr>
        <w:t xml:space="preserve"> </w:t>
      </w:r>
      <w:r w:rsidR="001567C6">
        <w:rPr>
          <w:rFonts w:asciiTheme="minorHAnsi" w:hAnsiTheme="minorHAnsi" w:cstheme="minorHAnsi"/>
        </w:rPr>
        <w:t>ne mažiau kaip</w:t>
      </w:r>
      <w:r w:rsidRPr="00B764C4">
        <w:rPr>
          <w:rFonts w:asciiTheme="minorHAnsi" w:hAnsiTheme="minorHAnsi" w:cstheme="minorHAnsi"/>
        </w:rPr>
        <w:t xml:space="preserve"> 5-ios akademinės valandos;</w:t>
      </w:r>
    </w:p>
    <w:p w14:paraId="5B81269C" w14:textId="365E3F57" w:rsidR="00017E88" w:rsidRPr="00D953AF" w:rsidRDefault="00017E88" w:rsidP="000777FB">
      <w:pPr>
        <w:pStyle w:val="Sraopastraipa"/>
        <w:ind w:left="0" w:right="-234" w:firstLine="1560"/>
        <w:jc w:val="both"/>
        <w:rPr>
          <w:rFonts w:asciiTheme="minorHAnsi" w:hAnsiTheme="minorHAnsi" w:cstheme="minorHAnsi"/>
        </w:rPr>
      </w:pPr>
      <w:r w:rsidRPr="00B764C4">
        <w:rPr>
          <w:rFonts w:asciiTheme="minorHAnsi" w:hAnsiTheme="minorHAnsi" w:cstheme="minorHAnsi"/>
          <w:b/>
          <w:bCs/>
        </w:rPr>
        <w:t>-</w:t>
      </w:r>
      <w:r w:rsidRPr="00B764C4">
        <w:rPr>
          <w:rFonts w:asciiTheme="minorHAnsi" w:hAnsiTheme="minorHAnsi" w:cstheme="minorHAnsi"/>
        </w:rPr>
        <w:t xml:space="preserve"> </w:t>
      </w:r>
      <w:r w:rsidRPr="003068D8">
        <w:rPr>
          <w:rFonts w:asciiTheme="minorHAnsi" w:hAnsiTheme="minorHAnsi" w:cstheme="minorHAnsi"/>
          <w:color w:val="000000" w:themeColor="text1"/>
        </w:rPr>
        <w:t xml:space="preserve">iškylančių problemų sprendimas (pavyzdžiui, paslaugų laukimo laikas netrumpėja, paslaugų gavėjų </w:t>
      </w:r>
      <w:r w:rsidRPr="003068D8">
        <w:rPr>
          <w:rFonts w:asciiTheme="minorHAnsi" w:hAnsiTheme="minorHAnsi" w:cstheme="minorHAnsi"/>
          <w:color w:val="000000" w:themeColor="text1"/>
        </w:rPr>
        <w:lastRenderedPageBreak/>
        <w:t>pasitenkinimas suteiktomis paslaugomis negerėja, paslaugų teikimo sąnaudos auga ir kt.)</w:t>
      </w:r>
      <w:r w:rsidR="001532E8" w:rsidRPr="003068D8">
        <w:rPr>
          <w:rFonts w:asciiTheme="minorHAnsi" w:hAnsiTheme="minorHAnsi" w:cstheme="minorHAnsi"/>
          <w:color w:val="000000" w:themeColor="text1"/>
        </w:rPr>
        <w:t xml:space="preserve"> </w:t>
      </w:r>
      <w:r w:rsidR="001532E8" w:rsidRPr="00D953AF">
        <w:rPr>
          <w:rFonts w:asciiTheme="minorHAnsi" w:hAnsiTheme="minorHAnsi" w:cstheme="minorHAnsi"/>
        </w:rPr>
        <w:t>ne vėliau kaip per 2 mėn</w:t>
      </w:r>
      <w:r w:rsidRPr="00D953AF">
        <w:rPr>
          <w:rFonts w:asciiTheme="minorHAnsi" w:hAnsiTheme="minorHAnsi" w:cstheme="minorHAnsi"/>
        </w:rPr>
        <w:t>.</w:t>
      </w:r>
      <w:r w:rsidR="003068D8" w:rsidRPr="00D953AF">
        <w:rPr>
          <w:rFonts w:asciiTheme="minorHAnsi" w:hAnsiTheme="minorHAnsi" w:cstheme="minorHAnsi"/>
        </w:rPr>
        <w:t xml:space="preserve"> </w:t>
      </w:r>
    </w:p>
    <w:p w14:paraId="04B30E96" w14:textId="77777777" w:rsidR="00017E88" w:rsidRPr="00B764C4" w:rsidRDefault="00017E88" w:rsidP="00017E88">
      <w:pPr>
        <w:pStyle w:val="Sraopastraipa"/>
        <w:widowControl/>
        <w:numPr>
          <w:ilvl w:val="0"/>
          <w:numId w:val="11"/>
        </w:numPr>
        <w:overflowPunct w:val="0"/>
        <w:ind w:left="0" w:right="-234" w:firstLine="851"/>
        <w:jc w:val="both"/>
        <w:textAlignment w:val="baseline"/>
        <w:rPr>
          <w:rFonts w:asciiTheme="minorHAnsi" w:hAnsiTheme="minorHAnsi" w:cstheme="minorHAnsi"/>
        </w:rPr>
      </w:pPr>
      <w:r w:rsidRPr="00B764C4">
        <w:rPr>
          <w:rFonts w:asciiTheme="minorHAnsi" w:hAnsiTheme="minorHAnsi" w:cstheme="minorHAnsi"/>
        </w:rPr>
        <w:t>Dokumentų paketas turi būti parengtas lietuvių kalba.</w:t>
      </w:r>
    </w:p>
    <w:p w14:paraId="0ECB4A9D" w14:textId="77777777" w:rsidR="003459DF" w:rsidRDefault="00017E88" w:rsidP="003459DF">
      <w:pPr>
        <w:pStyle w:val="Sraopastraipa"/>
        <w:widowControl/>
        <w:numPr>
          <w:ilvl w:val="0"/>
          <w:numId w:val="11"/>
        </w:numPr>
        <w:overflowPunct w:val="0"/>
        <w:ind w:left="0" w:right="-234" w:firstLine="851"/>
        <w:jc w:val="both"/>
        <w:textAlignment w:val="baseline"/>
        <w:rPr>
          <w:rFonts w:asciiTheme="minorHAnsi" w:hAnsiTheme="minorHAnsi" w:cstheme="minorHAnsi"/>
        </w:rPr>
      </w:pPr>
      <w:r w:rsidRPr="00B764C4">
        <w:rPr>
          <w:rFonts w:asciiTheme="minorHAnsi" w:hAnsiTheme="minorHAnsi" w:cstheme="minorHAnsi"/>
        </w:rPr>
        <w:t xml:space="preserve">Dokumentai užsakovui pateikiami </w:t>
      </w:r>
      <w:proofErr w:type="spellStart"/>
      <w:r w:rsidRPr="00B764C4">
        <w:rPr>
          <w:rFonts w:asciiTheme="minorHAnsi" w:hAnsiTheme="minorHAnsi" w:cstheme="minorHAnsi"/>
        </w:rPr>
        <w:t>word</w:t>
      </w:r>
      <w:proofErr w:type="spellEnd"/>
      <w:r w:rsidRPr="00B764C4">
        <w:rPr>
          <w:rFonts w:asciiTheme="minorHAnsi" w:hAnsiTheme="minorHAnsi" w:cstheme="minorHAnsi"/>
        </w:rPr>
        <w:t xml:space="preserve"> formatu.</w:t>
      </w:r>
    </w:p>
    <w:p w14:paraId="0ED03789" w14:textId="3C5E756A" w:rsidR="003459DF" w:rsidRPr="003459DF" w:rsidRDefault="00017E88" w:rsidP="003459DF">
      <w:pPr>
        <w:pStyle w:val="Sraopastraipa"/>
        <w:widowControl/>
        <w:numPr>
          <w:ilvl w:val="0"/>
          <w:numId w:val="11"/>
        </w:numPr>
        <w:overflowPunct w:val="0"/>
        <w:ind w:left="0" w:right="-234" w:firstLine="851"/>
        <w:jc w:val="both"/>
        <w:textAlignment w:val="baseline"/>
        <w:rPr>
          <w:rFonts w:asciiTheme="minorHAnsi" w:hAnsiTheme="minorHAnsi" w:cstheme="minorHAnsi"/>
        </w:rPr>
      </w:pPr>
      <w:r w:rsidRPr="003459DF">
        <w:rPr>
          <w:rFonts w:ascii="Times New Roman" w:hAnsi="Times New Roman" w:cs="Times New Roman"/>
        </w:rPr>
        <w:t>Paslaugų suteikimo terminas –</w:t>
      </w:r>
      <w:r w:rsidR="003459DF" w:rsidRPr="003459DF">
        <w:rPr>
          <w:rFonts w:ascii="Times New Roman" w:hAnsi="Times New Roman" w:cs="Times New Roman"/>
        </w:rPr>
        <w:t xml:space="preserve"> </w:t>
      </w:r>
      <w:r w:rsidR="003459DF" w:rsidRPr="003459DF">
        <w:rPr>
          <w:rFonts w:ascii="Times New Roman" w:hAnsi="Times New Roman" w:cs="Times New Roman"/>
          <w:sz w:val="22"/>
          <w:szCs w:val="22"/>
          <w:lang w:eastAsia="en-US"/>
        </w:rPr>
        <w:t>dokumentai turi būti perengti ir pristatyti Sveikatos centro įstaigoms ne vėliau kaip per 3 mėnesius  po sutarties pasirašymo. Galimybė terminą pratęsti 1 mėnesiui pagal sutarties spec. sąlygų 4.2 p. Tiekėjas privalo konsultuoti dėl įgyvendinimo (diegimo) ir spręsti iškylančias problemas iki 2026-05-01.</w:t>
      </w:r>
    </w:p>
    <w:p w14:paraId="00B373E1" w14:textId="7038011B" w:rsidR="00017E88" w:rsidRPr="003459DF" w:rsidRDefault="00017E88" w:rsidP="003459DF">
      <w:pPr>
        <w:widowControl/>
        <w:overflowPunct w:val="0"/>
        <w:ind w:right="-234"/>
        <w:jc w:val="both"/>
        <w:textAlignment w:val="baseline"/>
        <w:rPr>
          <w:rFonts w:asciiTheme="minorHAnsi" w:hAnsiTheme="minorHAnsi" w:cstheme="minorHAnsi"/>
          <w:color w:val="000000" w:themeColor="text1"/>
        </w:rPr>
      </w:pPr>
    </w:p>
    <w:p w14:paraId="54C08FEE" w14:textId="4636ADDE" w:rsidR="0059540A" w:rsidRPr="006D631F" w:rsidRDefault="00017E88" w:rsidP="00017E88">
      <w:pPr>
        <w:ind w:firstLine="0"/>
        <w:jc w:val="center"/>
        <w:rPr>
          <w:rFonts w:asciiTheme="minorHAnsi" w:hAnsiTheme="minorHAnsi" w:cstheme="minorHAnsi"/>
          <w:sz w:val="24"/>
        </w:rPr>
      </w:pPr>
      <w:r w:rsidRPr="006D631F">
        <w:rPr>
          <w:rFonts w:asciiTheme="minorHAnsi" w:hAnsiTheme="minorHAnsi" w:cstheme="minorHAnsi"/>
        </w:rPr>
        <w:t>___________________</w:t>
      </w:r>
    </w:p>
    <w:sectPr w:rsidR="0059540A" w:rsidRPr="006D631F" w:rsidSect="00017E88">
      <w:pgSz w:w="11906" w:h="16838"/>
      <w:pgMar w:top="709" w:right="851"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B0CFA"/>
    <w:multiLevelType w:val="hybridMultilevel"/>
    <w:tmpl w:val="8D42C686"/>
    <w:lvl w:ilvl="0" w:tplc="B9404FE6">
      <w:start w:val="202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95165F"/>
    <w:multiLevelType w:val="hybridMultilevel"/>
    <w:tmpl w:val="E4E85258"/>
    <w:lvl w:ilvl="0" w:tplc="0427000F">
      <w:start w:val="1"/>
      <w:numFmt w:val="decimal"/>
      <w:lvlText w:val="%1."/>
      <w:lvlJc w:val="left"/>
      <w:pPr>
        <w:ind w:left="928"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1152ED"/>
    <w:multiLevelType w:val="hybridMultilevel"/>
    <w:tmpl w:val="4B963DC2"/>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27015B"/>
    <w:multiLevelType w:val="multilevel"/>
    <w:tmpl w:val="6BD8CF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0C2220"/>
    <w:multiLevelType w:val="hybridMultilevel"/>
    <w:tmpl w:val="068EC87A"/>
    <w:lvl w:ilvl="0" w:tplc="273EDD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A683737"/>
    <w:multiLevelType w:val="hybridMultilevel"/>
    <w:tmpl w:val="FC00436E"/>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DAA3802"/>
    <w:multiLevelType w:val="hybridMultilevel"/>
    <w:tmpl w:val="96E65FD2"/>
    <w:lvl w:ilvl="0" w:tplc="1890CD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38E43F3"/>
    <w:multiLevelType w:val="hybridMultilevel"/>
    <w:tmpl w:val="892268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553124B"/>
    <w:multiLevelType w:val="hybridMultilevel"/>
    <w:tmpl w:val="0568B5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44411E"/>
    <w:multiLevelType w:val="hybridMultilevel"/>
    <w:tmpl w:val="4B963DC2"/>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4BA4621"/>
    <w:multiLevelType w:val="hybridMultilevel"/>
    <w:tmpl w:val="3C8AD4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A4047D2"/>
    <w:multiLevelType w:val="hybridMultilevel"/>
    <w:tmpl w:val="4B963DC2"/>
    <w:lvl w:ilvl="0" w:tplc="0427000F">
      <w:start w:val="1"/>
      <w:numFmt w:val="decimal"/>
      <w:lvlText w:val="%1."/>
      <w:lvlJc w:val="left"/>
      <w:pPr>
        <w:ind w:left="78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D520848"/>
    <w:multiLevelType w:val="hybridMultilevel"/>
    <w:tmpl w:val="14AA449A"/>
    <w:lvl w:ilvl="0" w:tplc="549EBF62">
      <w:start w:val="202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E0C78B1"/>
    <w:multiLevelType w:val="hybridMultilevel"/>
    <w:tmpl w:val="F7A87D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1009261">
    <w:abstractNumId w:val="6"/>
  </w:num>
  <w:num w:numId="2" w16cid:durableId="1876578491">
    <w:abstractNumId w:val="7"/>
  </w:num>
  <w:num w:numId="3" w16cid:durableId="683751714">
    <w:abstractNumId w:val="10"/>
  </w:num>
  <w:num w:numId="4" w16cid:durableId="1065224516">
    <w:abstractNumId w:val="4"/>
  </w:num>
  <w:num w:numId="5" w16cid:durableId="1194153395">
    <w:abstractNumId w:val="13"/>
  </w:num>
  <w:num w:numId="6" w16cid:durableId="1853061548">
    <w:abstractNumId w:val="8"/>
  </w:num>
  <w:num w:numId="7" w16cid:durableId="130753674">
    <w:abstractNumId w:val="5"/>
  </w:num>
  <w:num w:numId="8" w16cid:durableId="2062053280">
    <w:abstractNumId w:val="11"/>
  </w:num>
  <w:num w:numId="9" w16cid:durableId="478888684">
    <w:abstractNumId w:val="2"/>
  </w:num>
  <w:num w:numId="10" w16cid:durableId="1797797982">
    <w:abstractNumId w:val="9"/>
  </w:num>
  <w:num w:numId="11" w16cid:durableId="364137744">
    <w:abstractNumId w:val="1"/>
  </w:num>
  <w:num w:numId="12" w16cid:durableId="95756366">
    <w:abstractNumId w:val="3"/>
  </w:num>
  <w:num w:numId="13" w16cid:durableId="1680306440">
    <w:abstractNumId w:val="12"/>
  </w:num>
  <w:num w:numId="14" w16cid:durableId="1810778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32B"/>
    <w:rsid w:val="00001EB9"/>
    <w:rsid w:val="0000304D"/>
    <w:rsid w:val="00007916"/>
    <w:rsid w:val="0001116C"/>
    <w:rsid w:val="00017E88"/>
    <w:rsid w:val="000318E5"/>
    <w:rsid w:val="000479A4"/>
    <w:rsid w:val="000603DD"/>
    <w:rsid w:val="000708E2"/>
    <w:rsid w:val="0007594D"/>
    <w:rsid w:val="000777FB"/>
    <w:rsid w:val="000778BA"/>
    <w:rsid w:val="0008691D"/>
    <w:rsid w:val="000872CA"/>
    <w:rsid w:val="0009432B"/>
    <w:rsid w:val="0009676B"/>
    <w:rsid w:val="000A3E83"/>
    <w:rsid w:val="000B188B"/>
    <w:rsid w:val="000B4037"/>
    <w:rsid w:val="000C0706"/>
    <w:rsid w:val="000D5ABE"/>
    <w:rsid w:val="000E3F77"/>
    <w:rsid w:val="000F7CD9"/>
    <w:rsid w:val="001007E3"/>
    <w:rsid w:val="00101F72"/>
    <w:rsid w:val="0010673A"/>
    <w:rsid w:val="00107752"/>
    <w:rsid w:val="0012075A"/>
    <w:rsid w:val="00124B9B"/>
    <w:rsid w:val="00125B61"/>
    <w:rsid w:val="0013283F"/>
    <w:rsid w:val="00143D8B"/>
    <w:rsid w:val="001478A8"/>
    <w:rsid w:val="001532E8"/>
    <w:rsid w:val="00154C9B"/>
    <w:rsid w:val="001567C6"/>
    <w:rsid w:val="00161A82"/>
    <w:rsid w:val="0018368A"/>
    <w:rsid w:val="00184B43"/>
    <w:rsid w:val="001932E4"/>
    <w:rsid w:val="001A1247"/>
    <w:rsid w:val="001A39D2"/>
    <w:rsid w:val="001B39C7"/>
    <w:rsid w:val="001C3526"/>
    <w:rsid w:val="001F7CF9"/>
    <w:rsid w:val="00205BDE"/>
    <w:rsid w:val="00205FCE"/>
    <w:rsid w:val="00206FCD"/>
    <w:rsid w:val="00211590"/>
    <w:rsid w:val="002548D5"/>
    <w:rsid w:val="0028477C"/>
    <w:rsid w:val="00293E52"/>
    <w:rsid w:val="00294E92"/>
    <w:rsid w:val="0029540B"/>
    <w:rsid w:val="002C49FA"/>
    <w:rsid w:val="002D0E6C"/>
    <w:rsid w:val="002F0FA9"/>
    <w:rsid w:val="002F12D0"/>
    <w:rsid w:val="002F7E57"/>
    <w:rsid w:val="003068D8"/>
    <w:rsid w:val="00336DB1"/>
    <w:rsid w:val="00336DF0"/>
    <w:rsid w:val="00343376"/>
    <w:rsid w:val="003459DF"/>
    <w:rsid w:val="00346142"/>
    <w:rsid w:val="00355879"/>
    <w:rsid w:val="003A6960"/>
    <w:rsid w:val="003D0108"/>
    <w:rsid w:val="003F739A"/>
    <w:rsid w:val="0040415D"/>
    <w:rsid w:val="00407571"/>
    <w:rsid w:val="0040763D"/>
    <w:rsid w:val="00412B88"/>
    <w:rsid w:val="00423900"/>
    <w:rsid w:val="00425A2F"/>
    <w:rsid w:val="00432B4B"/>
    <w:rsid w:val="0044780B"/>
    <w:rsid w:val="004660B1"/>
    <w:rsid w:val="00470D21"/>
    <w:rsid w:val="00486063"/>
    <w:rsid w:val="00490229"/>
    <w:rsid w:val="00492F98"/>
    <w:rsid w:val="004D3863"/>
    <w:rsid w:val="004E28AB"/>
    <w:rsid w:val="004F2934"/>
    <w:rsid w:val="005109B0"/>
    <w:rsid w:val="00524C06"/>
    <w:rsid w:val="0052554D"/>
    <w:rsid w:val="00543D3B"/>
    <w:rsid w:val="00554D0B"/>
    <w:rsid w:val="00563E77"/>
    <w:rsid w:val="00585EED"/>
    <w:rsid w:val="005871BB"/>
    <w:rsid w:val="0059265D"/>
    <w:rsid w:val="0059540A"/>
    <w:rsid w:val="0059668B"/>
    <w:rsid w:val="005B045D"/>
    <w:rsid w:val="005B0DA7"/>
    <w:rsid w:val="005C531D"/>
    <w:rsid w:val="005D322C"/>
    <w:rsid w:val="005D77D0"/>
    <w:rsid w:val="006248D5"/>
    <w:rsid w:val="006300DA"/>
    <w:rsid w:val="00633D0F"/>
    <w:rsid w:val="006468D0"/>
    <w:rsid w:val="00662613"/>
    <w:rsid w:val="006764A7"/>
    <w:rsid w:val="00691E28"/>
    <w:rsid w:val="006B6E2C"/>
    <w:rsid w:val="006B782E"/>
    <w:rsid w:val="006C3C9E"/>
    <w:rsid w:val="006D137B"/>
    <w:rsid w:val="006D3F13"/>
    <w:rsid w:val="006D631F"/>
    <w:rsid w:val="006D76F7"/>
    <w:rsid w:val="006E69D2"/>
    <w:rsid w:val="006F2D6B"/>
    <w:rsid w:val="007039C0"/>
    <w:rsid w:val="007059A4"/>
    <w:rsid w:val="00711E04"/>
    <w:rsid w:val="00753C82"/>
    <w:rsid w:val="00772842"/>
    <w:rsid w:val="00792763"/>
    <w:rsid w:val="007A1764"/>
    <w:rsid w:val="007B5C7C"/>
    <w:rsid w:val="007B5F28"/>
    <w:rsid w:val="007C1E06"/>
    <w:rsid w:val="007E30D1"/>
    <w:rsid w:val="007F13D7"/>
    <w:rsid w:val="007F6ADC"/>
    <w:rsid w:val="007F7D70"/>
    <w:rsid w:val="008164E2"/>
    <w:rsid w:val="00843BB3"/>
    <w:rsid w:val="0086687D"/>
    <w:rsid w:val="00874EA6"/>
    <w:rsid w:val="0088742B"/>
    <w:rsid w:val="008A24DC"/>
    <w:rsid w:val="008B2441"/>
    <w:rsid w:val="008D65B8"/>
    <w:rsid w:val="008D745E"/>
    <w:rsid w:val="008D7AFA"/>
    <w:rsid w:val="008E70D4"/>
    <w:rsid w:val="008F03CF"/>
    <w:rsid w:val="00917D8B"/>
    <w:rsid w:val="00953BE2"/>
    <w:rsid w:val="009812C0"/>
    <w:rsid w:val="00986B79"/>
    <w:rsid w:val="009A3784"/>
    <w:rsid w:val="009C7B07"/>
    <w:rsid w:val="009D66D4"/>
    <w:rsid w:val="009E1FC3"/>
    <w:rsid w:val="009E226C"/>
    <w:rsid w:val="009E30AF"/>
    <w:rsid w:val="009E4D49"/>
    <w:rsid w:val="009E7AD3"/>
    <w:rsid w:val="00A326AE"/>
    <w:rsid w:val="00A346C8"/>
    <w:rsid w:val="00A37C0C"/>
    <w:rsid w:val="00A40E75"/>
    <w:rsid w:val="00A44BB0"/>
    <w:rsid w:val="00A44FFF"/>
    <w:rsid w:val="00A50DB5"/>
    <w:rsid w:val="00A542C5"/>
    <w:rsid w:val="00A6153C"/>
    <w:rsid w:val="00A64C83"/>
    <w:rsid w:val="00A70EE7"/>
    <w:rsid w:val="00A7377F"/>
    <w:rsid w:val="00A8251C"/>
    <w:rsid w:val="00A87188"/>
    <w:rsid w:val="00AA143B"/>
    <w:rsid w:val="00AB409D"/>
    <w:rsid w:val="00AB7B9A"/>
    <w:rsid w:val="00AC2604"/>
    <w:rsid w:val="00AE3D9D"/>
    <w:rsid w:val="00AE5DCA"/>
    <w:rsid w:val="00B24A44"/>
    <w:rsid w:val="00B267F2"/>
    <w:rsid w:val="00B53AD7"/>
    <w:rsid w:val="00B606B2"/>
    <w:rsid w:val="00B63F23"/>
    <w:rsid w:val="00B70B07"/>
    <w:rsid w:val="00B73DF4"/>
    <w:rsid w:val="00B764C4"/>
    <w:rsid w:val="00B92872"/>
    <w:rsid w:val="00BA3B39"/>
    <w:rsid w:val="00BA6427"/>
    <w:rsid w:val="00BA65D0"/>
    <w:rsid w:val="00BC7494"/>
    <w:rsid w:val="00C0251D"/>
    <w:rsid w:val="00C02AB4"/>
    <w:rsid w:val="00C075FC"/>
    <w:rsid w:val="00C1165A"/>
    <w:rsid w:val="00C20ADE"/>
    <w:rsid w:val="00C27D7B"/>
    <w:rsid w:val="00C647C5"/>
    <w:rsid w:val="00C75CFB"/>
    <w:rsid w:val="00C779F5"/>
    <w:rsid w:val="00C77AC1"/>
    <w:rsid w:val="00C944A7"/>
    <w:rsid w:val="00CB2DFD"/>
    <w:rsid w:val="00CC6997"/>
    <w:rsid w:val="00CC7CE6"/>
    <w:rsid w:val="00CD43EE"/>
    <w:rsid w:val="00CE0AAB"/>
    <w:rsid w:val="00CE410B"/>
    <w:rsid w:val="00D051A7"/>
    <w:rsid w:val="00D1789C"/>
    <w:rsid w:val="00D513A4"/>
    <w:rsid w:val="00D953AF"/>
    <w:rsid w:val="00D9581B"/>
    <w:rsid w:val="00DB18A3"/>
    <w:rsid w:val="00DC4DFF"/>
    <w:rsid w:val="00DD3710"/>
    <w:rsid w:val="00DE3DD9"/>
    <w:rsid w:val="00DF2E0E"/>
    <w:rsid w:val="00E13B26"/>
    <w:rsid w:val="00E14CB4"/>
    <w:rsid w:val="00E37CEB"/>
    <w:rsid w:val="00E50E51"/>
    <w:rsid w:val="00E565FF"/>
    <w:rsid w:val="00E56DAE"/>
    <w:rsid w:val="00E60DF2"/>
    <w:rsid w:val="00E62624"/>
    <w:rsid w:val="00E636F6"/>
    <w:rsid w:val="00E64D8A"/>
    <w:rsid w:val="00E92E3B"/>
    <w:rsid w:val="00EB354B"/>
    <w:rsid w:val="00ED2DF3"/>
    <w:rsid w:val="00ED7266"/>
    <w:rsid w:val="00EE1FB4"/>
    <w:rsid w:val="00EE2047"/>
    <w:rsid w:val="00EE2C39"/>
    <w:rsid w:val="00EE4DD4"/>
    <w:rsid w:val="00F10723"/>
    <w:rsid w:val="00F23199"/>
    <w:rsid w:val="00F308FF"/>
    <w:rsid w:val="00F332A9"/>
    <w:rsid w:val="00F47710"/>
    <w:rsid w:val="00F56344"/>
    <w:rsid w:val="00F571A7"/>
    <w:rsid w:val="00F67714"/>
    <w:rsid w:val="00F71077"/>
    <w:rsid w:val="00F72AB5"/>
    <w:rsid w:val="00F81C8B"/>
    <w:rsid w:val="00F84B68"/>
    <w:rsid w:val="00F96602"/>
    <w:rsid w:val="00FB0A2F"/>
    <w:rsid w:val="00FE0BA6"/>
    <w:rsid w:val="00FE6FFA"/>
    <w:rsid w:val="04243A91"/>
    <w:rsid w:val="0D8F43E5"/>
    <w:rsid w:val="10AD521E"/>
    <w:rsid w:val="139A8CA2"/>
    <w:rsid w:val="1C9A11B1"/>
    <w:rsid w:val="219B0DFD"/>
    <w:rsid w:val="25F1A46D"/>
    <w:rsid w:val="261179E8"/>
    <w:rsid w:val="336DE936"/>
    <w:rsid w:val="348386B1"/>
    <w:rsid w:val="350422D7"/>
    <w:rsid w:val="37BA3195"/>
    <w:rsid w:val="3A380AAC"/>
    <w:rsid w:val="3EF60DB1"/>
    <w:rsid w:val="3F5C904C"/>
    <w:rsid w:val="489EFC55"/>
    <w:rsid w:val="4AA4521A"/>
    <w:rsid w:val="4E988773"/>
    <w:rsid w:val="4F6E32B7"/>
    <w:rsid w:val="562AC6C2"/>
    <w:rsid w:val="59E2FED5"/>
    <w:rsid w:val="5F0C811B"/>
    <w:rsid w:val="62889C55"/>
    <w:rsid w:val="62CE9865"/>
    <w:rsid w:val="6C81E20C"/>
    <w:rsid w:val="6F7530D7"/>
    <w:rsid w:val="7D9A3661"/>
    <w:rsid w:val="7F42AD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AFC05"/>
  <w15:chartTrackingRefBased/>
  <w15:docId w15:val="{D38DDB81-6B85-4E55-8B9A-9A1081E2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7E5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15">
    <w:name w:val="Char Style 15"/>
    <w:rsid w:val="0009432B"/>
    <w:rPr>
      <w:rFonts w:ascii="Times New Roman" w:eastAsia="Times New Roman" w:hAnsi="Times New Roman" w:cs="Times New Roman"/>
      <w:b/>
      <w:bCs/>
      <w:color w:val="373737"/>
      <w:spacing w:val="0"/>
      <w:w w:val="100"/>
      <w:position w:val="0"/>
      <w:sz w:val="21"/>
      <w:szCs w:val="21"/>
      <w:shd w:val="clear" w:color="auto" w:fill="FFFFFF"/>
      <w:vertAlign w:val="baseline"/>
      <w:lang w:val="lt-LT" w:eastAsia="lt-LT" w:bidi="lt-LT"/>
    </w:rPr>
  </w:style>
  <w:style w:type="character" w:customStyle="1" w:styleId="CharStyle16">
    <w:name w:val="Char Style 16"/>
    <w:rsid w:val="0009432B"/>
    <w:rPr>
      <w:rFonts w:ascii="Times New Roman" w:eastAsia="Times New Roman" w:hAnsi="Times New Roman" w:cs="Times New Roman"/>
      <w:b/>
      <w:bCs/>
      <w:color w:val="373737"/>
      <w:spacing w:val="0"/>
      <w:w w:val="100"/>
      <w:position w:val="0"/>
      <w:sz w:val="21"/>
      <w:szCs w:val="21"/>
      <w:shd w:val="clear" w:color="auto" w:fill="FFFFFF"/>
      <w:vertAlign w:val="baseline"/>
      <w:lang w:val="lt-LT" w:eastAsia="lt-LT" w:bidi="lt-LT"/>
    </w:rPr>
  </w:style>
  <w:style w:type="character" w:customStyle="1" w:styleId="CharStyle17">
    <w:name w:val="Char Style 17"/>
    <w:rsid w:val="0009432B"/>
    <w:rPr>
      <w:rFonts w:ascii="Arial" w:eastAsia="Arial" w:hAnsi="Arial" w:cs="Arial"/>
      <w:color w:val="373737"/>
      <w:spacing w:val="0"/>
      <w:w w:val="100"/>
      <w:position w:val="0"/>
      <w:sz w:val="20"/>
      <w:szCs w:val="20"/>
      <w:shd w:val="clear" w:color="auto" w:fill="FFFFFF"/>
      <w:vertAlign w:val="baseline"/>
      <w:lang w:val="lt-LT" w:eastAsia="lt-LT" w:bidi="lt-LT"/>
    </w:rPr>
  </w:style>
  <w:style w:type="character" w:customStyle="1" w:styleId="CharStyle18">
    <w:name w:val="Char Style 18"/>
    <w:rsid w:val="0009432B"/>
    <w:rPr>
      <w:rFonts w:ascii="Arial" w:eastAsia="Arial" w:hAnsi="Arial" w:cs="Arial"/>
      <w:color w:val="373737"/>
      <w:spacing w:val="0"/>
      <w:w w:val="100"/>
      <w:position w:val="0"/>
      <w:sz w:val="19"/>
      <w:szCs w:val="19"/>
      <w:shd w:val="clear" w:color="auto" w:fill="FFFFFF"/>
      <w:vertAlign w:val="baseline"/>
      <w:lang w:val="lt-LT" w:eastAsia="lt-LT" w:bidi="lt-LT"/>
    </w:rPr>
  </w:style>
  <w:style w:type="paragraph" w:customStyle="1" w:styleId="Style7">
    <w:name w:val="Style 7"/>
    <w:basedOn w:val="prastasis"/>
    <w:rsid w:val="0009432B"/>
    <w:pPr>
      <w:shd w:val="clear" w:color="auto" w:fill="FFFFFF"/>
      <w:suppressAutoHyphens/>
      <w:autoSpaceDE/>
      <w:adjustRightInd/>
      <w:spacing w:before="320" w:after="320" w:line="244" w:lineRule="exact"/>
      <w:ind w:firstLine="0"/>
      <w:jc w:val="center"/>
    </w:pPr>
    <w:rPr>
      <w:rFonts w:ascii="Calibri" w:eastAsia="Calibri" w:hAnsi="Calibri" w:cs="Times New Roman"/>
      <w:sz w:val="22"/>
      <w:szCs w:val="22"/>
      <w:lang w:val="en-US" w:eastAsia="en-US"/>
    </w:rPr>
  </w:style>
  <w:style w:type="paragraph" w:customStyle="1" w:styleId="Style13">
    <w:name w:val="Style 13"/>
    <w:basedOn w:val="prastasis"/>
    <w:rsid w:val="0009432B"/>
    <w:pPr>
      <w:shd w:val="clear" w:color="auto" w:fill="FFFFFF"/>
      <w:suppressAutoHyphens/>
      <w:autoSpaceDE/>
      <w:adjustRightInd/>
      <w:spacing w:line="232" w:lineRule="exact"/>
      <w:ind w:firstLine="0"/>
    </w:pPr>
    <w:rPr>
      <w:rFonts w:ascii="Calibri" w:eastAsia="Calibri" w:hAnsi="Calibri" w:cs="Times New Roman"/>
      <w:b/>
      <w:bCs/>
      <w:sz w:val="21"/>
      <w:szCs w:val="21"/>
      <w:lang w:val="en-US" w:eastAsia="en-US"/>
    </w:rPr>
  </w:style>
  <w:style w:type="table" w:styleId="Lentelstinklelis">
    <w:name w:val="Table Grid"/>
    <w:basedOn w:val="prastojilentel"/>
    <w:uiPriority w:val="99"/>
    <w:rsid w:val="003A6960"/>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E4D49"/>
    <w:rPr>
      <w:sz w:val="16"/>
      <w:szCs w:val="16"/>
    </w:rPr>
  </w:style>
  <w:style w:type="paragraph" w:styleId="Komentarotekstas">
    <w:name w:val="annotation text"/>
    <w:basedOn w:val="prastasis"/>
    <w:link w:val="KomentarotekstasDiagrama"/>
    <w:uiPriority w:val="99"/>
    <w:unhideWhenUsed/>
    <w:rsid w:val="009E4D49"/>
    <w:rPr>
      <w:szCs w:val="20"/>
    </w:rPr>
  </w:style>
  <w:style w:type="character" w:customStyle="1" w:styleId="KomentarotekstasDiagrama">
    <w:name w:val="Komentaro tekstas Diagrama"/>
    <w:basedOn w:val="Numatytasispastraiposriftas"/>
    <w:link w:val="Komentarotekstas"/>
    <w:uiPriority w:val="99"/>
    <w:rsid w:val="009E4D49"/>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9E4D49"/>
    <w:rPr>
      <w:b/>
      <w:bCs/>
    </w:rPr>
  </w:style>
  <w:style w:type="character" w:customStyle="1" w:styleId="KomentarotemaDiagrama">
    <w:name w:val="Komentaro tema Diagrama"/>
    <w:basedOn w:val="KomentarotekstasDiagrama"/>
    <w:link w:val="Komentarotema"/>
    <w:uiPriority w:val="99"/>
    <w:semiHidden/>
    <w:rsid w:val="009E4D49"/>
    <w:rPr>
      <w:rFonts w:ascii="Arial" w:eastAsia="Times New Roman" w:hAnsi="Arial" w:cs="Arial"/>
      <w:b/>
      <w:bCs/>
      <w:sz w:val="20"/>
      <w:szCs w:val="20"/>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36DB1"/>
    <w:pPr>
      <w:ind w:left="720"/>
      <w:contextualSpacing/>
    </w:pPr>
  </w:style>
  <w:style w:type="paragraph" w:styleId="Pataisymai">
    <w:name w:val="Revision"/>
    <w:hidden/>
    <w:uiPriority w:val="99"/>
    <w:semiHidden/>
    <w:rsid w:val="00F71077"/>
    <w:pPr>
      <w:spacing w:after="0" w:line="240" w:lineRule="auto"/>
    </w:pPr>
    <w:rPr>
      <w:rFonts w:ascii="Arial" w:eastAsia="Times New Roman" w:hAnsi="Arial" w:cs="Arial"/>
      <w:sz w:val="20"/>
      <w:szCs w:val="24"/>
      <w:lang w:eastAsia="lt-LT"/>
    </w:rPr>
  </w:style>
  <w:style w:type="paragraph" w:styleId="Porat">
    <w:name w:val="footer"/>
    <w:basedOn w:val="prastasis"/>
    <w:link w:val="PoratDiagrama"/>
    <w:uiPriority w:val="99"/>
    <w:unhideWhenUsed/>
    <w:rsid w:val="006248D5"/>
    <w:pPr>
      <w:widowControl/>
      <w:tabs>
        <w:tab w:val="center" w:pos="4986"/>
        <w:tab w:val="right" w:pos="9972"/>
      </w:tabs>
      <w:autoSpaceDE/>
      <w:autoSpaceDN/>
      <w:adjustRightInd/>
      <w:ind w:firstLine="0"/>
    </w:pPr>
    <w:rPr>
      <w:rFonts w:asciiTheme="minorHAnsi" w:eastAsiaTheme="minorHAnsi" w:hAnsiTheme="minorHAnsi" w:cstheme="minorBidi"/>
      <w:sz w:val="22"/>
      <w:szCs w:val="22"/>
      <w:lang w:val="en-US" w:eastAsia="en-US"/>
    </w:rPr>
  </w:style>
  <w:style w:type="character" w:customStyle="1" w:styleId="PoratDiagrama">
    <w:name w:val="Poraštė Diagrama"/>
    <w:basedOn w:val="Numatytasispastraiposriftas"/>
    <w:link w:val="Porat"/>
    <w:uiPriority w:val="99"/>
    <w:rsid w:val="006248D5"/>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17E88"/>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F749F-4AB3-4BFD-AAA9-A0309144F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3080</Words>
  <Characters>1757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Rokas Jucys</dc:creator>
  <cp:keywords/>
  <dc:description/>
  <cp:lastModifiedBy>Vaida Baltaduonienė</cp:lastModifiedBy>
  <cp:revision>5</cp:revision>
  <dcterms:created xsi:type="dcterms:W3CDTF">2025-05-15T12:19:00Z</dcterms:created>
  <dcterms:modified xsi:type="dcterms:W3CDTF">2025-05-15T13:47:00Z</dcterms:modified>
</cp:coreProperties>
</file>