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53D52E23" w14:textId="77777777" w:rsidR="00CF6D51" w:rsidRPr="006B5C78" w:rsidRDefault="00CF6D51"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28344868" w14:textId="77777777" w:rsidR="00D8137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p w14:paraId="09DFB565" w14:textId="77777777" w:rsidR="00CF6D51" w:rsidRPr="003F239B" w:rsidRDefault="00CF6D51" w:rsidP="00380255">
            <w:pPr>
              <w:ind w:left="1082" w:hanging="360"/>
              <w:jc w:val="center"/>
              <w:rPr>
                <w:b/>
                <w:szCs w:val="22"/>
                <w:lang w:eastAsia="lt-LT"/>
              </w:rPr>
            </w:pP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nustatyti Darbų užduotyje ir kiti darbai bei būtinos Sutarčiai atlikti paslaugos (jeigu yra), kuriuos pagal Sutartį privalo atlikti Rangovas.</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2076090F"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203074">
              <w:rPr>
                <w:b/>
                <w:bCs/>
                <w:szCs w:val="24"/>
                <w:highlight w:val="yellow"/>
                <w:lang w:eastAsia="lt-LT"/>
              </w:rPr>
              <w:t xml:space="preserve">bet ne ilgiau kaip </w:t>
            </w:r>
            <w:r w:rsidR="004A1731" w:rsidRPr="00203074">
              <w:rPr>
                <w:b/>
                <w:bCs/>
                <w:szCs w:val="24"/>
                <w:highlight w:val="yellow"/>
                <w:lang w:eastAsia="lt-LT"/>
              </w:rPr>
              <w:t>7</w:t>
            </w:r>
            <w:r w:rsidRPr="00203074">
              <w:rPr>
                <w:b/>
                <w:bCs/>
                <w:szCs w:val="24"/>
                <w:highlight w:val="yellow"/>
                <w:lang w:eastAsia="ar-SA"/>
              </w:rPr>
              <w:t xml:space="preserve"> (</w:t>
            </w:r>
            <w:r w:rsidR="004A1731" w:rsidRPr="00203074">
              <w:rPr>
                <w:b/>
                <w:bCs/>
                <w:szCs w:val="24"/>
                <w:highlight w:val="yellow"/>
                <w:lang w:eastAsia="ar-SA"/>
              </w:rPr>
              <w:t>septyni</w:t>
            </w:r>
            <w:r w:rsidRPr="00203074">
              <w:rPr>
                <w:b/>
                <w:bCs/>
                <w:szCs w:val="24"/>
                <w:highlight w:val="yellow"/>
                <w:lang w:eastAsia="ar-SA"/>
              </w:rPr>
              <w:t>) mėnesi</w:t>
            </w:r>
            <w:r w:rsidR="00D66F1D" w:rsidRPr="00203074">
              <w:rPr>
                <w:b/>
                <w:bCs/>
                <w:szCs w:val="24"/>
                <w:highlight w:val="yellow"/>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r w:rsidR="004A1731">
              <w:rPr>
                <w:szCs w:val="24"/>
                <w:lang w:eastAsia="ar-SA"/>
              </w:rPr>
              <w:t xml:space="preserve"> (įskaitant apmokėjimo terminą)</w:t>
            </w:r>
            <w:r w:rsidRPr="005A3B0E">
              <w:rPr>
                <w:szCs w:val="24"/>
                <w:lang w:eastAsia="ar-SA"/>
              </w:rPr>
              <w:t>.</w:t>
            </w:r>
            <w:r w:rsidRPr="00F2340C">
              <w:rPr>
                <w:b/>
                <w:bCs/>
                <w:szCs w:val="24"/>
                <w:lang w:eastAsia="ar-SA"/>
              </w:rPr>
              <w:t xml:space="preserve">  </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3C35213" w14:textId="77777777" w:rsidR="00D8137B" w:rsidRDefault="00D8137B" w:rsidP="00380255">
            <w:pPr>
              <w:widowControl w:val="0"/>
              <w:jc w:val="both"/>
              <w:rPr>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p w14:paraId="20780E6E" w14:textId="77777777" w:rsidR="00CF6D51" w:rsidRPr="006B5C78" w:rsidRDefault="00CF6D51" w:rsidP="00380255">
            <w:pPr>
              <w:widowControl w:val="0"/>
              <w:jc w:val="both"/>
              <w:rPr>
                <w:b/>
                <w:szCs w:val="24"/>
                <w:lang w:eastAsia="lt-LT"/>
              </w:rPr>
            </w:pP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16A8B5BD" w14:textId="77777777" w:rsidR="00D8137B"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p w14:paraId="5D89BD01" w14:textId="77777777" w:rsidR="00CF6D51" w:rsidRPr="006B5C78" w:rsidRDefault="00CF6D51" w:rsidP="00380255">
            <w:pPr>
              <w:widowControl w:val="0"/>
              <w:ind w:left="1082" w:hanging="360"/>
              <w:jc w:val="center"/>
              <w:rPr>
                <w:b/>
                <w:szCs w:val="22"/>
                <w:lang w:eastAsia="lt-LT"/>
              </w:rPr>
            </w:pP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70C475B8"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Šia Sutartimi Rangovas įsipareigoja per Sutartyje nustatytą Darbų atlikimo terminą ir Sutartyje nustatytomis sąlygomis atlikti ir perduoti šiuos Darbus:</w:t>
            </w:r>
            <w:r w:rsidR="00551DF2">
              <w:rPr>
                <w:szCs w:val="22"/>
                <w:lang w:eastAsia="lt-LT"/>
              </w:rPr>
              <w:t xml:space="preserve"> </w:t>
            </w:r>
            <w:r w:rsidR="00551DF2" w:rsidRPr="00551DF2">
              <w:rPr>
                <w:b/>
                <w:bCs/>
                <w:szCs w:val="22"/>
                <w:lang w:eastAsia="lt-LT"/>
              </w:rPr>
              <w:t xml:space="preserve">Kupiškio rajono </w:t>
            </w:r>
            <w:proofErr w:type="spellStart"/>
            <w:r w:rsidR="00551DF2" w:rsidRPr="00551DF2">
              <w:rPr>
                <w:b/>
                <w:bCs/>
                <w:szCs w:val="22"/>
                <w:lang w:eastAsia="lt-LT"/>
              </w:rPr>
              <w:t>Byčių</w:t>
            </w:r>
            <w:proofErr w:type="spellEnd"/>
            <w:r w:rsidR="00551DF2" w:rsidRPr="00551DF2">
              <w:rPr>
                <w:b/>
                <w:bCs/>
                <w:szCs w:val="22"/>
                <w:lang w:eastAsia="lt-LT"/>
              </w:rPr>
              <w:t xml:space="preserve"> kadastrinės vietovės pralaidos </w:t>
            </w:r>
            <w:proofErr w:type="spellStart"/>
            <w:r w:rsidR="00551DF2" w:rsidRPr="00551DF2">
              <w:rPr>
                <w:b/>
                <w:bCs/>
                <w:szCs w:val="22"/>
                <w:lang w:eastAsia="lt-LT"/>
              </w:rPr>
              <w:t>Naktakės</w:t>
            </w:r>
            <w:proofErr w:type="spellEnd"/>
            <w:r w:rsidR="00551DF2" w:rsidRPr="00551DF2">
              <w:rPr>
                <w:b/>
                <w:bCs/>
                <w:szCs w:val="22"/>
                <w:lang w:eastAsia="lt-LT"/>
              </w:rPr>
              <w:t xml:space="preserve"> upelyje Liepų gatvėje remonto darbai</w:t>
            </w:r>
            <w:r w:rsidRPr="006B5C78">
              <w:rPr>
                <w:szCs w:val="22"/>
                <w:lang w:eastAsia="lt-LT"/>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BA405F6" w14:textId="77777777" w:rsidR="00D8137B"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p w14:paraId="01923856" w14:textId="77777777" w:rsidR="00CF6D51" w:rsidRPr="006B5C78" w:rsidRDefault="00CF6D51" w:rsidP="00380255">
            <w:pPr>
              <w:widowControl w:val="0"/>
              <w:ind w:left="1082" w:hanging="360"/>
              <w:jc w:val="center"/>
              <w:rPr>
                <w:b/>
                <w:szCs w:val="22"/>
                <w:lang w:eastAsia="lt-LT"/>
              </w:rPr>
            </w:pP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shd w:val="clear" w:color="auto" w:fill="auto"/>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09CC3276" w14:textId="77777777" w:rsidR="00D8137B"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79B8A1D8" w14:textId="77777777" w:rsidR="00D8137B" w:rsidRDefault="00D8137B" w:rsidP="00380255">
            <w:pPr>
              <w:widowControl w:val="0"/>
              <w:jc w:val="both"/>
              <w:rPr>
                <w:szCs w:val="22"/>
                <w:lang w:eastAsia="lt-LT"/>
              </w:rPr>
            </w:pPr>
          </w:p>
          <w:p w14:paraId="6F321270" w14:textId="77777777" w:rsidR="00D8137B" w:rsidRDefault="00D8137B" w:rsidP="00380255">
            <w:pPr>
              <w:widowControl w:val="0"/>
              <w:jc w:val="both"/>
              <w:rPr>
                <w:szCs w:val="22"/>
                <w:lang w:eastAsia="lt-LT"/>
              </w:rPr>
            </w:pPr>
          </w:p>
          <w:p w14:paraId="13B26D82" w14:textId="77777777" w:rsidR="00E3123F" w:rsidRDefault="00E3123F" w:rsidP="00380255">
            <w:pPr>
              <w:widowControl w:val="0"/>
              <w:jc w:val="both"/>
              <w:rPr>
                <w:szCs w:val="22"/>
                <w:lang w:eastAsia="lt-LT"/>
              </w:rPr>
            </w:pPr>
          </w:p>
          <w:p w14:paraId="3B25D886" w14:textId="77777777" w:rsidR="00E3123F" w:rsidRPr="006B5C78" w:rsidRDefault="00E3123F"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shd w:val="clear" w:color="auto" w:fill="auto"/>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EC59FD">
        <w:trPr>
          <w:trHeight w:val="8584"/>
        </w:trPr>
        <w:tc>
          <w:tcPr>
            <w:tcW w:w="787" w:type="dxa"/>
            <w:gridSpan w:val="2"/>
            <w:tcBorders>
              <w:top w:val="nil"/>
              <w:left w:val="nil"/>
              <w:bottom w:val="nil"/>
              <w:right w:val="nil"/>
            </w:tcBorders>
            <w:shd w:val="clear" w:color="auto" w:fill="auto"/>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shd w:val="clear" w:color="auto" w:fill="auto"/>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shd w:val="clear" w:color="auto" w:fill="auto"/>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shd w:val="clear" w:color="auto" w:fill="auto"/>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shd w:val="clear" w:color="auto" w:fill="auto"/>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shd w:val="clear" w:color="auto" w:fill="auto"/>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shd w:val="clear" w:color="auto" w:fill="auto"/>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shd w:val="clear" w:color="auto" w:fill="auto"/>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shd w:val="clear" w:color="auto" w:fill="auto"/>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shd w:val="clear" w:color="auto" w:fill="auto"/>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shd w:val="clear" w:color="auto" w:fill="auto"/>
                </w:tcPr>
                <w:p w14:paraId="0E6A8FED" w14:textId="77777777" w:rsidR="00D8137B" w:rsidRDefault="00551DF2" w:rsidP="00380255">
                  <w:pPr>
                    <w:widowControl w:val="0"/>
                    <w:rPr>
                      <w:i/>
                      <w:szCs w:val="22"/>
                      <w:lang w:eastAsia="lt-LT"/>
                    </w:rPr>
                  </w:pPr>
                  <w:r>
                    <w:rPr>
                      <w:i/>
                      <w:szCs w:val="22"/>
                      <w:lang w:eastAsia="lt-LT"/>
                    </w:rPr>
                    <w:t xml:space="preserve">Rimantas </w:t>
                  </w:r>
                  <w:proofErr w:type="spellStart"/>
                  <w:r>
                    <w:rPr>
                      <w:i/>
                      <w:szCs w:val="22"/>
                      <w:lang w:eastAsia="lt-LT"/>
                    </w:rPr>
                    <w:t>Bimbiris</w:t>
                  </w:r>
                  <w:proofErr w:type="spellEnd"/>
                </w:p>
                <w:p w14:paraId="656CD276" w14:textId="49E333DD" w:rsidR="00A22231" w:rsidRPr="006B5C78" w:rsidRDefault="00A22231" w:rsidP="00380255">
                  <w:pPr>
                    <w:widowControl w:val="0"/>
                    <w:rPr>
                      <w:i/>
                      <w:szCs w:val="22"/>
                      <w:lang w:eastAsia="lt-LT"/>
                    </w:rPr>
                  </w:pPr>
                  <w:r>
                    <w:rPr>
                      <w:i/>
                      <w:szCs w:val="22"/>
                      <w:lang w:eastAsia="lt-LT"/>
                    </w:rPr>
                    <w:t>Tel.+370 35611</w:t>
                  </w:r>
                </w:p>
              </w:tc>
            </w:tr>
            <w:tr w:rsidR="00D8137B" w:rsidRPr="006B5C78" w14:paraId="35E49EDB" w14:textId="77777777" w:rsidTr="00380255">
              <w:tc>
                <w:tcPr>
                  <w:tcW w:w="3577" w:type="dxa"/>
                  <w:shd w:val="clear" w:color="auto" w:fill="auto"/>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shd w:val="clear" w:color="auto" w:fill="auto"/>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1D0BA45D" w14:textId="77777777" w:rsidR="00D8137B" w:rsidRDefault="00551DF2" w:rsidP="00380255">
                  <w:pPr>
                    <w:widowControl w:val="0"/>
                    <w:rPr>
                      <w:i/>
                      <w:szCs w:val="22"/>
                      <w:lang w:eastAsia="lt-LT"/>
                    </w:rPr>
                  </w:pPr>
                  <w:r>
                    <w:rPr>
                      <w:i/>
                      <w:szCs w:val="22"/>
                      <w:lang w:eastAsia="lt-LT"/>
                    </w:rPr>
                    <w:t>Gintarė Begonienė</w:t>
                  </w:r>
                </w:p>
                <w:p w14:paraId="093A4D29" w14:textId="77777777" w:rsidR="00A22231" w:rsidRDefault="00A22231" w:rsidP="00380255">
                  <w:pPr>
                    <w:widowControl w:val="0"/>
                    <w:rPr>
                      <w:i/>
                      <w:szCs w:val="22"/>
                      <w:lang w:eastAsia="lt-LT"/>
                    </w:rPr>
                  </w:pPr>
                  <w:r>
                    <w:rPr>
                      <w:i/>
                      <w:szCs w:val="22"/>
                      <w:lang w:eastAsia="lt-LT"/>
                    </w:rPr>
                    <w:t>Tel. +370 35701</w:t>
                  </w:r>
                </w:p>
                <w:p w14:paraId="4B8B3106" w14:textId="3BFB92C0" w:rsidR="00A22231" w:rsidRPr="006B5C78" w:rsidRDefault="00A22231" w:rsidP="00380255">
                  <w:pPr>
                    <w:widowControl w:val="0"/>
                    <w:rPr>
                      <w:i/>
                      <w:szCs w:val="22"/>
                      <w:lang w:eastAsia="lt-LT"/>
                    </w:rPr>
                  </w:pPr>
                  <w:proofErr w:type="spellStart"/>
                  <w:r>
                    <w:rPr>
                      <w:i/>
                      <w:szCs w:val="22"/>
                      <w:lang w:eastAsia="lt-LT"/>
                    </w:rPr>
                    <w:t>El.paštas</w:t>
                  </w:r>
                  <w:proofErr w:type="spellEnd"/>
                  <w:r>
                    <w:rPr>
                      <w:i/>
                      <w:szCs w:val="22"/>
                      <w:lang w:eastAsia="lt-LT"/>
                    </w:rPr>
                    <w:t>. gintare.begoniene@kupiskis.lt</w:t>
                  </w:r>
                </w:p>
              </w:tc>
            </w:tr>
            <w:tr w:rsidR="00D8137B" w:rsidRPr="006B5C78" w14:paraId="51EC9BA0" w14:textId="77777777" w:rsidTr="00380255">
              <w:tc>
                <w:tcPr>
                  <w:tcW w:w="3577" w:type="dxa"/>
                  <w:shd w:val="clear" w:color="auto" w:fill="auto"/>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shd w:val="clear" w:color="auto" w:fill="auto"/>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shd w:val="clear" w:color="auto" w:fill="auto"/>
                </w:tcPr>
                <w:p w14:paraId="7D1B19D2" w14:textId="4F353F90"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shd w:val="clear" w:color="auto" w:fill="auto"/>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shd w:val="clear" w:color="auto" w:fill="auto"/>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shd w:val="clear" w:color="auto" w:fill="auto"/>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shd w:val="clear" w:color="auto" w:fill="auto"/>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shd w:val="clear" w:color="auto" w:fill="auto"/>
                </w:tcPr>
                <w:p w14:paraId="22DE634E" w14:textId="298DB4CB" w:rsidR="00D8137B" w:rsidRPr="002C2A6E" w:rsidRDefault="004A1731" w:rsidP="00380255">
                  <w:pPr>
                    <w:widowControl w:val="0"/>
                    <w:rPr>
                      <w:b/>
                      <w:bCs/>
                      <w:szCs w:val="22"/>
                      <w:lang w:eastAsia="lt-LT"/>
                    </w:rPr>
                  </w:pPr>
                  <w:r>
                    <w:rPr>
                      <w:b/>
                      <w:bCs/>
                      <w:szCs w:val="22"/>
                      <w:highlight w:val="yellow"/>
                      <w:lang w:eastAsia="lt-LT"/>
                    </w:rPr>
                    <w:t>6</w:t>
                  </w:r>
                  <w:r w:rsidR="00D8137B" w:rsidRPr="00EC59FD">
                    <w:rPr>
                      <w:b/>
                      <w:bCs/>
                      <w:szCs w:val="22"/>
                      <w:highlight w:val="yellow"/>
                      <w:lang w:eastAsia="lt-LT"/>
                    </w:rPr>
                    <w:t xml:space="preserve"> (</w:t>
                  </w:r>
                  <w:r>
                    <w:rPr>
                      <w:b/>
                      <w:bCs/>
                      <w:szCs w:val="22"/>
                      <w:highlight w:val="yellow"/>
                      <w:lang w:eastAsia="lt-LT"/>
                    </w:rPr>
                    <w:t>šeši</w:t>
                  </w:r>
                  <w:r w:rsidR="00D8137B" w:rsidRPr="00EC59FD">
                    <w:rPr>
                      <w:b/>
                      <w:bCs/>
                      <w:szCs w:val="22"/>
                      <w:highlight w:val="yellow"/>
                      <w:lang w:eastAsia="lt-LT"/>
                    </w:rPr>
                    <w:t>) mėnesiai.</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shd w:val="clear" w:color="auto" w:fill="auto"/>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shd w:val="clear" w:color="auto" w:fill="auto"/>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shd w:val="clear" w:color="auto" w:fill="auto"/>
                </w:tcPr>
                <w:p w14:paraId="7415DF30" w14:textId="59DB6A11" w:rsidR="00D8137B" w:rsidRPr="00EC27E3" w:rsidRDefault="00EC27E3" w:rsidP="00380255">
                  <w:pPr>
                    <w:widowControl w:val="0"/>
                    <w:rPr>
                      <w:szCs w:val="22"/>
                      <w:highlight w:val="yellow"/>
                      <w:lang w:eastAsia="lt-LT"/>
                    </w:rPr>
                  </w:pPr>
                  <w:r w:rsidRPr="00EC27E3">
                    <w:rPr>
                      <w:szCs w:val="24"/>
                    </w:rPr>
                    <w:t>nenumatomas</w:t>
                  </w:r>
                </w:p>
              </w:tc>
            </w:tr>
            <w:tr w:rsidR="00D8137B" w:rsidRPr="006B5C78" w14:paraId="6F381DF9" w14:textId="77777777" w:rsidTr="00380255">
              <w:tc>
                <w:tcPr>
                  <w:tcW w:w="3577" w:type="dxa"/>
                  <w:shd w:val="clear" w:color="auto" w:fill="auto"/>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shd w:val="clear" w:color="auto" w:fill="auto"/>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shd w:val="clear" w:color="auto" w:fill="auto"/>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shd w:val="clear" w:color="auto" w:fill="auto"/>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shd w:val="clear" w:color="auto" w:fill="auto"/>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shd w:val="clear" w:color="auto" w:fill="auto"/>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shd w:val="clear" w:color="auto" w:fill="auto"/>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shd w:val="clear" w:color="auto" w:fill="auto"/>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shd w:val="clear" w:color="auto" w:fill="auto"/>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shd w:val="clear" w:color="auto" w:fill="auto"/>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shd w:val="clear" w:color="auto" w:fill="auto"/>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shd w:val="clear" w:color="auto" w:fill="auto"/>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shd w:val="clear" w:color="auto" w:fill="auto"/>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shd w:val="clear" w:color="auto" w:fill="auto"/>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shd w:val="clear" w:color="auto" w:fill="auto"/>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shd w:val="clear" w:color="auto" w:fill="auto"/>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shd w:val="clear" w:color="auto" w:fill="auto"/>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shd w:val="clear" w:color="auto" w:fill="auto"/>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shd w:val="clear" w:color="auto" w:fill="auto"/>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shd w:val="clear" w:color="auto" w:fill="auto"/>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shd w:val="clear" w:color="auto" w:fill="auto"/>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shd w:val="clear" w:color="auto" w:fill="auto"/>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shd w:val="clear" w:color="auto" w:fill="auto"/>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shd w:val="clear" w:color="auto" w:fill="auto"/>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shd w:val="clear" w:color="auto" w:fill="auto"/>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shd w:val="clear" w:color="auto" w:fill="auto"/>
                </w:tcPr>
                <w:p w14:paraId="40543B2C" w14:textId="77777777" w:rsidR="00D8137B" w:rsidRPr="006B5C78" w:rsidRDefault="00D8137B" w:rsidP="00380255">
                  <w:pPr>
                    <w:widowControl w:val="0"/>
                    <w:rPr>
                      <w:szCs w:val="22"/>
                      <w:lang w:eastAsia="lt-LT"/>
                    </w:rPr>
                  </w:pPr>
                  <w:r w:rsidRPr="00EC59FD">
                    <w:rPr>
                      <w:szCs w:val="22"/>
                      <w:highlight w:val="yellow"/>
                      <w:lang w:eastAsia="lt-LT"/>
                    </w:rPr>
                    <w:t>5 metai</w:t>
                  </w:r>
                  <w:r w:rsidRPr="006B5C78">
                    <w:rPr>
                      <w:szCs w:val="22"/>
                      <w:lang w:eastAsia="lt-LT"/>
                    </w:rPr>
                    <w:t xml:space="preserve">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5EDC9893" w14:textId="77777777" w:rsidR="00D8137B"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p w14:paraId="13870C73" w14:textId="77777777" w:rsidR="006E286C" w:rsidRPr="006B5C78" w:rsidRDefault="006E286C" w:rsidP="00380255">
            <w:pPr>
              <w:widowControl w:val="0"/>
              <w:ind w:left="1082" w:hanging="360"/>
              <w:jc w:val="center"/>
              <w:rPr>
                <w:b/>
                <w:szCs w:val="22"/>
                <w:lang w:eastAsia="lt-LT"/>
              </w:rPr>
            </w:pP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shd w:val="clear" w:color="auto" w:fill="auto"/>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Default="00D8137B" w:rsidP="00380255">
            <w:pPr>
              <w:widowControl w:val="0"/>
              <w:jc w:val="both"/>
              <w:rPr>
                <w:szCs w:val="22"/>
                <w:lang w:eastAsia="lt-LT"/>
              </w:rPr>
            </w:pPr>
            <w:r w:rsidRPr="006B5C78">
              <w:rPr>
                <w:szCs w:val="22"/>
                <w:lang w:eastAsia="lt-LT"/>
              </w:rPr>
              <w:t>Užsakovo atsakomybei ir rizikai priskiriama:</w:t>
            </w:r>
          </w:p>
          <w:p w14:paraId="56763F55" w14:textId="77777777" w:rsidR="006E286C" w:rsidRDefault="006E286C" w:rsidP="00380255">
            <w:pPr>
              <w:widowControl w:val="0"/>
              <w:jc w:val="both"/>
              <w:rPr>
                <w:szCs w:val="22"/>
                <w:lang w:eastAsia="lt-LT"/>
              </w:rPr>
            </w:pPr>
          </w:p>
          <w:p w14:paraId="70405772" w14:textId="77777777" w:rsidR="006E286C" w:rsidRPr="006B5C78" w:rsidRDefault="006E286C" w:rsidP="00380255">
            <w:pPr>
              <w:widowControl w:val="0"/>
              <w:jc w:val="both"/>
              <w:rPr>
                <w:szCs w:val="22"/>
                <w:lang w:eastAsia="lt-LT"/>
              </w:rPr>
            </w:pPr>
          </w:p>
          <w:p w14:paraId="4AE88920" w14:textId="6DDC2369" w:rsidR="00016ED0" w:rsidRPr="006E286C" w:rsidRDefault="00D8137B" w:rsidP="006E286C">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40DA7BA" w:rsidR="00D8137B" w:rsidRPr="006B5C78" w:rsidRDefault="00D8137B" w:rsidP="00D8137B">
            <w:pPr>
              <w:widowControl w:val="0"/>
              <w:numPr>
                <w:ilvl w:val="0"/>
                <w:numId w:val="13"/>
              </w:numPr>
              <w:ind w:left="853" w:hanging="567"/>
              <w:jc w:val="both"/>
              <w:rPr>
                <w:szCs w:val="22"/>
                <w:lang w:eastAsia="lt-LT"/>
              </w:rPr>
            </w:pP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80C26E6"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016ED0" w:rsidRPr="006B5C78" w:rsidRDefault="00016ED0"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62F8EDBC" w14:textId="77777777" w:rsidR="00D8137B"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p w14:paraId="23C933ED" w14:textId="77777777" w:rsidR="00016ED0" w:rsidRPr="006B5C78" w:rsidRDefault="00016ED0" w:rsidP="00380255">
            <w:pPr>
              <w:widowControl w:val="0"/>
              <w:ind w:left="1082" w:hanging="360"/>
              <w:jc w:val="center"/>
              <w:rPr>
                <w:b/>
                <w:szCs w:val="22"/>
                <w:lang w:eastAsia="lt-LT"/>
              </w:rPr>
            </w:pP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9E51454" w14:textId="77777777" w:rsidR="00D8137B"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p w14:paraId="157733D6" w14:textId="77777777" w:rsidR="006E286C" w:rsidRDefault="006E286C" w:rsidP="00380255">
            <w:pPr>
              <w:widowControl w:val="0"/>
              <w:jc w:val="both"/>
              <w:rPr>
                <w:szCs w:val="22"/>
                <w:lang w:eastAsia="lt-LT"/>
              </w:rPr>
            </w:pPr>
          </w:p>
          <w:p w14:paraId="59FB4445" w14:textId="77777777" w:rsidR="006E286C" w:rsidRPr="006B5C78" w:rsidRDefault="006E286C" w:rsidP="00380255">
            <w:pPr>
              <w:widowControl w:val="0"/>
              <w:jc w:val="both"/>
              <w:rPr>
                <w:szCs w:val="22"/>
                <w:lang w:eastAsia="lt-LT"/>
              </w:rPr>
            </w:pP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C7892CE" w14:textId="084AACB8" w:rsidR="006E286C"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w:t>
            </w:r>
          </w:p>
          <w:p w14:paraId="51B115EB" w14:textId="33D0B25C" w:rsidR="00016ED0" w:rsidRPr="006B5C78" w:rsidRDefault="00D8137B" w:rsidP="00380255">
            <w:pPr>
              <w:widowControl w:val="0"/>
              <w:jc w:val="both"/>
              <w:rPr>
                <w:szCs w:val="22"/>
                <w:lang w:eastAsia="lt-LT"/>
              </w:rPr>
            </w:pPr>
            <w:r w:rsidRPr="006B5C78">
              <w:rPr>
                <w:szCs w:val="22"/>
                <w:lang w:eastAsia="lt-LT"/>
              </w:rPr>
              <w:t xml:space="preserve">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5344A154"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8CB8E8B" w14:textId="77777777" w:rsidR="006E286C" w:rsidRDefault="000060F8" w:rsidP="000060F8">
            <w:pPr>
              <w:pBdr>
                <w:top w:val="nil"/>
                <w:left w:val="nil"/>
                <w:bottom w:val="nil"/>
                <w:right w:val="nil"/>
                <w:between w:val="nil"/>
                <w:bar w:val="nil"/>
              </w:pBdr>
              <w:tabs>
                <w:tab w:val="left" w:pos="340"/>
                <w:tab w:val="left" w:pos="1210"/>
              </w:tabs>
              <w:suppressAutoHyphens/>
              <w:jc w:val="both"/>
              <w:rPr>
                <w:szCs w:val="24"/>
                <w:lang w:eastAsia="zh-CN"/>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2011 m. birželio 28 d. įsakymu Nr. D1-508  „Dėl Aplinkos</w:t>
            </w:r>
          </w:p>
          <w:p w14:paraId="0B5EC020" w14:textId="77777777" w:rsidR="006E286C" w:rsidRDefault="006E286C" w:rsidP="000060F8">
            <w:pPr>
              <w:pBdr>
                <w:top w:val="nil"/>
                <w:left w:val="nil"/>
                <w:bottom w:val="nil"/>
                <w:right w:val="nil"/>
                <w:between w:val="nil"/>
                <w:bar w:val="nil"/>
              </w:pBdr>
              <w:tabs>
                <w:tab w:val="left" w:pos="340"/>
                <w:tab w:val="left" w:pos="1210"/>
              </w:tabs>
              <w:suppressAutoHyphens/>
              <w:jc w:val="both"/>
              <w:rPr>
                <w:szCs w:val="24"/>
                <w:lang w:eastAsia="zh-CN"/>
              </w:rPr>
            </w:pPr>
          </w:p>
          <w:p w14:paraId="2BB52B3F" w14:textId="77777777" w:rsidR="006E286C" w:rsidRDefault="006E286C" w:rsidP="000060F8">
            <w:pPr>
              <w:pBdr>
                <w:top w:val="nil"/>
                <w:left w:val="nil"/>
                <w:bottom w:val="nil"/>
                <w:right w:val="nil"/>
                <w:between w:val="nil"/>
                <w:bar w:val="nil"/>
              </w:pBdr>
              <w:tabs>
                <w:tab w:val="left" w:pos="340"/>
                <w:tab w:val="left" w:pos="1210"/>
              </w:tabs>
              <w:suppressAutoHyphens/>
              <w:jc w:val="both"/>
              <w:rPr>
                <w:szCs w:val="24"/>
                <w:lang w:eastAsia="zh-CN"/>
              </w:rPr>
            </w:pPr>
          </w:p>
          <w:p w14:paraId="6621CE6D" w14:textId="77777777" w:rsidR="006E286C" w:rsidRDefault="006E286C" w:rsidP="000060F8">
            <w:pPr>
              <w:pBdr>
                <w:top w:val="nil"/>
                <w:left w:val="nil"/>
                <w:bottom w:val="nil"/>
                <w:right w:val="nil"/>
                <w:between w:val="nil"/>
                <w:bar w:val="nil"/>
              </w:pBdr>
              <w:tabs>
                <w:tab w:val="left" w:pos="340"/>
                <w:tab w:val="left" w:pos="1210"/>
              </w:tabs>
              <w:suppressAutoHyphens/>
              <w:jc w:val="both"/>
              <w:rPr>
                <w:szCs w:val="24"/>
                <w:lang w:eastAsia="zh-CN"/>
              </w:rPr>
            </w:pPr>
          </w:p>
          <w:p w14:paraId="7E7AF312" w14:textId="39F9085C" w:rsidR="00016ED0" w:rsidRPr="006E286C" w:rsidRDefault="000060F8" w:rsidP="006E286C">
            <w:pPr>
              <w:pBdr>
                <w:top w:val="nil"/>
                <w:left w:val="nil"/>
                <w:bottom w:val="nil"/>
                <w:right w:val="nil"/>
                <w:between w:val="nil"/>
                <w:bar w:val="nil"/>
              </w:pBdr>
              <w:tabs>
                <w:tab w:val="left" w:pos="340"/>
                <w:tab w:val="left" w:pos="1210"/>
              </w:tabs>
              <w:suppressAutoHyphens/>
              <w:jc w:val="both"/>
              <w:rPr>
                <w:szCs w:val="24"/>
                <w:lang w:eastAsia="ar-SA"/>
              </w:rPr>
            </w:pPr>
            <w:r w:rsidRPr="000060F8">
              <w:rPr>
                <w:szCs w:val="24"/>
                <w:lang w:eastAsia="zh-CN"/>
              </w:rPr>
              <w:t xml:space="preserve"> apsaugos kriterijų taikymo, vykdant žaliuosius pirkimus, tvarkos aprašo patvirtinimo“, </w:t>
            </w:r>
            <w:r w:rsidRPr="000060F8">
              <w:rPr>
                <w:szCs w:val="24"/>
                <w:lang w:eastAsia="ar-SA"/>
              </w:rPr>
              <w:t>4.4.4.1 papunkčiu, teikiant Paslaugas laikytis šių aplinkos apsaugos reikalavimų:</w:t>
            </w:r>
          </w:p>
          <w:p w14:paraId="0C54290D" w14:textId="10BB5A11"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02FF14FA" w14:textId="77777777" w:rsidR="00D8137B" w:rsidRPr="006B5C78" w:rsidRDefault="00D8137B"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26976FFF" w14:textId="77777777" w:rsidR="00D8137B"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p w14:paraId="76842EF0" w14:textId="77777777" w:rsidR="00016ED0" w:rsidRDefault="00016ED0" w:rsidP="00380255">
            <w:pPr>
              <w:widowControl w:val="0"/>
              <w:ind w:left="1082" w:hanging="360"/>
              <w:jc w:val="center"/>
              <w:rPr>
                <w:b/>
                <w:szCs w:val="22"/>
                <w:lang w:eastAsia="lt-LT"/>
              </w:rPr>
            </w:pPr>
          </w:p>
          <w:p w14:paraId="05A6B627" w14:textId="77777777" w:rsidR="00016ED0" w:rsidRPr="006B5C78" w:rsidRDefault="00016ED0" w:rsidP="00380255">
            <w:pPr>
              <w:widowControl w:val="0"/>
              <w:ind w:left="1082" w:hanging="360"/>
              <w:jc w:val="center"/>
              <w:rPr>
                <w:b/>
                <w:szCs w:val="22"/>
                <w:lang w:eastAsia="lt-LT"/>
              </w:rPr>
            </w:pP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77777777"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 xml:space="preserve">nuo Darbų pradžios. Rangovas iki Darbų atlikimo termino pabaigos privalo atlikti visus Darbus, įskaitant baigiamuosius bandymus (jeigu taikoma). Atliktų darbų atkavimas vykdomas </w:t>
            </w:r>
            <w:r w:rsidRPr="006B5C78">
              <w:rPr>
                <w:szCs w:val="24"/>
                <w:lang w:eastAsia="lt-LT"/>
              </w:rPr>
              <w:t>kas mėnesį arba 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77777777" w:rsidR="00D8137B" w:rsidRPr="006B5C78" w:rsidRDefault="00D8137B" w:rsidP="00380255">
            <w:pPr>
              <w:widowControl w:val="0"/>
              <w:jc w:val="both"/>
              <w:rPr>
                <w:szCs w:val="22"/>
                <w:lang w:eastAsia="lt-LT"/>
              </w:rPr>
            </w:pPr>
            <w:r w:rsidRPr="006B5C78">
              <w:rPr>
                <w:szCs w:val="22"/>
                <w:lang w:eastAsia="lt-LT"/>
              </w:rPr>
              <w:t xml:space="preserve">Aplinkybės, dėl kurių gali būti stabdomi darbai, yra: </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2A54B20E" w14:textId="77777777" w:rsidR="006E286C" w:rsidRPr="006B5C78" w:rsidRDefault="006E286C" w:rsidP="006E286C">
            <w:pPr>
              <w:widowControl w:val="0"/>
              <w:tabs>
                <w:tab w:val="left" w:pos="742"/>
              </w:tabs>
              <w:jc w:val="both"/>
              <w:rPr>
                <w:szCs w:val="24"/>
                <w:lang w:eastAsia="lt-LT"/>
              </w:rPr>
            </w:pPr>
          </w:p>
          <w:p w14:paraId="211E869C" w14:textId="5D517056" w:rsidR="00016ED0" w:rsidRPr="006E286C" w:rsidRDefault="00D8137B" w:rsidP="006E286C">
            <w:pPr>
              <w:widowControl w:val="0"/>
              <w:numPr>
                <w:ilvl w:val="0"/>
                <w:numId w:val="30"/>
              </w:numPr>
              <w:tabs>
                <w:tab w:val="left" w:pos="742"/>
              </w:tabs>
              <w:jc w:val="both"/>
              <w:rPr>
                <w:szCs w:val="24"/>
                <w:lang w:eastAsia="lt-LT"/>
              </w:rPr>
            </w:pPr>
            <w:r w:rsidRPr="006B5C78">
              <w:rPr>
                <w:szCs w:val="24"/>
                <w:lang w:eastAsia="lt-LT"/>
              </w:rPr>
              <w:t>fizinės kliūtys arba kitos nei klimatinės fizinės sąlygos, su kuriomis vykdant darbus susidurta Statybvietėje, ir tų kliūčių ar sąlygų Rangovas nebūtų galėjęs pagrįstai</w:t>
            </w:r>
          </w:p>
          <w:p w14:paraId="0206ECB2" w14:textId="40E4B5C8" w:rsidR="00D8137B" w:rsidRPr="006B5C78" w:rsidRDefault="00D8137B" w:rsidP="00016ED0">
            <w:pPr>
              <w:widowControl w:val="0"/>
              <w:tabs>
                <w:tab w:val="left" w:pos="742"/>
              </w:tabs>
              <w:ind w:left="720"/>
              <w:jc w:val="both"/>
              <w:rPr>
                <w:szCs w:val="24"/>
                <w:lang w:eastAsia="lt-LT"/>
              </w:rPr>
            </w:pPr>
            <w:r w:rsidRPr="006B5C78">
              <w:rPr>
                <w:szCs w:val="24"/>
                <w:lang w:eastAsia="lt-LT"/>
              </w:rPr>
              <w:t xml:space="preserve">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92CF965" w14:textId="77777777" w:rsidR="00D8137B"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6051746B" w14:textId="77777777" w:rsidR="00016ED0" w:rsidRPr="006B5C78" w:rsidRDefault="00016ED0" w:rsidP="00380255">
            <w:pPr>
              <w:widowControl w:val="0"/>
              <w:jc w:val="both"/>
              <w:rPr>
                <w:szCs w:val="22"/>
                <w:lang w:eastAsia="lt-LT"/>
              </w:rPr>
            </w:pPr>
          </w:p>
        </w:tc>
      </w:tr>
      <w:tr w:rsidR="00D8137B" w:rsidRPr="006B5C78" w14:paraId="4299F338" w14:textId="77777777" w:rsidTr="00380255">
        <w:tc>
          <w:tcPr>
            <w:tcW w:w="9923" w:type="dxa"/>
            <w:gridSpan w:val="3"/>
            <w:tcBorders>
              <w:top w:val="nil"/>
              <w:left w:val="nil"/>
              <w:bottom w:val="nil"/>
              <w:right w:val="nil"/>
            </w:tcBorders>
          </w:tcPr>
          <w:p w14:paraId="1AF21EEB" w14:textId="77777777" w:rsidR="00D8137B"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p w14:paraId="0EE6AD7B" w14:textId="77777777" w:rsidR="00016ED0" w:rsidRPr="006B5C78" w:rsidRDefault="00016ED0" w:rsidP="00380255">
            <w:pPr>
              <w:widowControl w:val="0"/>
              <w:ind w:left="1082" w:hanging="360"/>
              <w:jc w:val="center"/>
              <w:rPr>
                <w:b/>
                <w:szCs w:val="22"/>
                <w:lang w:eastAsia="lt-LT"/>
              </w:rPr>
            </w:pP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įskaitant ir baigiamuosius bandymus, kurių rezultatai yra teigiami,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3EE1E1E1" w14:textId="77777777" w:rsidR="00D8137B" w:rsidRPr="006B5C78" w:rsidRDefault="00D8137B" w:rsidP="00380255">
            <w:pPr>
              <w:widowControl w:val="0"/>
              <w:jc w:val="both"/>
              <w:rPr>
                <w:szCs w:val="22"/>
                <w:lang w:eastAsia="lt-LT"/>
              </w:rPr>
            </w:pPr>
            <w:r w:rsidRPr="006B5C78">
              <w:rPr>
                <w:szCs w:val="22"/>
                <w:lang w:eastAsia="lt-LT"/>
              </w:rPr>
              <w:t xml:space="preserve">Rangovas, užbaigęs Darbus, bei, jeigu reikia, atlikęs baigiamuosius bandymus, su prašymu dėl Darbų perdavimo-priėmimo raštu privalo kreiptis į Užsakovą kartu pateikdamas atliktų statybos darbų perdavimo Užsakovui aktą. </w:t>
            </w:r>
          </w:p>
          <w:p w14:paraId="7AA35A60" w14:textId="77777777" w:rsidR="00D8137B" w:rsidRPr="006B5C78" w:rsidRDefault="00D8137B" w:rsidP="00380255">
            <w:pPr>
              <w:widowControl w:val="0"/>
              <w:jc w:val="both"/>
              <w:rPr>
                <w:szCs w:val="22"/>
                <w:lang w:eastAsia="lt-LT"/>
              </w:rPr>
            </w:pPr>
            <w:r w:rsidRPr="006B5C78">
              <w:rPr>
                <w:szCs w:val="22"/>
                <w:lang w:eastAsia="lt-LT"/>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DB671AF" w14:textId="77777777" w:rsidR="006E286C"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w:t>
            </w:r>
          </w:p>
          <w:p w14:paraId="3AA3EA7B" w14:textId="77777777" w:rsidR="006E286C" w:rsidRDefault="006E286C" w:rsidP="00380255">
            <w:pPr>
              <w:widowControl w:val="0"/>
              <w:jc w:val="both"/>
              <w:rPr>
                <w:szCs w:val="22"/>
                <w:lang w:eastAsia="lt-LT"/>
              </w:rPr>
            </w:pPr>
          </w:p>
          <w:p w14:paraId="7E1789DE" w14:textId="3D6747E7" w:rsidR="00016ED0" w:rsidRDefault="00D8137B" w:rsidP="00380255">
            <w:pPr>
              <w:widowControl w:val="0"/>
              <w:jc w:val="both"/>
              <w:rPr>
                <w:szCs w:val="22"/>
                <w:lang w:eastAsia="lt-LT"/>
              </w:rPr>
            </w:pPr>
            <w:r w:rsidRPr="006B5C78">
              <w:rPr>
                <w:szCs w:val="22"/>
                <w:lang w:eastAsia="lt-LT"/>
              </w:rPr>
              <w:t xml:space="preserve">Darbų perdavimo-priėmimo akte suteiktą laiką Užsakovui suteikia teisę iki Statybos užbaigimo termino pabaigos pačiam ištaisyti defektus ir (arba) išskaičiuoti defektų taisymo </w:t>
            </w:r>
          </w:p>
          <w:p w14:paraId="3212E5BB" w14:textId="26A75FEB" w:rsidR="00D8137B" w:rsidRPr="006B5C78" w:rsidRDefault="00D8137B" w:rsidP="00380255">
            <w:pPr>
              <w:widowControl w:val="0"/>
              <w:jc w:val="both"/>
              <w:rPr>
                <w:szCs w:val="22"/>
                <w:lang w:eastAsia="lt-LT"/>
              </w:rPr>
            </w:pPr>
            <w:r w:rsidRPr="006B5C78">
              <w:rPr>
                <w:szCs w:val="22"/>
                <w:lang w:eastAsia="lt-LT"/>
              </w:rPr>
              <w:t xml:space="preserve">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61C36D" w14:textId="77777777" w:rsidR="00D8137B"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p w14:paraId="7F931D70" w14:textId="77777777" w:rsidR="00D8137B" w:rsidRPr="006B5C78" w:rsidRDefault="00D8137B"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6F18B45C" w14:textId="77777777" w:rsidR="00D8137B"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p w14:paraId="48064752" w14:textId="77777777" w:rsidR="00016ED0" w:rsidRPr="006B5C78" w:rsidRDefault="00016ED0" w:rsidP="00380255">
            <w:pPr>
              <w:widowControl w:val="0"/>
              <w:ind w:left="1082" w:hanging="360"/>
              <w:jc w:val="center"/>
              <w:rPr>
                <w:b/>
                <w:szCs w:val="22"/>
                <w:lang w:eastAsia="lt-LT"/>
              </w:rPr>
            </w:pP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B5C78" w:rsidRDefault="00D8137B" w:rsidP="00380255">
            <w:pPr>
              <w:widowControl w:val="0"/>
              <w:jc w:val="both"/>
              <w:rPr>
                <w:szCs w:val="22"/>
                <w:lang w:eastAsia="lt-LT"/>
              </w:rPr>
            </w:pPr>
            <w:r w:rsidRPr="006B5C78">
              <w:rPr>
                <w:szCs w:val="22"/>
                <w:lang w:eastAsia="lt-LT"/>
              </w:rPr>
              <w:t xml:space="preserve">Apmokėjimo už tinkamai pagal Sutartį atliktus Darbus sumai nustatyti turi būti taikomos </w:t>
            </w:r>
            <w:r>
              <w:rPr>
                <w:szCs w:val="22"/>
                <w:lang w:eastAsia="lt-LT"/>
              </w:rPr>
              <w:t>Darbų kiekių žiniaraštyje</w:t>
            </w:r>
            <w:r w:rsidRPr="006B5C78">
              <w:rPr>
                <w:szCs w:val="22"/>
                <w:lang w:eastAsia="lt-LT"/>
              </w:rPr>
              <w:t xml:space="preserve"> nurodytos fiksuotos Darbų grupių (etapų) kainos.</w:t>
            </w:r>
          </w:p>
          <w:p w14:paraId="243BCBAC" w14:textId="77777777" w:rsidR="00D8137B" w:rsidRPr="006B5C78" w:rsidRDefault="00D8137B" w:rsidP="00380255">
            <w:pPr>
              <w:widowControl w:val="0"/>
              <w:jc w:val="both"/>
              <w:rPr>
                <w:szCs w:val="22"/>
                <w:lang w:eastAsia="lt-LT"/>
              </w:rPr>
            </w:pPr>
            <w:r>
              <w:rPr>
                <w:szCs w:val="22"/>
                <w:lang w:eastAsia="lt-LT"/>
              </w:rPr>
              <w:t>Darbų kiekių žiniaraštyje</w:t>
            </w:r>
            <w:r w:rsidRPr="006B5C78">
              <w:rPr>
                <w:szCs w:val="22"/>
                <w:lang w:eastAsia="lt-LT"/>
              </w:rPr>
              <w:t xml:space="preserv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w:t>
            </w:r>
            <w:r>
              <w:rPr>
                <w:szCs w:val="22"/>
                <w:lang w:eastAsia="lt-LT"/>
              </w:rPr>
              <w:t>Darbų kiekių žiniaraštyje</w:t>
            </w:r>
            <w:r w:rsidRPr="006B5C78">
              <w:rPr>
                <w:szCs w:val="22"/>
                <w:lang w:eastAsia="lt-LT"/>
              </w:rPr>
              <w:t xml:space="preserv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B5C78" w:rsidRDefault="00D8137B" w:rsidP="00380255">
            <w:pPr>
              <w:widowControl w:val="0"/>
              <w:jc w:val="both"/>
              <w:rPr>
                <w:szCs w:val="22"/>
                <w:lang w:eastAsia="lt-LT"/>
              </w:rPr>
            </w:pPr>
            <w:r w:rsidRPr="006B5C78">
              <w:rPr>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B5C78" w:rsidRDefault="00D8137B" w:rsidP="00D8137B">
            <w:pPr>
              <w:widowControl w:val="0"/>
              <w:numPr>
                <w:ilvl w:val="0"/>
                <w:numId w:val="25"/>
              </w:numPr>
              <w:ind w:left="851" w:hanging="567"/>
              <w:jc w:val="both"/>
              <w:rPr>
                <w:szCs w:val="22"/>
                <w:lang w:eastAsia="lt-LT"/>
              </w:rPr>
            </w:pPr>
            <w:r w:rsidRPr="006B5C78">
              <w:rPr>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284668" w:rsidRDefault="00D8137B" w:rsidP="00D8137B">
            <w:pPr>
              <w:widowControl w:val="0"/>
              <w:numPr>
                <w:ilvl w:val="0"/>
                <w:numId w:val="25"/>
              </w:numPr>
              <w:ind w:left="851" w:hanging="567"/>
              <w:jc w:val="both"/>
              <w:rPr>
                <w:szCs w:val="22"/>
                <w:lang w:eastAsia="lt-LT"/>
              </w:rPr>
            </w:pPr>
            <w:r w:rsidRPr="006B5C78">
              <w:rPr>
                <w:szCs w:val="22"/>
                <w:lang w:eastAsia="lt-LT"/>
              </w:rPr>
              <w:t xml:space="preserve">Rangovas pagal Sutartį neatliko arba neatlieka kokio nors Darbo arba įsipareigojimo, apie kurį jam atitinkamai buvo pranešęs Užsakovas. Tokiu atveju Užsakovas gali reikalauti Rangovo pateikti pakoreguotus mokėjimo dokumentus, atitinkamai </w:t>
            </w:r>
            <w:r w:rsidRPr="00284668">
              <w:rPr>
                <w:szCs w:val="22"/>
                <w:lang w:eastAsia="lt-LT"/>
              </w:rPr>
              <w:t>sumažinant tarpinio mokėjimo sumą to Darbo arba įsipareigojimo verte.</w:t>
            </w:r>
          </w:p>
          <w:p w14:paraId="30D8094C" w14:textId="2B16C58B" w:rsidR="00C179C1" w:rsidRPr="00284668" w:rsidRDefault="00C179C1" w:rsidP="00D8137B">
            <w:pPr>
              <w:widowControl w:val="0"/>
              <w:numPr>
                <w:ilvl w:val="0"/>
                <w:numId w:val="25"/>
              </w:numPr>
              <w:ind w:left="851" w:hanging="567"/>
              <w:jc w:val="both"/>
              <w:rPr>
                <w:szCs w:val="22"/>
                <w:lang w:eastAsia="lt-LT"/>
              </w:rPr>
            </w:pPr>
            <w:bookmarkStart w:id="1" w:name="_Hlk499109882"/>
            <w:bookmarkStart w:id="2" w:name="_Hlk153868650"/>
            <w:r w:rsidRPr="00284668">
              <w:rPr>
                <w:sz w:val="22"/>
                <w:szCs w:val="22"/>
                <w:bdr w:val="nil"/>
              </w:rPr>
              <w:t xml:space="preserve">Vykdant Sutartį, sąskaitos faktūros, kreditiniai ir debetiniai dokumentai bei avansinės sąskaitos turi būti teikiamos naudojantis </w:t>
            </w:r>
            <w:bookmarkEnd w:id="1"/>
            <w:r w:rsidRPr="00284668">
              <w:rPr>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284668">
              <w:rPr>
                <w:sz w:val="22"/>
                <w:szCs w:val="22"/>
                <w:bdr w:val="nil"/>
              </w:rPr>
              <w:t>.</w:t>
            </w:r>
          </w:p>
          <w:p w14:paraId="10C0EF2F" w14:textId="77777777" w:rsidR="00D8137B" w:rsidRPr="006B5C78" w:rsidRDefault="00D8137B" w:rsidP="00380255">
            <w:pPr>
              <w:widowControl w:val="0"/>
              <w:jc w:val="both"/>
              <w:rPr>
                <w:szCs w:val="22"/>
                <w:lang w:eastAsia="lt-LT"/>
              </w:rPr>
            </w:pPr>
            <w:r w:rsidRPr="006B5C78">
              <w:rPr>
                <w:szCs w:val="22"/>
                <w:lang w:eastAsia="lt-LT"/>
              </w:rPr>
              <w:t xml:space="preserve">Kiekvieno tarpinio mokėjimo suma sumažinama atėmus 3.4 papunktyje nurodytą sulaikymo dydį. </w:t>
            </w:r>
          </w:p>
          <w:p w14:paraId="54A4A914" w14:textId="77777777" w:rsidR="00D8137B" w:rsidRPr="006B5C78" w:rsidRDefault="00D8137B" w:rsidP="00380255">
            <w:pPr>
              <w:widowControl w:val="0"/>
              <w:jc w:val="both"/>
              <w:rPr>
                <w:szCs w:val="22"/>
                <w:lang w:eastAsia="lt-LT"/>
              </w:rPr>
            </w:pPr>
            <w:r w:rsidRPr="006B5C78">
              <w:rPr>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724C83E9" w14:textId="77777777" w:rsidR="006E286C" w:rsidRDefault="006E286C" w:rsidP="00380255">
            <w:pPr>
              <w:widowControl w:val="0"/>
              <w:ind w:left="284"/>
              <w:jc w:val="both"/>
              <w:rPr>
                <w:szCs w:val="22"/>
                <w:lang w:eastAsia="lt-LT"/>
              </w:rPr>
            </w:pPr>
          </w:p>
          <w:p w14:paraId="0C669E43" w14:textId="77777777" w:rsidR="006E286C" w:rsidRDefault="006E286C" w:rsidP="00380255">
            <w:pPr>
              <w:widowControl w:val="0"/>
              <w:ind w:left="284"/>
              <w:jc w:val="both"/>
              <w:rPr>
                <w:szCs w:val="22"/>
                <w:lang w:eastAsia="lt-LT"/>
              </w:rPr>
            </w:pPr>
          </w:p>
          <w:p w14:paraId="318733B0" w14:textId="77777777" w:rsidR="006E286C" w:rsidRDefault="006E286C" w:rsidP="00380255">
            <w:pPr>
              <w:widowControl w:val="0"/>
              <w:ind w:left="284"/>
              <w:jc w:val="both"/>
              <w:rPr>
                <w:szCs w:val="22"/>
                <w:lang w:eastAsia="lt-LT"/>
              </w:rPr>
            </w:pPr>
          </w:p>
          <w:p w14:paraId="68DE4A46" w14:textId="2AD6BA2F" w:rsidR="00016ED0" w:rsidRDefault="00D8137B" w:rsidP="006E286C">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65F7A769"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8720110"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08720111"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08720112"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08720113"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08720114"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146EE92E" w14:textId="77777777" w:rsidR="00016ED0"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 xml:space="preserve">Darbų kaina pagal bendro kainų lygio kitimą ar darbų grupių kainų pokyčius </w:t>
            </w:r>
          </w:p>
          <w:p w14:paraId="2F5013E1" w14:textId="77777777" w:rsidR="00016ED0" w:rsidRDefault="00016ED0" w:rsidP="00380255">
            <w:pPr>
              <w:widowControl w:val="0"/>
              <w:tabs>
                <w:tab w:val="left" w:pos="676"/>
              </w:tabs>
              <w:jc w:val="both"/>
              <w:rPr>
                <w:szCs w:val="24"/>
              </w:rPr>
            </w:pPr>
          </w:p>
          <w:p w14:paraId="6E3979F2" w14:textId="63A796C6" w:rsidR="00D8137B" w:rsidRDefault="00D8137B" w:rsidP="00380255">
            <w:pPr>
              <w:widowControl w:val="0"/>
              <w:tabs>
                <w:tab w:val="left" w:pos="676"/>
              </w:tabs>
              <w:jc w:val="both"/>
              <w:rPr>
                <w:szCs w:val="24"/>
              </w:rPr>
            </w:pPr>
            <w:r w:rsidRPr="007D6427">
              <w:rPr>
                <w:szCs w:val="24"/>
              </w:rPr>
              <w:t>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1E843283" w14:textId="77777777" w:rsidR="00D8137B"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p w14:paraId="04B6E2B3" w14:textId="77777777" w:rsidR="00016ED0" w:rsidRPr="006B5C78" w:rsidRDefault="00016ED0" w:rsidP="00380255">
            <w:pPr>
              <w:widowControl w:val="0"/>
              <w:ind w:left="1082" w:hanging="360"/>
              <w:jc w:val="center"/>
              <w:rPr>
                <w:b/>
                <w:szCs w:val="22"/>
                <w:lang w:eastAsia="lt-LT"/>
              </w:rPr>
            </w:pPr>
          </w:p>
        </w:tc>
      </w:tr>
      <w:tr w:rsidR="00D8137B" w:rsidRPr="007140C9" w14:paraId="4306DFC4" w14:textId="77777777" w:rsidTr="00380255">
        <w:trPr>
          <w:cantSplit/>
          <w:trHeight w:val="1455"/>
        </w:trPr>
        <w:tc>
          <w:tcPr>
            <w:tcW w:w="787" w:type="dxa"/>
            <w:gridSpan w:val="2"/>
            <w:tcBorders>
              <w:top w:val="nil"/>
              <w:left w:val="nil"/>
              <w:bottom w:val="nil"/>
              <w:right w:val="nil"/>
            </w:tcBorders>
            <w:shd w:val="clear" w:color="auto" w:fill="auto"/>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shd w:val="clear" w:color="auto" w:fill="auto"/>
          </w:tcPr>
          <w:p w14:paraId="074B6671" w14:textId="77777777" w:rsidR="00D8137B" w:rsidRPr="007140C9" w:rsidRDefault="00D8137B" w:rsidP="00380255">
            <w:pPr>
              <w:widowControl w:val="0"/>
              <w:jc w:val="both"/>
              <w:rPr>
                <w:szCs w:val="24"/>
                <w:lang w:eastAsia="lt-LT"/>
              </w:rPr>
            </w:pPr>
            <w:r w:rsidRPr="007140C9">
              <w:rPr>
                <w:color w:val="000000"/>
                <w:spacing w:val="-3"/>
                <w:szCs w:val="24"/>
                <w:lang w:eastAsia="lt-LT"/>
              </w:rPr>
              <w:t xml:space="preserve">Užsakovas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shd w:val="clear" w:color="auto" w:fill="auto"/>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t xml:space="preserve"> </w:t>
            </w:r>
          </w:p>
        </w:tc>
        <w:tc>
          <w:tcPr>
            <w:tcW w:w="9136" w:type="dxa"/>
            <w:tcBorders>
              <w:top w:val="nil"/>
              <w:left w:val="nil"/>
              <w:bottom w:val="nil"/>
              <w:right w:val="nil"/>
            </w:tcBorders>
            <w:shd w:val="clear" w:color="auto" w:fill="auto"/>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7777777"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shd w:val="clear" w:color="auto" w:fill="auto"/>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shd w:val="clear" w:color="auto" w:fill="auto"/>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35BECD7" w14:textId="3AE1FC0B"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shd w:val="clear" w:color="auto" w:fill="auto"/>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shd w:val="clear" w:color="auto" w:fill="auto"/>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shd w:val="clear" w:color="auto" w:fill="auto"/>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shd w:val="clear" w:color="auto" w:fill="auto"/>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shd w:val="clear" w:color="auto" w:fill="auto"/>
          </w:tcPr>
          <w:p w14:paraId="01B36B39" w14:textId="77777777" w:rsidR="00D8137B" w:rsidRPr="006B5C78" w:rsidRDefault="00D8137B" w:rsidP="00380255">
            <w:pPr>
              <w:widowControl w:val="0"/>
              <w:jc w:val="both"/>
              <w:rPr>
                <w:szCs w:val="22"/>
                <w:lang w:eastAsia="lt-LT"/>
              </w:rPr>
            </w:pPr>
            <w:r w:rsidRPr="006B5C78">
              <w:rPr>
                <w:szCs w:val="22"/>
                <w:lang w:eastAsia="lt-LT"/>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24284E76" w14:textId="77777777" w:rsidR="00D8137B"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p w14:paraId="1F23B13B" w14:textId="77777777" w:rsidR="00A22231" w:rsidRPr="006B5C78" w:rsidRDefault="00A22231" w:rsidP="00380255">
            <w:pPr>
              <w:widowControl w:val="0"/>
              <w:ind w:left="1082" w:hanging="360"/>
              <w:jc w:val="center"/>
              <w:rPr>
                <w:b/>
                <w:szCs w:val="22"/>
                <w:lang w:eastAsia="lt-LT"/>
              </w:rPr>
            </w:pP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547F795D" w14:textId="77777777" w:rsidR="00D8137B"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p w14:paraId="6672DDD5" w14:textId="77777777" w:rsidR="00A22231" w:rsidRPr="006B5C78" w:rsidRDefault="00A22231" w:rsidP="00380255">
            <w:pPr>
              <w:widowControl w:val="0"/>
              <w:ind w:left="1082" w:hanging="360"/>
              <w:jc w:val="center"/>
              <w:rPr>
                <w:b/>
                <w:szCs w:val="22"/>
                <w:lang w:eastAsia="lt-LT"/>
              </w:rPr>
            </w:pP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2C934A18" w14:textId="77777777" w:rsidR="00D8137B"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p w14:paraId="545D22F9" w14:textId="77777777" w:rsidR="00A22231" w:rsidRDefault="00A22231" w:rsidP="00380255">
            <w:pPr>
              <w:widowControl w:val="0"/>
              <w:jc w:val="both"/>
              <w:rPr>
                <w:szCs w:val="22"/>
                <w:lang w:eastAsia="lt-LT"/>
              </w:rPr>
            </w:pPr>
          </w:p>
          <w:p w14:paraId="6C3FA09E" w14:textId="77777777" w:rsidR="00A22231" w:rsidRPr="006B5C78" w:rsidRDefault="00A22231" w:rsidP="00380255">
            <w:pPr>
              <w:widowControl w:val="0"/>
              <w:jc w:val="both"/>
              <w:rPr>
                <w:szCs w:val="22"/>
                <w:lang w:eastAsia="lt-LT"/>
              </w:rPr>
            </w:pP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lastRenderedPageBreak/>
              <w:t>11.3.</w:t>
            </w:r>
          </w:p>
        </w:tc>
        <w:tc>
          <w:tcPr>
            <w:tcW w:w="9182" w:type="dxa"/>
            <w:gridSpan w:val="2"/>
            <w:tcBorders>
              <w:top w:val="nil"/>
              <w:left w:val="nil"/>
              <w:bottom w:val="nil"/>
              <w:right w:val="nil"/>
            </w:tcBorders>
          </w:tcPr>
          <w:p w14:paraId="0710D096" w14:textId="1413959C" w:rsidR="006E286C"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w:t>
            </w:r>
          </w:p>
          <w:p w14:paraId="086CD295" w14:textId="6071C148" w:rsidR="00D8137B" w:rsidRPr="006B5C78" w:rsidRDefault="00D8137B" w:rsidP="00380255">
            <w:pPr>
              <w:widowControl w:val="0"/>
              <w:jc w:val="both"/>
              <w:rPr>
                <w:szCs w:val="22"/>
                <w:lang w:eastAsia="lt-LT"/>
              </w:rPr>
            </w:pPr>
            <w:r w:rsidRPr="006B5C78">
              <w:rPr>
                <w:szCs w:val="22"/>
                <w:lang w:eastAsia="lt-LT"/>
              </w:rPr>
              <w:t xml:space="preserve">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52EF6159" w14:textId="77777777" w:rsidR="00D8137B"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p w14:paraId="74565272" w14:textId="77777777" w:rsidR="006E286C" w:rsidRPr="006B5C78" w:rsidRDefault="006E286C" w:rsidP="00380255">
            <w:pPr>
              <w:widowControl w:val="0"/>
              <w:ind w:left="1082" w:hanging="360"/>
              <w:jc w:val="center"/>
              <w:rPr>
                <w:b/>
                <w:szCs w:val="22"/>
                <w:lang w:eastAsia="lt-LT"/>
              </w:rPr>
            </w:pP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729C3146" w14:textId="4E5F2B68" w:rsidR="006E286C" w:rsidRDefault="00D8137B" w:rsidP="00380255">
            <w:pPr>
              <w:widowControl w:val="0"/>
              <w:jc w:val="both"/>
              <w:rPr>
                <w:szCs w:val="22"/>
                <w:lang w:eastAsia="lt-LT"/>
              </w:rPr>
            </w:pPr>
            <w:r w:rsidRPr="006B5C78">
              <w:rPr>
                <w:szCs w:val="22"/>
                <w:lang w:eastAsia="lt-LT"/>
              </w:rPr>
              <w:t xml:space="preserve">Sutarties Šalys visus ginčus stengiasi išspręsti derybomis. Kilus ginčui, Sutarties Šalys raštu </w:t>
            </w:r>
            <w:r w:rsidRPr="006B5C78">
              <w:rPr>
                <w:szCs w:val="22"/>
                <w:lang w:eastAsia="lt-LT"/>
              </w:rPr>
              <w:lastRenderedPageBreak/>
              <w:t xml:space="preserve">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w:t>
            </w:r>
          </w:p>
          <w:p w14:paraId="12C5BEC5" w14:textId="7502419E" w:rsidR="00D8137B" w:rsidRDefault="00D8137B" w:rsidP="00380255">
            <w:pPr>
              <w:widowControl w:val="0"/>
              <w:jc w:val="both"/>
              <w:rPr>
                <w:szCs w:val="22"/>
                <w:lang w:eastAsia="lt-LT"/>
              </w:rPr>
            </w:pPr>
            <w:r w:rsidRPr="006B5C78">
              <w:rPr>
                <w:szCs w:val="22"/>
                <w:lang w:eastAsia="lt-LT"/>
              </w:rPr>
              <w:t>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260F4CB7" w14:textId="77777777" w:rsidR="00D8137B" w:rsidRDefault="00D8137B" w:rsidP="00380255">
            <w:pPr>
              <w:widowControl w:val="0"/>
              <w:ind w:left="1082" w:hanging="360"/>
              <w:jc w:val="center"/>
              <w:rPr>
                <w:b/>
                <w:szCs w:val="22"/>
                <w:lang w:eastAsia="lt-LT"/>
              </w:rPr>
            </w:pPr>
            <w:r>
              <w:rPr>
                <w:b/>
                <w:szCs w:val="22"/>
                <w:lang w:eastAsia="lt-LT"/>
              </w:rPr>
              <w:lastRenderedPageBreak/>
              <w:t xml:space="preserve">XIII. </w:t>
            </w:r>
            <w:r w:rsidRPr="006B5C78">
              <w:rPr>
                <w:b/>
                <w:szCs w:val="22"/>
                <w:lang w:eastAsia="lt-LT"/>
              </w:rPr>
              <w:t>NENUGALIMA JĖGA</w:t>
            </w:r>
          </w:p>
          <w:p w14:paraId="3D8FCC0D" w14:textId="77777777" w:rsidR="00016ED0" w:rsidRPr="006B5C78" w:rsidRDefault="00016ED0" w:rsidP="00380255">
            <w:pPr>
              <w:widowControl w:val="0"/>
              <w:ind w:left="1082" w:hanging="360"/>
              <w:jc w:val="center"/>
              <w:rPr>
                <w:b/>
                <w:szCs w:val="22"/>
                <w:lang w:eastAsia="lt-LT"/>
              </w:rPr>
            </w:pP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44F46C49" w14:textId="77777777" w:rsidR="00D8137B"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p w14:paraId="1E94137A" w14:textId="77777777" w:rsidR="00016ED0" w:rsidRPr="006B5C78" w:rsidRDefault="00016ED0" w:rsidP="00380255">
            <w:pPr>
              <w:widowControl w:val="0"/>
              <w:ind w:left="1082" w:hanging="360"/>
              <w:jc w:val="center"/>
              <w:rPr>
                <w:b/>
                <w:szCs w:val="22"/>
                <w:lang w:eastAsia="lt-LT"/>
              </w:rPr>
            </w:pP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141A" w14:textId="77777777" w:rsidR="00DA2698" w:rsidRDefault="00DA2698" w:rsidP="00D8137B">
      <w:r>
        <w:separator/>
      </w:r>
    </w:p>
  </w:endnote>
  <w:endnote w:type="continuationSeparator" w:id="0">
    <w:p w14:paraId="76171972" w14:textId="77777777" w:rsidR="00DA2698" w:rsidRDefault="00DA2698"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81C5" w14:textId="77777777" w:rsidR="00DA2698" w:rsidRDefault="00DA2698" w:rsidP="00D8137B">
      <w:r>
        <w:separator/>
      </w:r>
    </w:p>
  </w:footnote>
  <w:footnote w:type="continuationSeparator" w:id="0">
    <w:p w14:paraId="29C1EE14" w14:textId="77777777" w:rsidR="00DA2698" w:rsidRDefault="00DA2698"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16ED0"/>
    <w:rsid w:val="00020FB2"/>
    <w:rsid w:val="00042C6A"/>
    <w:rsid w:val="000C36E2"/>
    <w:rsid w:val="001A1B97"/>
    <w:rsid w:val="001E72A4"/>
    <w:rsid w:val="00203074"/>
    <w:rsid w:val="00241D85"/>
    <w:rsid w:val="00284668"/>
    <w:rsid w:val="002C2A6E"/>
    <w:rsid w:val="002C2E85"/>
    <w:rsid w:val="0030166F"/>
    <w:rsid w:val="00422844"/>
    <w:rsid w:val="00465D13"/>
    <w:rsid w:val="004A1731"/>
    <w:rsid w:val="004B0D0F"/>
    <w:rsid w:val="00551DF2"/>
    <w:rsid w:val="00555B8D"/>
    <w:rsid w:val="006B0B81"/>
    <w:rsid w:val="006E286C"/>
    <w:rsid w:val="008656F7"/>
    <w:rsid w:val="00942902"/>
    <w:rsid w:val="009D1780"/>
    <w:rsid w:val="00A22231"/>
    <w:rsid w:val="00AF7990"/>
    <w:rsid w:val="00B51BE9"/>
    <w:rsid w:val="00BC0A06"/>
    <w:rsid w:val="00BE2222"/>
    <w:rsid w:val="00C179C1"/>
    <w:rsid w:val="00CE595B"/>
    <w:rsid w:val="00CF6D51"/>
    <w:rsid w:val="00D66F1D"/>
    <w:rsid w:val="00D8137B"/>
    <w:rsid w:val="00DA2698"/>
    <w:rsid w:val="00DF5F7B"/>
    <w:rsid w:val="00E3123F"/>
    <w:rsid w:val="00E429EC"/>
    <w:rsid w:val="00E92696"/>
    <w:rsid w:val="00EC27E3"/>
    <w:rsid w:val="00EC59FD"/>
    <w:rsid w:val="00F17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15</Pages>
  <Words>32215</Words>
  <Characters>18363</Characters>
  <Application>Microsoft Office Word</Application>
  <DocSecurity>0</DocSecurity>
  <Lines>153</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Gintarė Begonienė</cp:lastModifiedBy>
  <cp:revision>17</cp:revision>
  <dcterms:created xsi:type="dcterms:W3CDTF">2025-01-14T15:48:00Z</dcterms:created>
  <dcterms:modified xsi:type="dcterms:W3CDTF">2025-05-14T06:29:00Z</dcterms:modified>
</cp:coreProperties>
</file>