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87976" w14:textId="77777777" w:rsidR="00A17F02" w:rsidRPr="00720603" w:rsidRDefault="00A17F02" w:rsidP="00A17F02">
      <w:pPr>
        <w:pBdr>
          <w:top w:val="nil"/>
          <w:left w:val="nil"/>
          <w:bottom w:val="nil"/>
          <w:right w:val="nil"/>
          <w:between w:val="nil"/>
          <w:bar w:val="nil"/>
        </w:pBdr>
        <w:spacing w:after="0" w:line="240" w:lineRule="auto"/>
        <w:rPr>
          <w:rFonts w:ascii="Arial" w:eastAsia="Arial Unicode MS" w:hAnsi="Arial" w:cs="Arial"/>
          <w:noProof w:val="0"/>
          <w:kern w:val="0"/>
          <w:bdr w:val="nil"/>
        </w:rPr>
      </w:pPr>
    </w:p>
    <w:tbl>
      <w:tblPr>
        <w:tblStyle w:val="Lentelstinklelis"/>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9"/>
        <w:gridCol w:w="4386"/>
      </w:tblGrid>
      <w:tr w:rsidR="00A17F02" w:rsidRPr="00720603" w14:paraId="3E1EFAF0" w14:textId="77777777" w:rsidTr="00AB41A1">
        <w:trPr>
          <w:trHeight w:val="425"/>
        </w:trPr>
        <w:tc>
          <w:tcPr>
            <w:tcW w:w="5469" w:type="dxa"/>
          </w:tcPr>
          <w:p w14:paraId="681872EA" w14:textId="77777777" w:rsidR="00A17F02" w:rsidRPr="00720603" w:rsidRDefault="00A17F02" w:rsidP="00A17F02">
            <w:pPr>
              <w:rPr>
                <w:rFonts w:ascii="Arial" w:eastAsia="Arial" w:hAnsi="Arial" w:cs="Arial"/>
                <w:noProof w:val="0"/>
                <w:color w:val="000000"/>
                <w:sz w:val="22"/>
                <w:szCs w:val="22"/>
              </w:rPr>
            </w:pPr>
            <w:r w:rsidRPr="00720603">
              <w:rPr>
                <w:rFonts w:ascii="Arial" w:eastAsia="Arial" w:hAnsi="Arial" w:cs="Arial"/>
                <w:noProof w:val="0"/>
                <w:color w:val="000000"/>
                <w:sz w:val="22"/>
                <w:szCs w:val="22"/>
              </w:rPr>
              <w:t>Tiekėjams</w:t>
            </w:r>
          </w:p>
          <w:p w14:paraId="0CFD6D0D" w14:textId="77777777" w:rsidR="00A17F02" w:rsidRPr="00720603" w:rsidRDefault="00A17F02" w:rsidP="00A17F02">
            <w:pPr>
              <w:rPr>
                <w:rFonts w:ascii="Arial" w:eastAsia="Arial" w:hAnsi="Arial" w:cs="Arial"/>
                <w:noProof w:val="0"/>
                <w:color w:val="000000"/>
                <w:sz w:val="22"/>
                <w:szCs w:val="22"/>
              </w:rPr>
            </w:pPr>
            <w:r w:rsidRPr="00720603">
              <w:rPr>
                <w:rFonts w:ascii="Arial" w:eastAsia="Arial" w:hAnsi="Arial" w:cs="Arial"/>
                <w:noProof w:val="0"/>
                <w:color w:val="000000"/>
                <w:sz w:val="22"/>
                <w:szCs w:val="22"/>
              </w:rPr>
              <w:t xml:space="preserve">                       </w:t>
            </w:r>
          </w:p>
        </w:tc>
        <w:tc>
          <w:tcPr>
            <w:tcW w:w="4386" w:type="dxa"/>
          </w:tcPr>
          <w:p w14:paraId="714D50BB" w14:textId="5DE320F2" w:rsidR="00A17F02" w:rsidRPr="00720603" w:rsidRDefault="00DD659B" w:rsidP="00DD659B">
            <w:pPr>
              <w:jc w:val="center"/>
              <w:rPr>
                <w:rFonts w:ascii="Arial" w:eastAsia="Arial" w:hAnsi="Arial" w:cs="Arial"/>
                <w:noProof w:val="0"/>
                <w:color w:val="000000"/>
                <w:sz w:val="22"/>
                <w:szCs w:val="22"/>
              </w:rPr>
            </w:pPr>
            <w:r w:rsidRPr="00720603">
              <w:rPr>
                <w:rFonts w:ascii="Arial" w:eastAsia="Arial" w:hAnsi="Arial" w:cs="Arial"/>
                <w:noProof w:val="0"/>
                <w:color w:val="000000"/>
                <w:sz w:val="22"/>
                <w:szCs w:val="22"/>
              </w:rPr>
              <w:t xml:space="preserve">                 </w:t>
            </w:r>
            <w:r w:rsidR="00A17F02" w:rsidRPr="00720603">
              <w:rPr>
                <w:rFonts w:ascii="Arial" w:eastAsia="Arial" w:hAnsi="Arial" w:cs="Arial"/>
                <w:noProof w:val="0"/>
                <w:color w:val="000000"/>
                <w:sz w:val="22"/>
                <w:szCs w:val="22"/>
              </w:rPr>
              <w:t>2025-0</w:t>
            </w:r>
            <w:r w:rsidR="00542A58" w:rsidRPr="00720603">
              <w:rPr>
                <w:rFonts w:ascii="Arial" w:eastAsia="Arial" w:hAnsi="Arial" w:cs="Arial"/>
                <w:noProof w:val="0"/>
                <w:color w:val="000000"/>
                <w:sz w:val="22"/>
                <w:szCs w:val="22"/>
              </w:rPr>
              <w:t>5</w:t>
            </w:r>
            <w:r w:rsidR="00A17F02" w:rsidRPr="00720603">
              <w:rPr>
                <w:rFonts w:ascii="Arial" w:eastAsia="Arial" w:hAnsi="Arial" w:cs="Arial"/>
                <w:noProof w:val="0"/>
                <w:color w:val="000000"/>
                <w:sz w:val="22"/>
                <w:szCs w:val="22"/>
              </w:rPr>
              <w:t>-</w:t>
            </w:r>
          </w:p>
        </w:tc>
      </w:tr>
      <w:tr w:rsidR="00A17F02" w:rsidRPr="00720603" w14:paraId="116C1354" w14:textId="77777777" w:rsidTr="00AB41A1">
        <w:trPr>
          <w:trHeight w:val="425"/>
        </w:trPr>
        <w:tc>
          <w:tcPr>
            <w:tcW w:w="5469" w:type="dxa"/>
          </w:tcPr>
          <w:p w14:paraId="458D9D55" w14:textId="77777777" w:rsidR="00A17F02" w:rsidRPr="00720603" w:rsidRDefault="00A17F02" w:rsidP="00A17F02">
            <w:pPr>
              <w:rPr>
                <w:rFonts w:ascii="Arial" w:eastAsia="Arial" w:hAnsi="Arial" w:cs="Arial"/>
                <w:noProof w:val="0"/>
                <w:color w:val="000000"/>
                <w:sz w:val="22"/>
                <w:szCs w:val="22"/>
                <w:highlight w:val="lightGray"/>
              </w:rPr>
            </w:pPr>
            <w:r w:rsidRPr="00720603">
              <w:rPr>
                <w:rFonts w:ascii="Arial" w:eastAsia="Arial" w:hAnsi="Arial" w:cs="Arial"/>
                <w:noProof w:val="0"/>
                <w:color w:val="000000"/>
                <w:sz w:val="22"/>
                <w:szCs w:val="22"/>
                <w:highlight w:val="lightGray"/>
              </w:rPr>
              <w:t xml:space="preserve">CVPIS susirašinėjimo priemonėmis                                    </w:t>
            </w:r>
          </w:p>
          <w:p w14:paraId="64D99F0B" w14:textId="77777777" w:rsidR="00A17F02" w:rsidRPr="00720603" w:rsidRDefault="00A17F02" w:rsidP="00A17F02">
            <w:pPr>
              <w:rPr>
                <w:rFonts w:ascii="Arial" w:eastAsia="Arial" w:hAnsi="Arial" w:cs="Arial"/>
                <w:noProof w:val="0"/>
                <w:color w:val="000000"/>
                <w:sz w:val="22"/>
                <w:szCs w:val="22"/>
              </w:rPr>
            </w:pPr>
            <w:r w:rsidRPr="00720603">
              <w:rPr>
                <w:rFonts w:ascii="Arial" w:eastAsia="Arial" w:hAnsi="Arial" w:cs="Arial"/>
                <w:noProof w:val="0"/>
                <w:color w:val="000000"/>
                <w:sz w:val="22"/>
                <w:szCs w:val="22"/>
              </w:rPr>
              <w:t xml:space="preserve"> </w:t>
            </w:r>
          </w:p>
        </w:tc>
        <w:tc>
          <w:tcPr>
            <w:tcW w:w="4386" w:type="dxa"/>
          </w:tcPr>
          <w:p w14:paraId="0BB748AF" w14:textId="5AAA6812" w:rsidR="00A17F02" w:rsidRPr="00720603" w:rsidRDefault="00C1767E" w:rsidP="00C1767E">
            <w:pPr>
              <w:rPr>
                <w:rFonts w:ascii="Arial" w:eastAsia="Arial" w:hAnsi="Arial" w:cs="Arial"/>
                <w:noProof w:val="0"/>
                <w:color w:val="000000"/>
                <w:sz w:val="22"/>
                <w:szCs w:val="22"/>
              </w:rPr>
            </w:pPr>
            <w:r>
              <w:rPr>
                <w:rFonts w:ascii="Arial" w:eastAsia="Arial" w:hAnsi="Arial" w:cs="Arial"/>
                <w:noProof w:val="0"/>
                <w:color w:val="000000"/>
                <w:sz w:val="22"/>
                <w:szCs w:val="22"/>
              </w:rPr>
              <w:t xml:space="preserve">                                 </w:t>
            </w:r>
            <w:r w:rsidR="00A17F02" w:rsidRPr="00720603">
              <w:rPr>
                <w:rFonts w:ascii="Arial" w:eastAsia="Arial" w:hAnsi="Arial" w:cs="Arial"/>
                <w:noProof w:val="0"/>
                <w:color w:val="000000"/>
                <w:sz w:val="22"/>
                <w:szCs w:val="22"/>
              </w:rPr>
              <w:t>Į 2025.0</w:t>
            </w:r>
            <w:r w:rsidR="00542A58" w:rsidRPr="00720603">
              <w:rPr>
                <w:rFonts w:ascii="Arial" w:eastAsia="Arial" w:hAnsi="Arial" w:cs="Arial"/>
                <w:noProof w:val="0"/>
                <w:color w:val="000000"/>
                <w:sz w:val="22"/>
                <w:szCs w:val="22"/>
              </w:rPr>
              <w:t>5.07</w:t>
            </w:r>
          </w:p>
        </w:tc>
      </w:tr>
    </w:tbl>
    <w:p w14:paraId="7A2E485E" w14:textId="77777777" w:rsidR="00A17F02" w:rsidRPr="00720603" w:rsidRDefault="00A17F02" w:rsidP="00A17F02">
      <w:pPr>
        <w:pBdr>
          <w:top w:val="nil"/>
          <w:left w:val="nil"/>
          <w:bottom w:val="nil"/>
          <w:right w:val="nil"/>
          <w:between w:val="nil"/>
          <w:bar w:val="nil"/>
        </w:pBdr>
        <w:spacing w:after="0" w:line="240" w:lineRule="auto"/>
        <w:rPr>
          <w:rFonts w:ascii="Arial" w:eastAsia="Arial Unicode MS" w:hAnsi="Arial" w:cs="Arial"/>
          <w:noProof w:val="0"/>
          <w:kern w:val="0"/>
          <w:bdr w:val="nil"/>
        </w:rPr>
      </w:pPr>
    </w:p>
    <w:p w14:paraId="5C9B2998" w14:textId="639385A4" w:rsidR="00A17F02" w:rsidRPr="00720603" w:rsidRDefault="00A17F02" w:rsidP="00A17F02">
      <w:pPr>
        <w:pBdr>
          <w:top w:val="nil"/>
          <w:left w:val="nil"/>
          <w:bottom w:val="nil"/>
          <w:right w:val="nil"/>
          <w:between w:val="nil"/>
          <w:bar w:val="nil"/>
        </w:pBdr>
        <w:spacing w:after="0" w:line="240" w:lineRule="auto"/>
        <w:jc w:val="both"/>
        <w:rPr>
          <w:rFonts w:ascii="Arial" w:eastAsia="Arial Unicode MS" w:hAnsi="Arial" w:cs="Arial"/>
          <w:noProof w:val="0"/>
          <w:kern w:val="0"/>
          <w:bdr w:val="nil"/>
        </w:rPr>
      </w:pPr>
      <w:r w:rsidRPr="00720603">
        <w:rPr>
          <w:rFonts w:ascii="Arial" w:eastAsia="Arial Unicode MS" w:hAnsi="Arial" w:cs="Arial"/>
          <w:b/>
          <w:bCs/>
          <w:noProof w:val="0"/>
          <w:color w:val="000000"/>
          <w:kern w:val="0"/>
          <w:bdr w:val="nil"/>
          <w:lang w:eastAsia="lt-LT"/>
        </w:rPr>
        <w:t xml:space="preserve">DĖL PIRKIMO DOKUMENTŲ </w:t>
      </w:r>
      <w:r w:rsidR="00587C67" w:rsidRPr="00720603">
        <w:rPr>
          <w:rFonts w:ascii="Arial" w:eastAsia="Arial Unicode MS" w:hAnsi="Arial" w:cs="Arial"/>
          <w:b/>
          <w:bCs/>
          <w:noProof w:val="0"/>
          <w:color w:val="000000"/>
          <w:kern w:val="0"/>
          <w:bdr w:val="nil"/>
          <w:lang w:eastAsia="lt-LT"/>
        </w:rPr>
        <w:t>PAAIŠKINIMO/</w:t>
      </w:r>
      <w:r w:rsidRPr="00720603">
        <w:rPr>
          <w:rFonts w:ascii="Arial" w:eastAsia="Arial Unicode MS" w:hAnsi="Arial" w:cs="Arial"/>
          <w:b/>
          <w:bCs/>
          <w:noProof w:val="0"/>
          <w:color w:val="000000"/>
          <w:kern w:val="0"/>
          <w:bdr w:val="nil"/>
          <w:lang w:eastAsia="lt-LT"/>
        </w:rPr>
        <w:t xml:space="preserve">PATIKSLINIMO </w:t>
      </w:r>
    </w:p>
    <w:p w14:paraId="47979857" w14:textId="77777777" w:rsidR="00A17F02" w:rsidRPr="00720603" w:rsidRDefault="00A17F02" w:rsidP="00A17F02">
      <w:pPr>
        <w:pBdr>
          <w:top w:val="nil"/>
          <w:left w:val="nil"/>
          <w:bottom w:val="nil"/>
          <w:right w:val="nil"/>
          <w:between w:val="nil"/>
          <w:bar w:val="nil"/>
        </w:pBdr>
        <w:spacing w:after="0" w:line="240" w:lineRule="auto"/>
        <w:rPr>
          <w:rFonts w:ascii="Arial" w:eastAsia="Arial Unicode MS" w:hAnsi="Arial" w:cs="Arial"/>
          <w:noProof w:val="0"/>
          <w:kern w:val="0"/>
          <w:bdr w:val="nil"/>
        </w:rPr>
      </w:pPr>
    </w:p>
    <w:p w14:paraId="1DBC1F91" w14:textId="0EBECA76" w:rsidR="00A17F02" w:rsidRPr="009B72E4" w:rsidRDefault="00A17F02" w:rsidP="00A17F02">
      <w:pPr>
        <w:pBdr>
          <w:top w:val="nil"/>
          <w:left w:val="nil"/>
          <w:bottom w:val="nil"/>
          <w:right w:val="nil"/>
          <w:between w:val="nil"/>
          <w:bar w:val="nil"/>
        </w:pBdr>
        <w:spacing w:after="0" w:line="240" w:lineRule="auto"/>
        <w:ind w:firstLine="709"/>
        <w:jc w:val="both"/>
        <w:rPr>
          <w:rFonts w:ascii="Arial" w:eastAsia="Arial Unicode MS" w:hAnsi="Arial" w:cs="Arial"/>
          <w:b/>
          <w:bCs/>
          <w:iCs/>
          <w:noProof w:val="0"/>
          <w:kern w:val="0"/>
          <w:bdr w:val="nil"/>
        </w:rPr>
      </w:pPr>
      <w:r w:rsidRPr="000D5952">
        <w:rPr>
          <w:rFonts w:ascii="Arial" w:eastAsia="Arial Unicode MS" w:hAnsi="Arial" w:cs="Arial"/>
          <w:noProof w:val="0"/>
          <w:kern w:val="0"/>
          <w:bdr w:val="nil"/>
        </w:rPr>
        <w:t xml:space="preserve"> </w:t>
      </w:r>
      <w:r w:rsidRPr="009B72E4">
        <w:rPr>
          <w:rFonts w:ascii="Arial" w:eastAsia="Arial Unicode MS" w:hAnsi="Arial" w:cs="Arial"/>
          <w:noProof w:val="0"/>
          <w:kern w:val="0"/>
          <w:bdr w:val="nil"/>
        </w:rPr>
        <w:t xml:space="preserve">Akcinė bendrovė ,,Via Lietuva“ vykdo pirkimą </w:t>
      </w:r>
      <w:r w:rsidRPr="009B72E4">
        <w:rPr>
          <w:rFonts w:ascii="Arial" w:eastAsia="Arial Unicode MS" w:hAnsi="Arial" w:cs="Arial"/>
          <w:b/>
          <w:bCs/>
          <w:noProof w:val="0"/>
          <w:kern w:val="0"/>
          <w:bdr w:val="nil"/>
        </w:rPr>
        <w:t>„</w:t>
      </w:r>
      <w:r w:rsidR="00D5574D" w:rsidRPr="009B72E4">
        <w:rPr>
          <w:rFonts w:ascii="Arial" w:eastAsia="Arial Unicode MS" w:hAnsi="Arial" w:cs="Arial"/>
          <w:b/>
          <w:bCs/>
          <w:noProof w:val="0"/>
          <w:kern w:val="0"/>
          <w:bdr w:val="nil"/>
        </w:rPr>
        <w:t>Valstybinės reikšmės kelių saugumo audito paslaugos“</w:t>
      </w:r>
      <w:r w:rsidR="00901180" w:rsidRPr="009B72E4">
        <w:rPr>
          <w:rFonts w:ascii="Arial" w:eastAsia="Arial Unicode MS" w:hAnsi="Arial" w:cs="Arial"/>
          <w:noProof w:val="0"/>
          <w:kern w:val="0"/>
          <w:bdr w:val="nil"/>
        </w:rPr>
        <w:t>(pirkimo ID 2437587).</w:t>
      </w:r>
    </w:p>
    <w:p w14:paraId="5513CEF9" w14:textId="77777777" w:rsidR="00A17F02" w:rsidRPr="009B72E4" w:rsidRDefault="00A17F02" w:rsidP="00A17F02">
      <w:pPr>
        <w:keepNext/>
        <w:keepLines/>
        <w:pBdr>
          <w:top w:val="nil"/>
          <w:left w:val="nil"/>
          <w:bottom w:val="nil"/>
          <w:right w:val="nil"/>
          <w:between w:val="nil"/>
          <w:bar w:val="nil"/>
        </w:pBdr>
        <w:shd w:val="clear" w:color="auto" w:fill="FFFFFF"/>
        <w:spacing w:before="150" w:after="150" w:line="240" w:lineRule="auto"/>
        <w:ind w:firstLine="567"/>
        <w:outlineLvl w:val="0"/>
        <w:rPr>
          <w:rFonts w:ascii="Arial" w:eastAsia="Times New Roman" w:hAnsi="Arial" w:cs="Arial"/>
          <w:noProof w:val="0"/>
          <w:kern w:val="36"/>
          <w:lang w:eastAsia="lt-LT"/>
          <w14:ligatures w14:val="none"/>
        </w:rPr>
      </w:pPr>
      <w:r w:rsidRPr="009B72E4">
        <w:rPr>
          <w:rFonts w:ascii="Arial" w:eastAsia="Times New Roman" w:hAnsi="Arial" w:cs="Arial"/>
          <w:noProof w:val="0"/>
          <w:kern w:val="36"/>
          <w:lang w:eastAsia="lt-LT"/>
          <w14:ligatures w14:val="none"/>
        </w:rPr>
        <w:t>ir teikia tiekėjų užduotus klausimus ir atsakymus į juos:</w:t>
      </w:r>
    </w:p>
    <w:tbl>
      <w:tblPr>
        <w:tblW w:w="9519"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4"/>
        <w:gridCol w:w="4603"/>
        <w:gridCol w:w="4252"/>
      </w:tblGrid>
      <w:tr w:rsidR="00A17F02" w:rsidRPr="000D5952" w14:paraId="2FF83527" w14:textId="77777777" w:rsidTr="0066591D">
        <w:trPr>
          <w:trHeight w:val="465"/>
        </w:trPr>
        <w:tc>
          <w:tcPr>
            <w:tcW w:w="664" w:type="dxa"/>
          </w:tcPr>
          <w:p w14:paraId="65A9DD78" w14:textId="77777777" w:rsidR="00A17F02" w:rsidRPr="000D5952" w:rsidRDefault="00A17F02" w:rsidP="00A17F02">
            <w:pPr>
              <w:pBdr>
                <w:top w:val="nil"/>
                <w:left w:val="nil"/>
                <w:bottom w:val="nil"/>
                <w:right w:val="nil"/>
                <w:between w:val="nil"/>
                <w:bar w:val="nil"/>
              </w:pBdr>
              <w:spacing w:after="0" w:line="240" w:lineRule="auto"/>
              <w:jc w:val="center"/>
              <w:rPr>
                <w:rFonts w:ascii="Arial" w:eastAsia="Arial Unicode MS" w:hAnsi="Arial" w:cs="Arial"/>
                <w:b/>
                <w:bCs/>
                <w:noProof w:val="0"/>
                <w:kern w:val="0"/>
                <w:bdr w:val="nil"/>
                <w:lang w:eastAsia="lt-LT"/>
              </w:rPr>
            </w:pPr>
            <w:r w:rsidRPr="000D5952">
              <w:rPr>
                <w:rFonts w:ascii="Arial" w:eastAsia="Arial Unicode MS" w:hAnsi="Arial" w:cs="Arial"/>
                <w:b/>
                <w:bCs/>
                <w:noProof w:val="0"/>
                <w:kern w:val="0"/>
                <w:bdr w:val="nil"/>
                <w:lang w:eastAsia="lt-LT"/>
              </w:rPr>
              <w:t>Eil.</w:t>
            </w:r>
          </w:p>
          <w:p w14:paraId="40A233A3" w14:textId="77777777" w:rsidR="00A17F02" w:rsidRPr="000D5952" w:rsidRDefault="00A17F02" w:rsidP="00A17F02">
            <w:pPr>
              <w:pBdr>
                <w:top w:val="nil"/>
                <w:left w:val="nil"/>
                <w:bottom w:val="nil"/>
                <w:right w:val="nil"/>
                <w:between w:val="nil"/>
                <w:bar w:val="nil"/>
              </w:pBdr>
              <w:spacing w:after="0" w:line="240" w:lineRule="auto"/>
              <w:jc w:val="center"/>
              <w:rPr>
                <w:rFonts w:ascii="Arial" w:eastAsia="Arial Unicode MS" w:hAnsi="Arial" w:cs="Arial"/>
                <w:b/>
                <w:bCs/>
                <w:noProof w:val="0"/>
                <w:kern w:val="0"/>
                <w:bdr w:val="nil"/>
                <w:lang w:eastAsia="lt-LT"/>
              </w:rPr>
            </w:pPr>
            <w:r w:rsidRPr="000D5952">
              <w:rPr>
                <w:rFonts w:ascii="Arial" w:eastAsia="Arial Unicode MS" w:hAnsi="Arial" w:cs="Arial"/>
                <w:b/>
                <w:bCs/>
                <w:noProof w:val="0"/>
                <w:kern w:val="0"/>
                <w:bdr w:val="nil"/>
                <w:lang w:eastAsia="lt-LT"/>
              </w:rPr>
              <w:t>Nr.</w:t>
            </w:r>
          </w:p>
        </w:tc>
        <w:tc>
          <w:tcPr>
            <w:tcW w:w="4603" w:type="dxa"/>
          </w:tcPr>
          <w:p w14:paraId="29A3D566" w14:textId="77777777" w:rsidR="00A17F02" w:rsidRPr="000D5952" w:rsidRDefault="00A17F02" w:rsidP="00A17F02">
            <w:pPr>
              <w:pBdr>
                <w:top w:val="nil"/>
                <w:left w:val="nil"/>
                <w:bottom w:val="nil"/>
                <w:right w:val="nil"/>
                <w:between w:val="nil"/>
                <w:bar w:val="nil"/>
              </w:pBdr>
              <w:spacing w:after="0" w:line="240" w:lineRule="auto"/>
              <w:jc w:val="center"/>
              <w:rPr>
                <w:rFonts w:ascii="Arial" w:eastAsia="Arial Unicode MS" w:hAnsi="Arial" w:cs="Arial"/>
                <w:b/>
                <w:bCs/>
                <w:noProof w:val="0"/>
                <w:kern w:val="0"/>
                <w:bdr w:val="nil"/>
                <w:lang w:eastAsia="lt-LT"/>
              </w:rPr>
            </w:pPr>
            <w:r w:rsidRPr="000D5952">
              <w:rPr>
                <w:rFonts w:ascii="Arial" w:eastAsia="Arial Unicode MS" w:hAnsi="Arial" w:cs="Arial"/>
                <w:b/>
                <w:bCs/>
                <w:noProof w:val="0"/>
                <w:kern w:val="0"/>
                <w:bdr w:val="nil"/>
                <w:lang w:eastAsia="lt-LT"/>
              </w:rPr>
              <w:t>Klausimas</w:t>
            </w:r>
          </w:p>
        </w:tc>
        <w:tc>
          <w:tcPr>
            <w:tcW w:w="4252" w:type="dxa"/>
          </w:tcPr>
          <w:p w14:paraId="0D3E7416" w14:textId="77777777" w:rsidR="00A17F02" w:rsidRPr="000D5952" w:rsidRDefault="00A17F02" w:rsidP="00A17F02">
            <w:pPr>
              <w:pBdr>
                <w:top w:val="nil"/>
                <w:left w:val="nil"/>
                <w:bottom w:val="nil"/>
                <w:right w:val="nil"/>
                <w:between w:val="nil"/>
                <w:bar w:val="nil"/>
              </w:pBdr>
              <w:spacing w:after="0" w:line="240" w:lineRule="auto"/>
              <w:jc w:val="center"/>
              <w:rPr>
                <w:rFonts w:ascii="Arial" w:eastAsia="Arial Unicode MS" w:hAnsi="Arial" w:cs="Arial"/>
                <w:b/>
                <w:bCs/>
                <w:noProof w:val="0"/>
                <w:kern w:val="0"/>
                <w:bdr w:val="nil"/>
                <w:lang w:eastAsia="lt-LT"/>
              </w:rPr>
            </w:pPr>
            <w:r w:rsidRPr="000D5952">
              <w:rPr>
                <w:rFonts w:ascii="Arial" w:eastAsia="Arial Unicode MS" w:hAnsi="Arial" w:cs="Arial"/>
                <w:b/>
                <w:bCs/>
                <w:noProof w:val="0"/>
                <w:kern w:val="0"/>
                <w:bdr w:val="nil"/>
                <w:lang w:eastAsia="lt-LT"/>
              </w:rPr>
              <w:t>Atsakymas</w:t>
            </w:r>
          </w:p>
        </w:tc>
      </w:tr>
      <w:tr w:rsidR="00A17F02" w:rsidRPr="000D5952" w14:paraId="02B0881B" w14:textId="77777777" w:rsidTr="0066591D">
        <w:trPr>
          <w:trHeight w:val="2126"/>
        </w:trPr>
        <w:tc>
          <w:tcPr>
            <w:tcW w:w="664" w:type="dxa"/>
          </w:tcPr>
          <w:p w14:paraId="601BE5BE" w14:textId="77777777" w:rsidR="00A17F02" w:rsidRPr="000D5952" w:rsidRDefault="00A17F02" w:rsidP="00A17F02">
            <w:pPr>
              <w:spacing w:after="0" w:line="240" w:lineRule="auto"/>
              <w:jc w:val="both"/>
              <w:rPr>
                <w:rFonts w:ascii="Arial" w:eastAsia="Times New Roman" w:hAnsi="Arial" w:cs="Arial"/>
                <w:b/>
                <w:bCs/>
                <w:noProof w:val="0"/>
                <w:kern w:val="0"/>
                <w:lang w:eastAsia="lt-LT"/>
              </w:rPr>
            </w:pPr>
            <w:r w:rsidRPr="000D5952">
              <w:rPr>
                <w:rFonts w:ascii="Arial" w:eastAsia="Times New Roman" w:hAnsi="Arial" w:cs="Arial"/>
                <w:b/>
                <w:bCs/>
                <w:noProof w:val="0"/>
                <w:kern w:val="0"/>
                <w:lang w:eastAsia="lt-LT"/>
              </w:rPr>
              <w:t>1.</w:t>
            </w:r>
          </w:p>
        </w:tc>
        <w:tc>
          <w:tcPr>
            <w:tcW w:w="4603" w:type="dxa"/>
          </w:tcPr>
          <w:p w14:paraId="2A1BEA59" w14:textId="77777777" w:rsidR="00A419D7" w:rsidRPr="000D5952" w:rsidRDefault="00A419D7" w:rsidP="00A419D7">
            <w:pPr>
              <w:jc w:val="both"/>
              <w:rPr>
                <w:rFonts w:ascii="Arial" w:hAnsi="Arial" w:cs="Arial"/>
                <w:noProof w:val="0"/>
              </w:rPr>
            </w:pPr>
            <w:r w:rsidRPr="000D5952">
              <w:rPr>
                <w:rFonts w:ascii="Arial" w:hAnsi="Arial" w:cs="Arial"/>
                <w:noProof w:val="0"/>
              </w:rPr>
              <w:t xml:space="preserve">SPS priede Nr. 10 „Kvalifikacijos reikalavimai“ yra nurodytas reikalavimas turėti bent 1 (vieną) audito grupės narį, per pastaruosius 3 metus (iki pasiūlymų pateikimo termino pabaigos), tinkamai atlikusį/parengusį bent  po 1 (vieną) perkamų paslaugų ataskaitą, nurodytą pasiūlymo formos lentelėje iš kiekvienos grupės (I grupės, II grupės ir III grupės) ypatingųjų statinių grupei priskiriamuose statiniuose (užsienio lygiaverčiuose statiniuose): – valstybinės reikšmės keliuose, priklausomai nuo jų suskirstymo pagal reikšmę (magistraliniai ar (ir) krašto, ar (ir) rajoniniai keliai) arba (ir) – miestų, miestelių gatvėse su indeksu A ar (ir) B, ar (ir) C (greito eismo ar (ir) pagrindinės, ar (ir) aptarnaujančios gatvės), ar (ir) D, ar (ir) jų sankryžose. </w:t>
            </w:r>
          </w:p>
          <w:p w14:paraId="0BFA304D" w14:textId="77777777" w:rsidR="00A419D7" w:rsidRPr="000D5952" w:rsidRDefault="00A419D7" w:rsidP="00A419D7">
            <w:pPr>
              <w:pStyle w:val="Sraopastraipa"/>
              <w:ind w:left="0" w:firstLine="497"/>
              <w:jc w:val="both"/>
              <w:rPr>
                <w:rFonts w:ascii="Arial" w:hAnsi="Arial" w:cs="Arial"/>
                <w:noProof w:val="0"/>
              </w:rPr>
            </w:pPr>
            <w:r w:rsidRPr="000D5952">
              <w:rPr>
                <w:rFonts w:ascii="Arial" w:hAnsi="Arial" w:cs="Arial"/>
                <w:noProof w:val="0"/>
              </w:rPr>
              <w:t>Mūsų žiniomis III grupės kelių saugumo auditai (objekto pradiniame naudojimo etape auditai, kurie atliekami tik valstybinės reikšmės magistralinių kelių ir A kategorijos gatvių naujos statybos ar rekonstravimo projektams, praėjus 12–18 mėnesių po kelio darbų užbaigimo) šiuo metu Lietuvoje dar nėra atliekami, todėl gali nebūti tiekėjo tenkinančio šį kvalifikacinį reikalavimą. Siūlome koreguoti šį reikalavimą, nurodant „..tinkamai atlikusį/parengusį bent po 1 (vieną) perkamų paslaugų ataskaitą, nurodytą pasiūlymo formos lentelėje, pasirinktinai iš dviejų grupių (I grupės, II grupės ir III grupės)....“.</w:t>
            </w:r>
          </w:p>
          <w:p w14:paraId="277516C0" w14:textId="2C2AB3C8" w:rsidR="00D05E3F" w:rsidRPr="000D5952" w:rsidRDefault="00D05E3F" w:rsidP="003513FF">
            <w:pPr>
              <w:pStyle w:val="Sraopastraipa"/>
              <w:spacing w:after="0"/>
              <w:ind w:left="-70"/>
              <w:jc w:val="both"/>
              <w:rPr>
                <w:rFonts w:ascii="Arial" w:hAnsi="Arial" w:cs="Arial"/>
                <w:noProof w:val="0"/>
              </w:rPr>
            </w:pPr>
          </w:p>
        </w:tc>
        <w:tc>
          <w:tcPr>
            <w:tcW w:w="4252" w:type="dxa"/>
          </w:tcPr>
          <w:p w14:paraId="1591CF5B" w14:textId="228A52E8" w:rsidR="00A17F02" w:rsidRPr="000D5952" w:rsidRDefault="00FC47B0" w:rsidP="00776AEE">
            <w:pPr>
              <w:pBdr>
                <w:top w:val="nil"/>
                <w:left w:val="nil"/>
                <w:bottom w:val="nil"/>
                <w:right w:val="nil"/>
                <w:between w:val="nil"/>
                <w:bar w:val="nil"/>
              </w:pBdr>
              <w:jc w:val="both"/>
              <w:rPr>
                <w:rFonts w:ascii="Arial" w:hAnsi="Arial" w:cs="Arial"/>
                <w:noProof w:val="0"/>
              </w:rPr>
            </w:pPr>
            <w:r w:rsidRPr="000D5952">
              <w:rPr>
                <w:rFonts w:ascii="Arial" w:hAnsi="Arial" w:cs="Arial"/>
                <w:noProof w:val="0"/>
              </w:rPr>
              <w:t>P</w:t>
            </w:r>
            <w:r w:rsidR="00687C12" w:rsidRPr="000D5952">
              <w:rPr>
                <w:rFonts w:ascii="Arial" w:hAnsi="Arial" w:cs="Arial"/>
                <w:noProof w:val="0"/>
              </w:rPr>
              <w:t xml:space="preserve">erkančioji organizacija </w:t>
            </w:r>
            <w:r w:rsidRPr="000D5952">
              <w:rPr>
                <w:rFonts w:ascii="Arial" w:hAnsi="Arial" w:cs="Arial"/>
                <w:noProof w:val="0"/>
              </w:rPr>
              <w:t xml:space="preserve"> tikslina SPS pried</w:t>
            </w:r>
            <w:r w:rsidR="00470AEA" w:rsidRPr="000D5952">
              <w:rPr>
                <w:rFonts w:ascii="Arial" w:hAnsi="Arial" w:cs="Arial"/>
                <w:noProof w:val="0"/>
              </w:rPr>
              <w:t>o</w:t>
            </w:r>
            <w:r w:rsidRPr="000D5952">
              <w:rPr>
                <w:rFonts w:ascii="Arial" w:hAnsi="Arial" w:cs="Arial"/>
                <w:noProof w:val="0"/>
              </w:rPr>
              <w:t xml:space="preserve"> Nr. 10 „Kvalifikacijos reikalavimai“</w:t>
            </w:r>
            <w:r w:rsidR="00470AEA" w:rsidRPr="000D5952">
              <w:rPr>
                <w:rFonts w:ascii="Arial" w:hAnsi="Arial" w:cs="Arial"/>
                <w:noProof w:val="0"/>
              </w:rPr>
              <w:t xml:space="preserve"> techninio ir profesinio pajėgumo reikalavimų 2 punktą </w:t>
            </w:r>
            <w:r w:rsidRPr="000D5952">
              <w:rPr>
                <w:rFonts w:ascii="Arial" w:hAnsi="Arial" w:cs="Arial"/>
                <w:noProof w:val="0"/>
              </w:rPr>
              <w:t xml:space="preserve">ir </w:t>
            </w:r>
            <w:r w:rsidR="00470AEA" w:rsidRPr="000D5952">
              <w:rPr>
                <w:rFonts w:ascii="Arial" w:hAnsi="Arial" w:cs="Arial"/>
                <w:noProof w:val="0"/>
              </w:rPr>
              <w:t xml:space="preserve">jį </w:t>
            </w:r>
            <w:r w:rsidRPr="000D5952">
              <w:rPr>
                <w:rFonts w:ascii="Arial" w:hAnsi="Arial" w:cs="Arial"/>
                <w:noProof w:val="0"/>
              </w:rPr>
              <w:t>išdėsto taip:</w:t>
            </w:r>
          </w:p>
          <w:p w14:paraId="541D673C" w14:textId="6410E109" w:rsidR="00CD137D" w:rsidRPr="000D5952" w:rsidRDefault="00CD137D" w:rsidP="00CD137D">
            <w:pPr>
              <w:jc w:val="both"/>
              <w:rPr>
                <w:rFonts w:ascii="Arial" w:hAnsi="Arial" w:cs="Arial"/>
                <w:noProof w:val="0"/>
              </w:rPr>
            </w:pPr>
            <w:r w:rsidRPr="000D5952">
              <w:rPr>
                <w:rFonts w:ascii="Arial" w:hAnsi="Arial" w:cs="Arial"/>
                <w:noProof w:val="0"/>
              </w:rPr>
              <w:t xml:space="preserve">„Bent 1 (vienas) audito grupės narys, per pastaruosius 3 metus (iki pasiūlymų pateikimo termino pabaigos), turi būti  tinkamai atlikęs/parengęs bent po 1 (vieną) perkamų paslaugų ataskaitą, nurodytą pasiūlymo formos lentelėje </w:t>
            </w:r>
            <w:r w:rsidRPr="000D5952">
              <w:rPr>
                <w:rFonts w:ascii="Arial" w:hAnsi="Arial" w:cs="Arial"/>
                <w:b/>
                <w:bCs/>
                <w:noProof w:val="0"/>
              </w:rPr>
              <w:t>iš bent 2 grupių</w:t>
            </w:r>
            <w:r w:rsidRPr="000D5952">
              <w:rPr>
                <w:rFonts w:ascii="Arial" w:hAnsi="Arial" w:cs="Arial"/>
                <w:noProof w:val="0"/>
              </w:rPr>
              <w:t xml:space="preserve"> (I grupės / II grupės / III grupės) ypatingųjų statinių grupei priskiriamuose statiniuose (užsienio lygiaverčiuose statiniuose):</w:t>
            </w:r>
          </w:p>
          <w:p w14:paraId="070E482F" w14:textId="77777777" w:rsidR="00CD137D" w:rsidRPr="000D5952" w:rsidRDefault="00CD137D" w:rsidP="00CD137D">
            <w:pPr>
              <w:jc w:val="both"/>
              <w:rPr>
                <w:rFonts w:ascii="Arial" w:hAnsi="Arial" w:cs="Arial"/>
                <w:noProof w:val="0"/>
              </w:rPr>
            </w:pPr>
            <w:r w:rsidRPr="000D5952">
              <w:rPr>
                <w:rFonts w:ascii="Arial" w:hAnsi="Arial" w:cs="Arial"/>
                <w:noProof w:val="0"/>
              </w:rPr>
              <w:t xml:space="preserve">– valstybinės reikšmės keliuose, priklausomai nuo jų suskirstymo pagal reikšmę (magistraliniai ar (ir) krašto, ar (ir) rajoniniai keliai) </w:t>
            </w:r>
          </w:p>
          <w:p w14:paraId="49F3EF51" w14:textId="77777777" w:rsidR="00CD137D" w:rsidRPr="000D5952" w:rsidRDefault="00CD137D" w:rsidP="00CD137D">
            <w:pPr>
              <w:jc w:val="both"/>
              <w:rPr>
                <w:rFonts w:ascii="Arial" w:hAnsi="Arial" w:cs="Arial"/>
                <w:noProof w:val="0"/>
              </w:rPr>
            </w:pPr>
            <w:r w:rsidRPr="000D5952">
              <w:rPr>
                <w:rFonts w:ascii="Arial" w:hAnsi="Arial" w:cs="Arial"/>
                <w:noProof w:val="0"/>
              </w:rPr>
              <w:t xml:space="preserve">arba (ir) </w:t>
            </w:r>
          </w:p>
          <w:p w14:paraId="2E30D1C4" w14:textId="4EC3D874" w:rsidR="00CD137D" w:rsidRPr="000D5952" w:rsidRDefault="00CD137D" w:rsidP="00CD137D">
            <w:pPr>
              <w:jc w:val="both"/>
              <w:rPr>
                <w:rFonts w:ascii="Arial" w:hAnsi="Arial" w:cs="Arial"/>
                <w:noProof w:val="0"/>
              </w:rPr>
            </w:pPr>
            <w:r w:rsidRPr="000D5952">
              <w:rPr>
                <w:rFonts w:ascii="Arial" w:hAnsi="Arial" w:cs="Arial"/>
                <w:noProof w:val="0"/>
              </w:rPr>
              <w:t>– miestų, miestelių gatvėse su indeksu A ar (ir) B, ar (ir) C (greito eismo ar (ir) pagrindinės, ar (ir) aptarnaujančios gatvės), ar (ir) D, ar (ir) jų sankryžose.“</w:t>
            </w:r>
          </w:p>
          <w:p w14:paraId="7C59236A" w14:textId="0E168EBE" w:rsidR="00FC47B0" w:rsidRPr="000D5952" w:rsidRDefault="00BB771A" w:rsidP="00FC47B0">
            <w:pPr>
              <w:spacing w:line="254" w:lineRule="auto"/>
              <w:rPr>
                <w:rFonts w:ascii="Arial" w:hAnsi="Arial" w:cs="Arial"/>
                <w:noProof w:val="0"/>
              </w:rPr>
            </w:pPr>
            <w:r w:rsidRPr="000D5952">
              <w:rPr>
                <w:rFonts w:ascii="Arial" w:hAnsi="Arial" w:cs="Arial"/>
                <w:noProof w:val="0"/>
              </w:rPr>
              <w:t>Patikslintas SPS priedas Nr. 10 „Kvalifikacijos reikalavimai“ pridedamas.</w:t>
            </w:r>
            <w:r w:rsidR="00983E7F" w:rsidRPr="000D5952">
              <w:rPr>
                <w:rFonts w:ascii="Arial" w:hAnsi="Arial" w:cs="Arial"/>
                <w:noProof w:val="0"/>
              </w:rPr>
              <w:t xml:space="preserve"> </w:t>
            </w:r>
          </w:p>
        </w:tc>
      </w:tr>
      <w:tr w:rsidR="00D5574D" w:rsidRPr="000D5952" w14:paraId="52FB7094" w14:textId="77777777" w:rsidTr="0066591D">
        <w:trPr>
          <w:trHeight w:val="2126"/>
        </w:trPr>
        <w:tc>
          <w:tcPr>
            <w:tcW w:w="664" w:type="dxa"/>
          </w:tcPr>
          <w:p w14:paraId="671ECA1F" w14:textId="061063CF" w:rsidR="00D5574D" w:rsidRPr="000D5952" w:rsidRDefault="00D5574D" w:rsidP="00A17F02">
            <w:pPr>
              <w:spacing w:after="0" w:line="240" w:lineRule="auto"/>
              <w:jc w:val="both"/>
              <w:rPr>
                <w:rFonts w:ascii="Arial" w:eastAsia="Times New Roman" w:hAnsi="Arial" w:cs="Arial"/>
                <w:b/>
                <w:bCs/>
                <w:noProof w:val="0"/>
                <w:kern w:val="0"/>
                <w:lang w:eastAsia="lt-LT"/>
              </w:rPr>
            </w:pPr>
            <w:r w:rsidRPr="000D5952">
              <w:rPr>
                <w:rFonts w:ascii="Arial" w:eastAsia="Times New Roman" w:hAnsi="Arial" w:cs="Arial"/>
                <w:b/>
                <w:bCs/>
                <w:noProof w:val="0"/>
                <w:kern w:val="0"/>
                <w:lang w:eastAsia="lt-LT"/>
              </w:rPr>
              <w:lastRenderedPageBreak/>
              <w:t>2.</w:t>
            </w:r>
          </w:p>
        </w:tc>
        <w:tc>
          <w:tcPr>
            <w:tcW w:w="4603" w:type="dxa"/>
          </w:tcPr>
          <w:p w14:paraId="2175B565" w14:textId="77777777" w:rsidR="00A419D7" w:rsidRPr="000D5952" w:rsidRDefault="00A419D7" w:rsidP="00A419D7">
            <w:pPr>
              <w:jc w:val="both"/>
              <w:rPr>
                <w:rFonts w:ascii="Arial" w:hAnsi="Arial" w:cs="Arial"/>
                <w:noProof w:val="0"/>
              </w:rPr>
            </w:pPr>
            <w:r w:rsidRPr="000D5952">
              <w:rPr>
                <w:rFonts w:ascii="Arial" w:hAnsi="Arial" w:cs="Arial"/>
                <w:noProof w:val="0"/>
              </w:rPr>
              <w:t xml:space="preserve">Techninėje specifikacijoje prie bendrųjų reikalavimų kelių saugumo audito atlikimui yra nurodyta, kad „Turi būti nurodytos konkrečios trūkumo vietos, jei trūkumas nustatytas dėl netinkamų matmenų, turi būti nurodyti nustatyto trūkumo matmenys. Jei  paslaugos teikėjui trūksta duomenų tiksliam trūkumo aprašymui, jis turi kreiptis į Pirkėją dėl projektinės medžiagos papildymo, ar informacijos patikslinimo“. Techninėje specifikacijoje prie audito atlikimo terminų, yra nurodyta, Jei Tiekėjui trūksta duomenų tinkamai įvykdyti užsakymą (pagal 2.3.4 p.), dėl projektinės medžiagos patikslinimo Tiekėjas į Pirkėją turi kreiptis nedelsiant, tačiau ne vėliau kaip 3 d. d. nuo pirminės medžiagos pateikimo dienos. </w:t>
            </w:r>
          </w:p>
          <w:p w14:paraId="3BBCAF25" w14:textId="77777777" w:rsidR="00A419D7" w:rsidRPr="000D5952" w:rsidRDefault="00A419D7" w:rsidP="004D53EE">
            <w:pPr>
              <w:pStyle w:val="Sraopastraipa"/>
              <w:ind w:left="0"/>
              <w:jc w:val="both"/>
              <w:rPr>
                <w:rFonts w:ascii="Arial" w:hAnsi="Arial" w:cs="Arial"/>
                <w:noProof w:val="0"/>
              </w:rPr>
            </w:pPr>
            <w:r w:rsidRPr="000D5952">
              <w:rPr>
                <w:rFonts w:ascii="Arial" w:hAnsi="Arial" w:cs="Arial"/>
                <w:noProof w:val="0"/>
              </w:rPr>
              <w:t xml:space="preserve">Nustatytos 3 darbo dienos (nuo pirminės medžiagos pateikimo), per kurias Tiekėjas turi kreiptis dėl projektinės medžiagos patikslinimo, yra per mažas laikotarpis, kadangi projekto nuodugnus tikrinimas priklausomai nuo objekto sudėtingumo gali užtrukti ženkliai ilgiau. </w:t>
            </w:r>
          </w:p>
          <w:p w14:paraId="5097F4E8" w14:textId="77777777" w:rsidR="00A419D7" w:rsidRPr="000D5952" w:rsidRDefault="00A419D7" w:rsidP="004D53EE">
            <w:pPr>
              <w:pStyle w:val="Sraopastraipa"/>
              <w:ind w:left="0"/>
              <w:jc w:val="both"/>
              <w:rPr>
                <w:rFonts w:ascii="Arial" w:hAnsi="Arial" w:cs="Arial"/>
                <w:noProof w:val="0"/>
              </w:rPr>
            </w:pPr>
            <w:r w:rsidRPr="000D5952">
              <w:rPr>
                <w:rFonts w:ascii="Arial" w:hAnsi="Arial" w:cs="Arial"/>
                <w:noProof w:val="0"/>
              </w:rPr>
              <w:t xml:space="preserve">Nėra aišku, kaip bus vykdomas informacijos patikslinimas šiuos audito etapuose: prieš pradedant eksploatuoti kelią bei pradiniame kelio eksploatavimo etape, kuomet auditorius kelio apžiūros metu vizualiai nustatys kelio infrastruktūros matmenų trūkumus. Ar šių trūkumų vietų sąrašą su vaizdo medžiaga bei piketais, Tiekėjas turės pateikti Pirkėjui (užsakovui)? Kelio apžiūra bei visų vietų su trūkumais sufiksavimas yra laikui imlus darbas, todėl nustatytas 3 dienų laikotarpis yra per trumpas. </w:t>
            </w:r>
          </w:p>
          <w:p w14:paraId="709B59A5" w14:textId="77777777" w:rsidR="00A419D7" w:rsidRPr="000D5952" w:rsidRDefault="00A419D7" w:rsidP="004D53EE">
            <w:pPr>
              <w:pStyle w:val="Sraopastraipa"/>
              <w:ind w:left="0"/>
              <w:jc w:val="both"/>
              <w:rPr>
                <w:rFonts w:ascii="Arial" w:hAnsi="Arial" w:cs="Arial"/>
                <w:noProof w:val="0"/>
                <w:color w:val="FF0000"/>
              </w:rPr>
            </w:pPr>
            <w:r w:rsidRPr="000D5952">
              <w:rPr>
                <w:rFonts w:ascii="Arial" w:hAnsi="Arial" w:cs="Arial"/>
                <w:noProof w:val="0"/>
              </w:rPr>
              <w:tab/>
              <w:t>Atkreiptinas dėmesys, kad reikalavimas pateikti konkrečias trūkumo vietas, bei visus matmenis yra perteklinis, kadangi už projekto atitiktį teisės akto reikalavimams atsako Statinio projekto rengėjas bei Statinio projekto ekspertas, o statinio atitiktį teisės akto reikalavimams atsako Statinio statybos vadovas bei Statinio statybos techninės priežiūros vadovas. Be to, nėra prasmės surašyti visų konkrečių trūkumų vietų, kadangi po audito atlikto projektas yra dažnai keičiamas, o pakeisto projekto auditas įprastu atveju daugiau nebeatliekamas.</w:t>
            </w:r>
          </w:p>
          <w:p w14:paraId="12CB0854" w14:textId="77777777" w:rsidR="00A419D7" w:rsidRPr="000D5952" w:rsidRDefault="00A419D7" w:rsidP="004D53EE">
            <w:pPr>
              <w:pStyle w:val="Sraopastraipa"/>
              <w:ind w:left="0"/>
              <w:jc w:val="both"/>
              <w:rPr>
                <w:rFonts w:ascii="Arial" w:hAnsi="Arial" w:cs="Arial"/>
                <w:noProof w:val="0"/>
              </w:rPr>
            </w:pPr>
            <w:r w:rsidRPr="000D5952">
              <w:rPr>
                <w:rFonts w:ascii="Arial" w:hAnsi="Arial" w:cs="Arial"/>
                <w:noProof w:val="0"/>
              </w:rPr>
              <w:lastRenderedPageBreak/>
              <w:t>Reikalavimas pateikti konkrečias trūkumo vietas, bei visus matmenis yra perteklinis bei sukelia papildomas sąnaudas tiekėjui, ypač sudėtingų, ilgų kelių ruožų projektuose, todėl ženkliai padidins pasiūlymo vertę. Siūloma nenustatyti tokio reikalavimo, arba kitu atveju didinti terminus bei nenustatyti maksimalios pirkimo kainos. Atkreiptinas dėmesys, kad Europos audito rūmai, kurie atliko Lietuvos įgyvendinamų saugaus eismo procedūrų auditą, rekomendavo nekonkretizuoti visų nustatyto kelių infrastruktūros eismo saugumo trūkumų vietų, tik išskirti pagal tipą (pavyzdžiui, nuovažos ir pan.).</w:t>
            </w:r>
          </w:p>
          <w:p w14:paraId="233CF6D5" w14:textId="77777777" w:rsidR="00D5574D" w:rsidRPr="000D5952" w:rsidRDefault="00D5574D" w:rsidP="003513FF">
            <w:pPr>
              <w:pStyle w:val="Sraopastraipa"/>
              <w:spacing w:after="0"/>
              <w:ind w:left="-70"/>
              <w:jc w:val="both"/>
              <w:rPr>
                <w:rFonts w:ascii="Arial" w:hAnsi="Arial" w:cs="Arial"/>
                <w:noProof w:val="0"/>
              </w:rPr>
            </w:pPr>
          </w:p>
        </w:tc>
        <w:tc>
          <w:tcPr>
            <w:tcW w:w="4252" w:type="dxa"/>
          </w:tcPr>
          <w:p w14:paraId="061222DD" w14:textId="7CEB3A20" w:rsidR="00BB771A" w:rsidRPr="000D5952" w:rsidRDefault="00BB771A" w:rsidP="00BB771A">
            <w:pPr>
              <w:pBdr>
                <w:top w:val="nil"/>
                <w:left w:val="nil"/>
                <w:bottom w:val="nil"/>
                <w:right w:val="nil"/>
                <w:between w:val="nil"/>
                <w:bar w:val="nil"/>
              </w:pBdr>
              <w:jc w:val="both"/>
              <w:rPr>
                <w:rFonts w:ascii="Arial" w:hAnsi="Arial" w:cs="Arial"/>
                <w:noProof w:val="0"/>
              </w:rPr>
            </w:pPr>
            <w:r w:rsidRPr="000D5952">
              <w:rPr>
                <w:rFonts w:ascii="Arial" w:hAnsi="Arial" w:cs="Arial"/>
                <w:noProof w:val="0"/>
              </w:rPr>
              <w:lastRenderedPageBreak/>
              <w:t>P</w:t>
            </w:r>
            <w:r w:rsidR="00B706C5" w:rsidRPr="000D5952">
              <w:rPr>
                <w:rFonts w:ascii="Arial" w:hAnsi="Arial" w:cs="Arial"/>
                <w:noProof w:val="0"/>
              </w:rPr>
              <w:t xml:space="preserve">erkančioji organizacija </w:t>
            </w:r>
            <w:r w:rsidRPr="000D5952">
              <w:rPr>
                <w:rFonts w:ascii="Arial" w:hAnsi="Arial" w:cs="Arial"/>
                <w:noProof w:val="0"/>
              </w:rPr>
              <w:t xml:space="preserve"> iš dalies </w:t>
            </w:r>
            <w:r w:rsidR="00B706C5" w:rsidRPr="000D5952">
              <w:rPr>
                <w:rFonts w:ascii="Arial" w:hAnsi="Arial" w:cs="Arial"/>
                <w:noProof w:val="0"/>
              </w:rPr>
              <w:t>atsižvelgė į Tiekėjo pastabas ir tikslina TS 2.</w:t>
            </w:r>
            <w:r w:rsidR="00195DB3" w:rsidRPr="000D5952">
              <w:rPr>
                <w:rFonts w:ascii="Arial" w:hAnsi="Arial" w:cs="Arial"/>
                <w:noProof w:val="0"/>
              </w:rPr>
              <w:t>3</w:t>
            </w:r>
            <w:r w:rsidR="00B706C5" w:rsidRPr="000D5952">
              <w:rPr>
                <w:rFonts w:ascii="Arial" w:hAnsi="Arial" w:cs="Arial"/>
                <w:noProof w:val="0"/>
              </w:rPr>
              <w:t>.4. punktą.</w:t>
            </w:r>
          </w:p>
          <w:p w14:paraId="6E6CC6E5" w14:textId="177083F4" w:rsidR="00B46296" w:rsidRPr="000D5952" w:rsidRDefault="00C04C98" w:rsidP="00B706C5">
            <w:pPr>
              <w:pBdr>
                <w:top w:val="nil"/>
                <w:left w:val="nil"/>
                <w:bottom w:val="nil"/>
                <w:right w:val="nil"/>
                <w:between w:val="nil"/>
                <w:bar w:val="nil"/>
              </w:pBdr>
              <w:ind w:left="360"/>
              <w:jc w:val="both"/>
              <w:rPr>
                <w:rFonts w:ascii="Arial" w:hAnsi="Arial" w:cs="Arial"/>
                <w:noProof w:val="0"/>
              </w:rPr>
            </w:pPr>
            <w:r w:rsidRPr="000D5952">
              <w:rPr>
                <w:rFonts w:ascii="Arial" w:hAnsi="Arial" w:cs="Arial"/>
                <w:noProof w:val="0"/>
              </w:rPr>
              <w:t>Pat</w:t>
            </w:r>
            <w:r w:rsidR="00B46296" w:rsidRPr="000D5952">
              <w:rPr>
                <w:rFonts w:ascii="Arial" w:hAnsi="Arial" w:cs="Arial"/>
                <w:noProof w:val="0"/>
              </w:rPr>
              <w:t>iksli</w:t>
            </w:r>
            <w:r w:rsidRPr="000D5952">
              <w:rPr>
                <w:rFonts w:ascii="Arial" w:hAnsi="Arial" w:cs="Arial"/>
                <w:noProof w:val="0"/>
              </w:rPr>
              <w:t>nta</w:t>
            </w:r>
            <w:r w:rsidR="00B46296" w:rsidRPr="000D5952">
              <w:rPr>
                <w:rFonts w:ascii="Arial" w:hAnsi="Arial" w:cs="Arial"/>
                <w:noProof w:val="0"/>
              </w:rPr>
              <w:t xml:space="preserve"> techninė specifikacija</w:t>
            </w:r>
            <w:r w:rsidRPr="000D5952">
              <w:rPr>
                <w:rFonts w:ascii="Arial" w:hAnsi="Arial" w:cs="Arial"/>
                <w:noProof w:val="0"/>
              </w:rPr>
              <w:t xml:space="preserve"> pridedama</w:t>
            </w:r>
            <w:r w:rsidR="00B46296" w:rsidRPr="000D5952">
              <w:rPr>
                <w:rFonts w:ascii="Arial" w:hAnsi="Arial" w:cs="Arial"/>
                <w:noProof w:val="0"/>
              </w:rPr>
              <w:t xml:space="preserve">. </w:t>
            </w:r>
          </w:p>
          <w:p w14:paraId="30AD4632" w14:textId="0BF664D4" w:rsidR="000B0389" w:rsidRPr="000D5952" w:rsidRDefault="00470AEA" w:rsidP="00720603">
            <w:pPr>
              <w:pBdr>
                <w:top w:val="nil"/>
                <w:left w:val="nil"/>
                <w:bottom w:val="nil"/>
                <w:right w:val="nil"/>
                <w:between w:val="nil"/>
                <w:bar w:val="nil"/>
              </w:pBdr>
              <w:jc w:val="both"/>
              <w:rPr>
                <w:rFonts w:ascii="Arial" w:hAnsi="Arial" w:cs="Arial"/>
                <w:noProof w:val="0"/>
              </w:rPr>
            </w:pPr>
            <w:r w:rsidRPr="000D5952">
              <w:rPr>
                <w:rFonts w:ascii="Arial" w:hAnsi="Arial" w:cs="Arial"/>
                <w:noProof w:val="0"/>
              </w:rPr>
              <w:t xml:space="preserve">2. </w:t>
            </w:r>
            <w:r w:rsidR="00B46296" w:rsidRPr="000D5952">
              <w:rPr>
                <w:rFonts w:ascii="Arial" w:hAnsi="Arial" w:cs="Arial"/>
                <w:noProof w:val="0"/>
              </w:rPr>
              <w:t xml:space="preserve">Dėl </w:t>
            </w:r>
            <w:r w:rsidRPr="000D5952">
              <w:rPr>
                <w:rFonts w:ascii="Arial" w:hAnsi="Arial" w:cs="Arial"/>
                <w:noProof w:val="0"/>
              </w:rPr>
              <w:t>tiks</w:t>
            </w:r>
            <w:r w:rsidR="00720603" w:rsidRPr="000D5952">
              <w:rPr>
                <w:rFonts w:ascii="Arial" w:hAnsi="Arial" w:cs="Arial"/>
                <w:noProof w:val="0"/>
              </w:rPr>
              <w:t>l</w:t>
            </w:r>
            <w:r w:rsidRPr="000D5952">
              <w:rPr>
                <w:rFonts w:ascii="Arial" w:hAnsi="Arial" w:cs="Arial"/>
                <w:noProof w:val="0"/>
              </w:rPr>
              <w:t xml:space="preserve">ios </w:t>
            </w:r>
            <w:r w:rsidR="00B46296" w:rsidRPr="000D5952">
              <w:rPr>
                <w:rFonts w:ascii="Arial" w:hAnsi="Arial" w:cs="Arial"/>
                <w:noProof w:val="0"/>
              </w:rPr>
              <w:t>vietos ir matmenų</w:t>
            </w:r>
            <w:r w:rsidRPr="000D5952">
              <w:rPr>
                <w:rFonts w:ascii="Arial" w:hAnsi="Arial" w:cs="Arial"/>
                <w:noProof w:val="0"/>
              </w:rPr>
              <w:t xml:space="preserve"> nurodymo</w:t>
            </w:r>
            <w:r w:rsidR="00B46296" w:rsidRPr="000D5952">
              <w:rPr>
                <w:rFonts w:ascii="Arial" w:hAnsi="Arial" w:cs="Arial"/>
                <w:noProof w:val="0"/>
              </w:rPr>
              <w:t xml:space="preserve"> P</w:t>
            </w:r>
            <w:r w:rsidR="00BD651E" w:rsidRPr="000D5952">
              <w:rPr>
                <w:rFonts w:ascii="Arial" w:hAnsi="Arial" w:cs="Arial"/>
                <w:noProof w:val="0"/>
              </w:rPr>
              <w:t>erkančioji organizacija</w:t>
            </w:r>
            <w:r w:rsidR="00B46296" w:rsidRPr="000D5952">
              <w:rPr>
                <w:rFonts w:ascii="Arial" w:hAnsi="Arial" w:cs="Arial"/>
                <w:noProof w:val="0"/>
              </w:rPr>
              <w:t xml:space="preserve"> iš dalies suti</w:t>
            </w:r>
            <w:r w:rsidR="00720603" w:rsidRPr="000D5952">
              <w:rPr>
                <w:rFonts w:ascii="Arial" w:hAnsi="Arial" w:cs="Arial"/>
                <w:noProof w:val="0"/>
              </w:rPr>
              <w:t>n</w:t>
            </w:r>
            <w:r w:rsidR="00B46296" w:rsidRPr="000D5952">
              <w:rPr>
                <w:rFonts w:ascii="Arial" w:hAnsi="Arial" w:cs="Arial"/>
                <w:noProof w:val="0"/>
              </w:rPr>
              <w:t>ka</w:t>
            </w:r>
            <w:r w:rsidR="00776AEE" w:rsidRPr="000D5952">
              <w:rPr>
                <w:rFonts w:ascii="Arial" w:hAnsi="Arial" w:cs="Arial"/>
                <w:noProof w:val="0"/>
              </w:rPr>
              <w:t xml:space="preserve"> su T</w:t>
            </w:r>
            <w:r w:rsidR="000B0389" w:rsidRPr="000D5952">
              <w:rPr>
                <w:rFonts w:ascii="Arial" w:hAnsi="Arial" w:cs="Arial"/>
                <w:noProof w:val="0"/>
              </w:rPr>
              <w:t>ie</w:t>
            </w:r>
            <w:r w:rsidR="00776AEE" w:rsidRPr="000D5952">
              <w:rPr>
                <w:rFonts w:ascii="Arial" w:hAnsi="Arial" w:cs="Arial"/>
                <w:noProof w:val="0"/>
              </w:rPr>
              <w:t xml:space="preserve">kėjo </w:t>
            </w:r>
            <w:r w:rsidR="000B0389" w:rsidRPr="000D5952">
              <w:rPr>
                <w:rFonts w:ascii="Arial" w:hAnsi="Arial" w:cs="Arial"/>
                <w:noProof w:val="0"/>
              </w:rPr>
              <w:t>pastaba</w:t>
            </w:r>
            <w:r w:rsidR="00687814" w:rsidRPr="000D5952">
              <w:rPr>
                <w:rFonts w:ascii="Arial" w:hAnsi="Arial" w:cs="Arial"/>
                <w:noProof w:val="0"/>
              </w:rPr>
              <w:t xml:space="preserve"> ir </w:t>
            </w:r>
            <w:r w:rsidR="000B0389" w:rsidRPr="000D5952">
              <w:rPr>
                <w:rFonts w:ascii="Arial" w:hAnsi="Arial" w:cs="Arial"/>
                <w:noProof w:val="0"/>
              </w:rPr>
              <w:t>patikslino</w:t>
            </w:r>
            <w:r w:rsidR="00687814" w:rsidRPr="000D5952">
              <w:rPr>
                <w:rFonts w:ascii="Arial" w:hAnsi="Arial" w:cs="Arial"/>
                <w:noProof w:val="0"/>
              </w:rPr>
              <w:t xml:space="preserve"> Techninę specifikaciją. </w:t>
            </w:r>
          </w:p>
          <w:p w14:paraId="7C646E90" w14:textId="77777777" w:rsidR="000B0389" w:rsidRPr="000D5952" w:rsidRDefault="00720603" w:rsidP="00720603">
            <w:pPr>
              <w:pBdr>
                <w:top w:val="nil"/>
                <w:left w:val="nil"/>
                <w:bottom w:val="nil"/>
                <w:right w:val="nil"/>
                <w:between w:val="nil"/>
                <w:bar w:val="nil"/>
              </w:pBdr>
              <w:jc w:val="both"/>
              <w:rPr>
                <w:rFonts w:ascii="Arial" w:hAnsi="Arial" w:cs="Arial"/>
                <w:noProof w:val="0"/>
              </w:rPr>
            </w:pPr>
            <w:r w:rsidRPr="000D5952">
              <w:rPr>
                <w:rFonts w:ascii="Arial" w:hAnsi="Arial" w:cs="Arial"/>
                <w:noProof w:val="0"/>
              </w:rPr>
              <w:t>P</w:t>
            </w:r>
            <w:r w:rsidR="00776AEE" w:rsidRPr="000D5952">
              <w:rPr>
                <w:rFonts w:ascii="Arial" w:hAnsi="Arial" w:cs="Arial"/>
                <w:noProof w:val="0"/>
              </w:rPr>
              <w:t xml:space="preserve">ažymime, kad </w:t>
            </w:r>
            <w:r w:rsidR="00B46296" w:rsidRPr="000D5952">
              <w:rPr>
                <w:rFonts w:ascii="Arial" w:hAnsi="Arial" w:cs="Arial"/>
                <w:noProof w:val="0"/>
              </w:rPr>
              <w:t xml:space="preserve">Užsakovas </w:t>
            </w:r>
            <w:r w:rsidR="00687814" w:rsidRPr="000D5952">
              <w:rPr>
                <w:rFonts w:ascii="Arial" w:hAnsi="Arial" w:cs="Arial"/>
                <w:noProof w:val="0"/>
              </w:rPr>
              <w:t>neprašo paslaugos Teikėjo atlikti Statinio projekto eksperto paslaugų</w:t>
            </w:r>
            <w:r w:rsidRPr="000D5952">
              <w:rPr>
                <w:rFonts w:ascii="Arial" w:hAnsi="Arial" w:cs="Arial"/>
                <w:noProof w:val="0"/>
              </w:rPr>
              <w:t xml:space="preserve"> ir tikrinti statinių ar jų elementų techninių parametrų</w:t>
            </w:r>
            <w:r w:rsidR="00687814" w:rsidRPr="000D5952">
              <w:rPr>
                <w:rFonts w:ascii="Arial" w:hAnsi="Arial" w:cs="Arial"/>
                <w:noProof w:val="0"/>
              </w:rPr>
              <w:t xml:space="preserve">, </w:t>
            </w:r>
            <w:r w:rsidRPr="000D5952">
              <w:rPr>
                <w:rFonts w:ascii="Arial" w:hAnsi="Arial" w:cs="Arial"/>
                <w:noProof w:val="0"/>
              </w:rPr>
              <w:t xml:space="preserve">tačiau </w:t>
            </w:r>
            <w:r w:rsidR="00687814" w:rsidRPr="000D5952">
              <w:rPr>
                <w:rFonts w:ascii="Arial" w:hAnsi="Arial" w:cs="Arial"/>
                <w:noProof w:val="0"/>
              </w:rPr>
              <w:t>jei yra nustatoma eismo saugos problema</w:t>
            </w:r>
            <w:r w:rsidRPr="000D5952">
              <w:rPr>
                <w:rFonts w:ascii="Arial" w:hAnsi="Arial" w:cs="Arial"/>
                <w:noProof w:val="0"/>
              </w:rPr>
              <w:t>,</w:t>
            </w:r>
            <w:r w:rsidR="00687814" w:rsidRPr="000D5952">
              <w:rPr>
                <w:rFonts w:ascii="Arial" w:hAnsi="Arial" w:cs="Arial"/>
                <w:noProof w:val="0"/>
              </w:rPr>
              <w:t xml:space="preserve"> susijusi su tam tikra vieta ir </w:t>
            </w:r>
            <w:r w:rsidRPr="000D5952">
              <w:rPr>
                <w:rFonts w:ascii="Arial" w:hAnsi="Arial" w:cs="Arial"/>
                <w:noProof w:val="0"/>
              </w:rPr>
              <w:t xml:space="preserve">tam tikrais </w:t>
            </w:r>
            <w:r w:rsidR="00687814" w:rsidRPr="000D5952">
              <w:rPr>
                <w:rFonts w:ascii="Arial" w:hAnsi="Arial" w:cs="Arial"/>
                <w:noProof w:val="0"/>
              </w:rPr>
              <w:t>elem</w:t>
            </w:r>
            <w:r w:rsidRPr="000D5952">
              <w:rPr>
                <w:rFonts w:ascii="Arial" w:hAnsi="Arial" w:cs="Arial"/>
                <w:noProof w:val="0"/>
              </w:rPr>
              <w:t>e</w:t>
            </w:r>
            <w:r w:rsidR="00687814" w:rsidRPr="000D5952">
              <w:rPr>
                <w:rFonts w:ascii="Arial" w:hAnsi="Arial" w:cs="Arial"/>
                <w:noProof w:val="0"/>
              </w:rPr>
              <w:t>ntų matmenimis</w:t>
            </w:r>
            <w:r w:rsidRPr="000D5952">
              <w:rPr>
                <w:rFonts w:ascii="Arial" w:hAnsi="Arial" w:cs="Arial"/>
                <w:noProof w:val="0"/>
              </w:rPr>
              <w:t xml:space="preserve"> ar kitais parametrais</w:t>
            </w:r>
            <w:r w:rsidR="00687814" w:rsidRPr="000D5952">
              <w:rPr>
                <w:rFonts w:ascii="Arial" w:hAnsi="Arial" w:cs="Arial"/>
                <w:noProof w:val="0"/>
              </w:rPr>
              <w:t xml:space="preserve">, kurie yra netinkami ir </w:t>
            </w:r>
            <w:r w:rsidRPr="000D5952">
              <w:rPr>
                <w:rFonts w:ascii="Arial" w:hAnsi="Arial" w:cs="Arial"/>
                <w:noProof w:val="0"/>
              </w:rPr>
              <w:t>dėl to</w:t>
            </w:r>
            <w:r w:rsidR="00687814" w:rsidRPr="000D5952">
              <w:rPr>
                <w:rFonts w:ascii="Arial" w:hAnsi="Arial" w:cs="Arial"/>
                <w:noProof w:val="0"/>
              </w:rPr>
              <w:t xml:space="preserve"> sudaro eismo saugos probl</w:t>
            </w:r>
            <w:r w:rsidRPr="000D5952">
              <w:rPr>
                <w:rFonts w:ascii="Arial" w:hAnsi="Arial" w:cs="Arial"/>
                <w:noProof w:val="0"/>
              </w:rPr>
              <w:t>e</w:t>
            </w:r>
            <w:r w:rsidR="00687814" w:rsidRPr="000D5952">
              <w:rPr>
                <w:rFonts w:ascii="Arial" w:hAnsi="Arial" w:cs="Arial"/>
                <w:noProof w:val="0"/>
              </w:rPr>
              <w:t>mą</w:t>
            </w:r>
            <w:r w:rsidRPr="000D5952">
              <w:rPr>
                <w:rFonts w:ascii="Arial" w:hAnsi="Arial" w:cs="Arial"/>
                <w:noProof w:val="0"/>
              </w:rPr>
              <w:t>,</w:t>
            </w:r>
            <w:r w:rsidR="00687814" w:rsidRPr="000D5952">
              <w:rPr>
                <w:rFonts w:ascii="Arial" w:hAnsi="Arial" w:cs="Arial"/>
                <w:noProof w:val="0"/>
              </w:rPr>
              <w:t xml:space="preserve"> </w:t>
            </w:r>
            <w:r w:rsidRPr="000D5952">
              <w:rPr>
                <w:rFonts w:ascii="Arial" w:hAnsi="Arial" w:cs="Arial"/>
                <w:noProof w:val="0"/>
              </w:rPr>
              <w:t xml:space="preserve">paslaugos Teikėjo </w:t>
            </w:r>
            <w:r w:rsidR="00687814" w:rsidRPr="000D5952">
              <w:rPr>
                <w:rFonts w:ascii="Arial" w:hAnsi="Arial" w:cs="Arial"/>
                <w:noProof w:val="0"/>
              </w:rPr>
              <w:t xml:space="preserve">yra prašoma, konkrečiai nurodyti eismo saugos trūkumą. </w:t>
            </w:r>
            <w:r w:rsidRPr="000D5952">
              <w:rPr>
                <w:rFonts w:ascii="Arial" w:hAnsi="Arial" w:cs="Arial"/>
                <w:noProof w:val="0"/>
              </w:rPr>
              <w:t xml:space="preserve">Pirkėjas negali svarstyti problemų ir objektyviai įvertinti trūkumo pagrįstumo bei priimti sprendimo, kai trūkumas įvardintas kaip, „galimai per aukštas“, „galimai užstos matomumą“, „galimai ribos judėjimą“. </w:t>
            </w:r>
          </w:p>
          <w:p w14:paraId="59905211" w14:textId="20A53163" w:rsidR="00776AEE" w:rsidRPr="000D5952" w:rsidRDefault="00687814" w:rsidP="00720603">
            <w:pPr>
              <w:pBdr>
                <w:top w:val="nil"/>
                <w:left w:val="nil"/>
                <w:bottom w:val="nil"/>
                <w:right w:val="nil"/>
                <w:between w:val="nil"/>
                <w:bar w:val="nil"/>
              </w:pBdr>
              <w:jc w:val="both"/>
              <w:rPr>
                <w:rFonts w:ascii="Arial" w:hAnsi="Arial" w:cs="Arial"/>
                <w:noProof w:val="0"/>
              </w:rPr>
            </w:pPr>
            <w:r w:rsidRPr="000D5952">
              <w:rPr>
                <w:rFonts w:ascii="Arial" w:hAnsi="Arial" w:cs="Arial"/>
                <w:noProof w:val="0"/>
              </w:rPr>
              <w:t>Jei paslaugos</w:t>
            </w:r>
            <w:r w:rsidR="00720603" w:rsidRPr="000D5952">
              <w:rPr>
                <w:rFonts w:ascii="Arial" w:hAnsi="Arial" w:cs="Arial"/>
                <w:noProof w:val="0"/>
              </w:rPr>
              <w:t xml:space="preserve"> T</w:t>
            </w:r>
            <w:r w:rsidRPr="000D5952">
              <w:rPr>
                <w:rFonts w:ascii="Arial" w:hAnsi="Arial" w:cs="Arial"/>
                <w:noProof w:val="0"/>
              </w:rPr>
              <w:t>eikėjas negali konkrečiai nurodyti eismo saugai pavojų keliančio trūkumo vietos ar netinkamo jo matmens ar kt. parametrų, Pirkėjo nuomone toks trūkumas neturėtų būti apkritai įvardintas</w:t>
            </w:r>
            <w:r w:rsidR="00720603" w:rsidRPr="000D5952">
              <w:rPr>
                <w:rFonts w:ascii="Arial" w:hAnsi="Arial" w:cs="Arial"/>
                <w:noProof w:val="0"/>
              </w:rPr>
              <w:t>, kaip keliantis pavojų eismo saugai</w:t>
            </w:r>
            <w:r w:rsidRPr="000D5952">
              <w:rPr>
                <w:rFonts w:ascii="Arial" w:hAnsi="Arial" w:cs="Arial"/>
                <w:noProof w:val="0"/>
              </w:rPr>
              <w:t xml:space="preserve">. Jei </w:t>
            </w:r>
            <w:r w:rsidR="00720603" w:rsidRPr="000D5952">
              <w:rPr>
                <w:rFonts w:ascii="Arial" w:hAnsi="Arial" w:cs="Arial"/>
                <w:noProof w:val="0"/>
              </w:rPr>
              <w:t xml:space="preserve">paslaugos Teikėjas pastebi, kad </w:t>
            </w:r>
            <w:r w:rsidRPr="000D5952">
              <w:rPr>
                <w:rFonts w:ascii="Arial" w:hAnsi="Arial" w:cs="Arial"/>
                <w:noProof w:val="0"/>
              </w:rPr>
              <w:t>nustatytas trūkumas, keliantis pavojų eismo saugai</w:t>
            </w:r>
            <w:r w:rsidR="00720603" w:rsidRPr="000D5952">
              <w:rPr>
                <w:rFonts w:ascii="Arial" w:hAnsi="Arial" w:cs="Arial"/>
                <w:noProof w:val="0"/>
              </w:rPr>
              <w:t>,</w:t>
            </w:r>
            <w:r w:rsidRPr="000D5952">
              <w:rPr>
                <w:rFonts w:ascii="Arial" w:hAnsi="Arial" w:cs="Arial"/>
                <w:noProof w:val="0"/>
              </w:rPr>
              <w:t xml:space="preserve"> kartojasi visame ruože, pvz. viso ruožo atitvarai parinkti netinkamų parametrų, visame ruože nėra numatyta taktilinių paviršių, visose nuovažose nėra numatyta taktilinių pav., tuomet trūkumo vietos įvardinimas gali būti  ap</w:t>
            </w:r>
            <w:r w:rsidR="00720603" w:rsidRPr="000D5952">
              <w:rPr>
                <w:rFonts w:ascii="Arial" w:hAnsi="Arial" w:cs="Arial"/>
                <w:noProof w:val="0"/>
              </w:rPr>
              <w:t>i</w:t>
            </w:r>
            <w:r w:rsidRPr="000D5952">
              <w:rPr>
                <w:rFonts w:ascii="Arial" w:hAnsi="Arial" w:cs="Arial"/>
                <w:noProof w:val="0"/>
              </w:rPr>
              <w:t xml:space="preserve">bendrintas ir nekonkretizuotas. </w:t>
            </w:r>
          </w:p>
          <w:p w14:paraId="358E023C" w14:textId="1E3F34CA" w:rsidR="00B46296" w:rsidRPr="000D5952" w:rsidRDefault="00BB771A" w:rsidP="00BB771A">
            <w:pPr>
              <w:pBdr>
                <w:top w:val="nil"/>
                <w:left w:val="nil"/>
                <w:bottom w:val="nil"/>
                <w:right w:val="nil"/>
                <w:between w:val="nil"/>
                <w:bar w:val="nil"/>
              </w:pBdr>
              <w:jc w:val="both"/>
              <w:rPr>
                <w:rFonts w:ascii="Arial" w:hAnsi="Arial" w:cs="Arial"/>
                <w:noProof w:val="0"/>
              </w:rPr>
            </w:pPr>
            <w:r w:rsidRPr="000D5952">
              <w:rPr>
                <w:rFonts w:ascii="Arial" w:hAnsi="Arial" w:cs="Arial"/>
                <w:noProof w:val="0"/>
              </w:rPr>
              <w:t>Patikslinta Techninė specifikacija pridedama.</w:t>
            </w:r>
          </w:p>
          <w:p w14:paraId="74D60E9C" w14:textId="5B5C951B" w:rsidR="00BB771A" w:rsidRPr="000D5952" w:rsidRDefault="00BB771A" w:rsidP="00BB771A">
            <w:pPr>
              <w:pBdr>
                <w:top w:val="nil"/>
                <w:left w:val="nil"/>
                <w:bottom w:val="nil"/>
                <w:right w:val="nil"/>
                <w:between w:val="nil"/>
                <w:bar w:val="nil"/>
              </w:pBdr>
              <w:jc w:val="both"/>
              <w:rPr>
                <w:rFonts w:ascii="Arial" w:hAnsi="Arial" w:cs="Arial"/>
                <w:noProof w:val="0"/>
              </w:rPr>
            </w:pPr>
          </w:p>
        </w:tc>
      </w:tr>
      <w:tr w:rsidR="00D5574D" w:rsidRPr="000D5952" w14:paraId="795A2DE9" w14:textId="77777777" w:rsidTr="0066591D">
        <w:trPr>
          <w:trHeight w:val="2126"/>
        </w:trPr>
        <w:tc>
          <w:tcPr>
            <w:tcW w:w="664" w:type="dxa"/>
          </w:tcPr>
          <w:p w14:paraId="3EEEDA0E" w14:textId="06774C3C" w:rsidR="00D5574D" w:rsidRPr="000D5952" w:rsidRDefault="00D5574D" w:rsidP="00A17F02">
            <w:pPr>
              <w:spacing w:after="0" w:line="240" w:lineRule="auto"/>
              <w:jc w:val="both"/>
              <w:rPr>
                <w:rFonts w:ascii="Arial" w:eastAsia="Times New Roman" w:hAnsi="Arial" w:cs="Arial"/>
                <w:b/>
                <w:bCs/>
                <w:noProof w:val="0"/>
                <w:kern w:val="0"/>
                <w:lang w:eastAsia="lt-LT"/>
              </w:rPr>
            </w:pPr>
            <w:r w:rsidRPr="000D5952">
              <w:rPr>
                <w:rFonts w:ascii="Arial" w:eastAsia="Times New Roman" w:hAnsi="Arial" w:cs="Arial"/>
                <w:b/>
                <w:bCs/>
                <w:noProof w:val="0"/>
                <w:kern w:val="0"/>
                <w:lang w:eastAsia="lt-LT"/>
              </w:rPr>
              <w:t>3.</w:t>
            </w:r>
          </w:p>
        </w:tc>
        <w:tc>
          <w:tcPr>
            <w:tcW w:w="4603" w:type="dxa"/>
          </w:tcPr>
          <w:p w14:paraId="26CDBAD5" w14:textId="77777777" w:rsidR="00F87642" w:rsidRPr="000D5952" w:rsidRDefault="004D53EE" w:rsidP="004D53EE">
            <w:pPr>
              <w:jc w:val="both"/>
              <w:rPr>
                <w:rFonts w:ascii="Arial" w:hAnsi="Arial" w:cs="Arial"/>
                <w:noProof w:val="0"/>
              </w:rPr>
            </w:pPr>
            <w:r w:rsidRPr="000D5952">
              <w:rPr>
                <w:rFonts w:ascii="Arial" w:hAnsi="Arial" w:cs="Arial"/>
                <w:noProof w:val="0"/>
              </w:rPr>
              <w:t xml:space="preserve">Viešojo pirkimo specialiųjų sąlygų sutarties projekte kai kurios sąlygos dėl sutarties nutraukimo yra ženkliai per griežtos ir numatomos baudos yra neproporcingos padarytam nusižengimui. Pavyzdžiui, yra nurodyta, kad nutraukus Sutartį dėl esminio Sutarties pažeidimo, nustatyto Sutarties Specialiosiose sąlygose, mokama 10 procentų dydžio bauda nuo Pradinės Sutarties vertės be PVM, nurodytos Specialiųjų sąlygų 5.2 punkte. </w:t>
            </w:r>
          </w:p>
          <w:p w14:paraId="4ABA07E6" w14:textId="60AB4D9F" w:rsidR="004D53EE" w:rsidRPr="000D5952" w:rsidRDefault="004D53EE" w:rsidP="004D53EE">
            <w:pPr>
              <w:jc w:val="both"/>
              <w:rPr>
                <w:rFonts w:ascii="Arial" w:hAnsi="Arial" w:cs="Arial"/>
                <w:noProof w:val="0"/>
                <w:color w:val="FF0000"/>
              </w:rPr>
            </w:pPr>
            <w:r w:rsidRPr="000D5952">
              <w:rPr>
                <w:rFonts w:ascii="Arial" w:hAnsi="Arial" w:cs="Arial"/>
                <w:noProof w:val="0"/>
              </w:rPr>
              <w:t xml:space="preserve">Prie esminių sutarties pažeidimų yra nurodyta, jeigu Tiekėjas nesilaiko Sutartyje nustatytų Paslaugų teikimo terminų 2 (du) kartus iš eilės arba vėluoja suteikti Paslaugas daugiau nei 60 (šešiasdešimt) dienų nuo Sutartyje nustatyto Paslaugų suteikimo termino. Tokiu atveju net vienos dienos vėlavimas du kartus iš eilės gali lemti sutarties nutraukimą ir itin didele baudą, lyginant su paslaugos (už du objektus) verte. Tokiu būdu sumokėtas baudos dydis galėtų  būti  lygus ar netgi didesnis nei visa per sutarties vykdymo laikotarpį aktuojama suma už faktiškai atliktas paslaugas. Be to, vienos dienos vėlavimas du kartus yra sąlyginai mažareikšmis nusižengimas, kad būtų laikytinas esminiu sutarties pažeidimu, dėl kurio būtų būtinybė nutraukti sutartį. Kitas nurodytas esminis sutarties pažeidimas – Tiekėjas daugiau kaip 2 (du) kartus suteikia Paslaugas, kurios neatitinka Sutartyje ir (ar) įstatymuose nustatytų reikalavimų Paslaugoms. Techninėje specifikacijoje įtrauktas perteklinis reikalavimas dėl </w:t>
            </w:r>
            <w:r w:rsidRPr="000D5952">
              <w:rPr>
                <w:rFonts w:ascii="Arial" w:hAnsi="Arial" w:cs="Arial"/>
                <w:noProof w:val="0"/>
              </w:rPr>
              <w:lastRenderedPageBreak/>
              <w:t xml:space="preserve">konkrečių trūkumo vietų, jei trūkumas nustatytas dėl netinkamų matmenų, bei nustatytų trūkumo matmenų nurodymo. Tad gali susidaryti situacijos, kuomet tiekėjas dėl žmogiškosios klaidos nepastebės atskiros nustatyto trūkumo vietos, todėl dėl tokio mažareikšmio nusižengimo, numatyta bauda būtų neproporcingai didelė. Siūloma panaikinti 10 (dešimt) procentų dydžio baudą nuo Pradinės Sutarties vertės, kuri būtų skiriama nutraukus Sutartį dėl esminio Sutarties pažeidimo, susijusio Sutartyje nustatytų Paslaugų teikimo terminų nesilaikymu 2 (du) kartus iš eilės. Be to, siūlome aiškiai apibrėžti, kokie Sutarties nustatyti reikalavimai paslaugoms yra esminiai, bei gali lemti tokią didelę baudą bei sutarties nutraukimą. Rekomenduojame taikyti įprastai taikomą praktiką, kad vėluojant teikti paslaugas, būtų mokami santykinai didesni delspinigiai nuo neįvykdyto užsakymo vertės arba santykinai mažesni delspinigiai skaičiuojant nuo visos sutarties sumos. Bet kuriuo atveju, neturėtų būti situacijos, kuomet vienos ar kelių dienų vėlavimas yra prilyginamas esminiam sutarties pažeidimui ir yra įkainojamas iki 60000 Eur bauda, kuomet paslaugos kaina yra apie 1000-1500 Eur. Analogiškai ir su delspinigių skaičiavimu – vienos ar kelių dienų vėlavimas (nebūtinai dėl tiekėjo kaltės) neturėtų būti įkainojamas visos paslaugos dydžio bauda. </w:t>
            </w:r>
          </w:p>
          <w:p w14:paraId="6C301064" w14:textId="77777777" w:rsidR="00D5574D" w:rsidRPr="000D5952" w:rsidRDefault="00D5574D" w:rsidP="003513FF">
            <w:pPr>
              <w:pStyle w:val="Sraopastraipa"/>
              <w:spacing w:after="0"/>
              <w:ind w:left="-70"/>
              <w:jc w:val="both"/>
              <w:rPr>
                <w:rFonts w:ascii="Arial" w:hAnsi="Arial" w:cs="Arial"/>
                <w:noProof w:val="0"/>
              </w:rPr>
            </w:pPr>
          </w:p>
        </w:tc>
        <w:tc>
          <w:tcPr>
            <w:tcW w:w="4252" w:type="dxa"/>
          </w:tcPr>
          <w:p w14:paraId="4D776F24" w14:textId="77777777" w:rsidR="006846D2" w:rsidRPr="000D5952" w:rsidRDefault="006846D2" w:rsidP="006846D2">
            <w:pPr>
              <w:pStyle w:val="prastasiniatinklio"/>
              <w:jc w:val="both"/>
              <w:rPr>
                <w:rFonts w:ascii="Arial" w:hAnsi="Arial" w:cs="Arial"/>
                <w:sz w:val="22"/>
                <w:szCs w:val="22"/>
              </w:rPr>
            </w:pPr>
            <w:r w:rsidRPr="000D5952">
              <w:rPr>
                <w:rFonts w:ascii="Arial" w:hAnsi="Arial" w:cs="Arial"/>
                <w:sz w:val="22"/>
                <w:szCs w:val="22"/>
              </w:rPr>
              <w:lastRenderedPageBreak/>
              <w:t>Perkančioji organizacija paaiškina, jog Sutarties specialiosiose sąlygose numatyti esminiai Sutarties pažeidimai yra tiesiogiai perkelti iš Viešųjų pirkimų tarnybos direktoriaus 2024 m. gruodžio 30 d. įsakymu Nr. 1S-209 patvirtintų paslaugų viešojo pirkimo – pardavimo sutarties tipinių sąlygų (toliau – tipinės sąlygos), kurios yra privalomos nuo 2025 m. kovo 1 d. visoms perkančiosioms organizacijoms, vykdančioms pirkimus pagal LR Viešųjų pirkimų įstatymą (toliau – LR VPĮ). Tipinės sąlygos yra standartizuotos, siekiant užtikrinti vienodą praktiką, skaidrumą ir teisinį aiškumą.</w:t>
            </w:r>
          </w:p>
          <w:p w14:paraId="786722E6" w14:textId="015B16AD" w:rsidR="006846D2" w:rsidRPr="000D5952" w:rsidRDefault="006846D2" w:rsidP="006846D2">
            <w:pPr>
              <w:pStyle w:val="prastasiniatinklio"/>
              <w:jc w:val="both"/>
              <w:rPr>
                <w:rFonts w:ascii="Arial" w:hAnsi="Arial" w:cs="Arial"/>
                <w:sz w:val="22"/>
                <w:szCs w:val="22"/>
              </w:rPr>
            </w:pPr>
            <w:r w:rsidRPr="000D5952">
              <w:rPr>
                <w:rFonts w:ascii="Arial" w:hAnsi="Arial" w:cs="Arial"/>
                <w:sz w:val="22"/>
                <w:szCs w:val="22"/>
              </w:rPr>
              <w:t>Viešųjų pirkimų tarnyba (VPT) šias sąlygas parengė remdamasi gerąja praktika ir LAT jurisprudencija, todėl Perkančioji organizacija yra saistoma VPT patvirtintų privalomų naudoti Tipinių s</w:t>
            </w:r>
            <w:r w:rsidR="00BD651E" w:rsidRPr="000D5952">
              <w:rPr>
                <w:rFonts w:ascii="Arial" w:hAnsi="Arial" w:cs="Arial"/>
                <w:sz w:val="22"/>
                <w:szCs w:val="22"/>
              </w:rPr>
              <w:t>a</w:t>
            </w:r>
            <w:r w:rsidRPr="000D5952">
              <w:rPr>
                <w:rFonts w:ascii="Arial" w:hAnsi="Arial" w:cs="Arial"/>
                <w:sz w:val="22"/>
                <w:szCs w:val="22"/>
              </w:rPr>
              <w:t>lygų ir jų keitimas iš esmės būtų teisės aktų pažeidimas.</w:t>
            </w:r>
          </w:p>
          <w:p w14:paraId="27B2D55B" w14:textId="77777777" w:rsidR="006846D2" w:rsidRPr="000D5952" w:rsidRDefault="006846D2" w:rsidP="006846D2">
            <w:pPr>
              <w:pStyle w:val="prastasiniatinklio"/>
              <w:jc w:val="both"/>
              <w:rPr>
                <w:rFonts w:ascii="Arial" w:hAnsi="Arial" w:cs="Arial"/>
                <w:sz w:val="22"/>
                <w:szCs w:val="22"/>
              </w:rPr>
            </w:pPr>
            <w:r w:rsidRPr="000D5952">
              <w:rPr>
                <w:rFonts w:ascii="Arial" w:hAnsi="Arial" w:cs="Arial"/>
                <w:sz w:val="22"/>
                <w:szCs w:val="22"/>
              </w:rPr>
              <w:t>Perkančioji organizacija vykdo pirkimą būdama suinteresuota gauti kokybiškas paslaugas su Tiekėju sutartais terminais. Tiekėjas taip pat yra suinteresuotas savo pateikto pasiūlymo laimėjimu, Sutarties galiojimu ir vykdymu, kokybišku paslaugų suteikimu ir užmokesčio už tinkamai ir laiku suteiktas paslaugas gavimu. Tipinės sąlygos leidžia Perkančiajai organizacijai </w:t>
            </w:r>
            <w:r w:rsidRPr="000D5952">
              <w:rPr>
                <w:rStyle w:val="Grietas"/>
                <w:rFonts w:ascii="Arial" w:eastAsiaTheme="majorEastAsia" w:hAnsi="Arial" w:cs="Arial"/>
                <w:sz w:val="22"/>
                <w:szCs w:val="22"/>
              </w:rPr>
              <w:t>užtikrinti paslaugų kokybę</w:t>
            </w:r>
            <w:r w:rsidRPr="000D5952">
              <w:rPr>
                <w:rFonts w:ascii="Arial" w:hAnsi="Arial" w:cs="Arial"/>
                <w:sz w:val="22"/>
                <w:szCs w:val="22"/>
              </w:rPr>
              <w:t xml:space="preserve">, o Tiekėjas turi pareigą užtikrinti, </w:t>
            </w:r>
            <w:r w:rsidRPr="000D5952">
              <w:rPr>
                <w:rFonts w:ascii="Arial" w:hAnsi="Arial" w:cs="Arial"/>
                <w:sz w:val="22"/>
                <w:szCs w:val="22"/>
              </w:rPr>
              <w:lastRenderedPageBreak/>
              <w:t>kad Paslaugos atitiktų techninę specifikaciją.</w:t>
            </w:r>
          </w:p>
          <w:p w14:paraId="7D0C32D0" w14:textId="2DC91833" w:rsidR="006846D2" w:rsidRPr="000D5952" w:rsidRDefault="006846D2" w:rsidP="006846D2">
            <w:pPr>
              <w:pStyle w:val="prastasiniatinklio"/>
              <w:jc w:val="both"/>
              <w:rPr>
                <w:rFonts w:ascii="Arial" w:hAnsi="Arial" w:cs="Arial"/>
                <w:sz w:val="22"/>
                <w:szCs w:val="22"/>
              </w:rPr>
            </w:pPr>
            <w:r w:rsidRPr="000D5952">
              <w:rPr>
                <w:rFonts w:ascii="Arial" w:hAnsi="Arial" w:cs="Arial"/>
                <w:sz w:val="22"/>
                <w:szCs w:val="22"/>
              </w:rPr>
              <w:t>Perkančioji organizacija siekia sudaryti Sutartį tikslu ne kuo griežčiau nubausti Tiekėją ar Sutartį nutraukti dėl mažereikšmės Tiekėjo klaidos, neapdairumo ar dėl aplinkybių apskritai nepriklausančių nuo Tiekėjo. Žmogiškosios klaidos gali būti toleruojamos, tačiau pasikartojantys pažeidimai rodo Tiekėjo negebėjimą užtikrinti kokybės kontrolės. Taip pat nors vienos dienos vėlavimas gali atrodyti formaliai nežymus, Sutarties sąlygose aiškiai apibrėžta, kad du kartus iš eilės vėluojant – tai laikoma esminiu pažeidimu. Tačiau atkreipiame Tiekėjo dėmesį, jog Tiekėjo nurodoma bauda  yra prevencinė priemonė, skirta atgrasyti tiekėjus nuo esminių Sutarties pažeidimų, užtikrinti Paslaugų teikimo drausmę. Esminiu Sutarties pažeidimu nėra laikomos nežymios klaidos, o </w:t>
            </w:r>
            <w:r w:rsidRPr="000D5952">
              <w:rPr>
                <w:rStyle w:val="Grietas"/>
                <w:rFonts w:ascii="Arial" w:eastAsiaTheme="majorEastAsia" w:hAnsi="Arial" w:cs="Arial"/>
                <w:sz w:val="22"/>
                <w:szCs w:val="22"/>
              </w:rPr>
              <w:t>sistemingas kokybės nesilaikymas.</w:t>
            </w:r>
          </w:p>
          <w:p w14:paraId="6DBD86A9" w14:textId="77777777" w:rsidR="00BD651E" w:rsidRPr="000D5952" w:rsidRDefault="006846D2" w:rsidP="006846D2">
            <w:pPr>
              <w:pStyle w:val="prastasiniatinklio"/>
              <w:jc w:val="both"/>
              <w:rPr>
                <w:rFonts w:ascii="Arial" w:hAnsi="Arial" w:cs="Arial"/>
                <w:sz w:val="22"/>
                <w:szCs w:val="22"/>
              </w:rPr>
            </w:pPr>
            <w:r w:rsidRPr="000D5952">
              <w:rPr>
                <w:rFonts w:ascii="Arial" w:hAnsi="Arial" w:cs="Arial"/>
                <w:sz w:val="22"/>
                <w:szCs w:val="22"/>
              </w:rPr>
              <w:t xml:space="preserve">Perkančioji organizacija, norėdama taikyti Sutarties nutraukimo institutą, yra saistoma Lietuvos Aukščiausiojo Teismo (LAT) jurisprudencijoje nustatytų taisyklių. LAT yra aiškiai pasisakęs, jog Sutarties nutraukimas yra kraštutinė (ultima ratio) priemonė, kuri gali būti taikoma tik esant esminiam sutarties pažeidimui, kai kitos teisių gynimo priemonės yra </w:t>
            </w:r>
            <w:r w:rsidRPr="000D5952">
              <w:rPr>
                <w:rStyle w:val="Grietas"/>
                <w:rFonts w:ascii="Arial" w:eastAsiaTheme="majorEastAsia" w:hAnsi="Arial" w:cs="Arial"/>
                <w:sz w:val="22"/>
                <w:szCs w:val="22"/>
              </w:rPr>
              <w:t>neefektyvios ar neadekvačios</w:t>
            </w:r>
            <w:r w:rsidRPr="000D5952">
              <w:rPr>
                <w:rFonts w:ascii="Arial" w:hAnsi="Arial" w:cs="Arial"/>
                <w:sz w:val="22"/>
                <w:szCs w:val="22"/>
              </w:rPr>
              <w:t xml:space="preserve">. Nustatant, ar sutarties pažeidimas yra esminis, ar ne, turi būti atsižvelgiama į tai: </w:t>
            </w:r>
          </w:p>
          <w:p w14:paraId="3437393C" w14:textId="77777777" w:rsidR="00BD651E" w:rsidRPr="000D5952" w:rsidRDefault="006846D2" w:rsidP="006846D2">
            <w:pPr>
              <w:pStyle w:val="prastasiniatinklio"/>
              <w:jc w:val="both"/>
              <w:rPr>
                <w:rFonts w:ascii="Arial" w:hAnsi="Arial" w:cs="Arial"/>
                <w:sz w:val="22"/>
                <w:szCs w:val="22"/>
              </w:rPr>
            </w:pPr>
            <w:r w:rsidRPr="000D5952">
              <w:rPr>
                <w:rFonts w:ascii="Arial" w:hAnsi="Arial" w:cs="Arial"/>
                <w:sz w:val="22"/>
                <w:szCs w:val="22"/>
              </w:rPr>
              <w:t xml:space="preserve">1) ar nukentėjusi šalis iš esmės negauna to, ko tikėjosi iš sutarties, išskyrus atvejus, kai kita šalis nenumatė ir negalėjo protingai numatyti tokio rezultato; </w:t>
            </w:r>
          </w:p>
          <w:p w14:paraId="78082212" w14:textId="77777777" w:rsidR="00BD651E" w:rsidRPr="000D5952" w:rsidRDefault="006846D2" w:rsidP="006846D2">
            <w:pPr>
              <w:pStyle w:val="prastasiniatinklio"/>
              <w:jc w:val="both"/>
              <w:rPr>
                <w:rFonts w:ascii="Arial" w:hAnsi="Arial" w:cs="Arial"/>
                <w:sz w:val="22"/>
                <w:szCs w:val="22"/>
              </w:rPr>
            </w:pPr>
            <w:r w:rsidRPr="000D5952">
              <w:rPr>
                <w:rFonts w:ascii="Arial" w:hAnsi="Arial" w:cs="Arial"/>
                <w:sz w:val="22"/>
                <w:szCs w:val="22"/>
              </w:rPr>
              <w:t xml:space="preserve">2) ar pagal sutarties esmę griežtas prievolės sąlygų laikymasis turi esminės reikšmės; </w:t>
            </w:r>
          </w:p>
          <w:p w14:paraId="5F1C657E" w14:textId="77777777" w:rsidR="00BD651E" w:rsidRPr="000D5952" w:rsidRDefault="006846D2" w:rsidP="006846D2">
            <w:pPr>
              <w:pStyle w:val="prastasiniatinklio"/>
              <w:jc w:val="both"/>
              <w:rPr>
                <w:rFonts w:ascii="Arial" w:hAnsi="Arial" w:cs="Arial"/>
                <w:sz w:val="22"/>
                <w:szCs w:val="22"/>
              </w:rPr>
            </w:pPr>
            <w:r w:rsidRPr="000D5952">
              <w:rPr>
                <w:rFonts w:ascii="Arial" w:hAnsi="Arial" w:cs="Arial"/>
                <w:sz w:val="22"/>
                <w:szCs w:val="22"/>
              </w:rPr>
              <w:t xml:space="preserve">3) ar prievolė neįvykdyta tyčia ar dėl didelio neatsargumo; </w:t>
            </w:r>
          </w:p>
          <w:p w14:paraId="2EF55EE9" w14:textId="77777777" w:rsidR="00BD651E" w:rsidRPr="000D5952" w:rsidRDefault="006846D2" w:rsidP="006846D2">
            <w:pPr>
              <w:pStyle w:val="prastasiniatinklio"/>
              <w:jc w:val="both"/>
              <w:rPr>
                <w:rFonts w:ascii="Arial" w:hAnsi="Arial" w:cs="Arial"/>
                <w:sz w:val="22"/>
                <w:szCs w:val="22"/>
              </w:rPr>
            </w:pPr>
            <w:r w:rsidRPr="000D5952">
              <w:rPr>
                <w:rFonts w:ascii="Arial" w:hAnsi="Arial" w:cs="Arial"/>
                <w:sz w:val="22"/>
                <w:szCs w:val="22"/>
              </w:rPr>
              <w:lastRenderedPageBreak/>
              <w:t xml:space="preserve">4) ar neįvykdymas duoda pagrindą nukentėjusiai šaliai nesitikėti, kad sutartis bus įvykdyta ateityje; </w:t>
            </w:r>
          </w:p>
          <w:p w14:paraId="58065803" w14:textId="5F6E8BC8" w:rsidR="006846D2" w:rsidRPr="000D5952" w:rsidRDefault="006846D2" w:rsidP="006846D2">
            <w:pPr>
              <w:pStyle w:val="prastasiniatinklio"/>
              <w:jc w:val="both"/>
              <w:rPr>
                <w:rFonts w:ascii="Arial" w:hAnsi="Arial" w:cs="Arial"/>
                <w:sz w:val="22"/>
                <w:szCs w:val="22"/>
              </w:rPr>
            </w:pPr>
            <w:r w:rsidRPr="000D5952">
              <w:rPr>
                <w:rFonts w:ascii="Arial" w:hAnsi="Arial" w:cs="Arial"/>
                <w:sz w:val="22"/>
                <w:szCs w:val="22"/>
              </w:rPr>
              <w:t>5) ar sutarties neįvykdžiusi šalis, kuri rengėsi įvykdyti ar vykdė sutartį, patirtų labai didelių nuostolių, jeigu sutartis būtų nutraukta (LAT 2015 m. liepos 15 d. nutartis civilinėje byloje Nr. e3K-3-420-969/2015).</w:t>
            </w:r>
          </w:p>
          <w:p w14:paraId="5D9EE05B" w14:textId="741E2782" w:rsidR="006846D2" w:rsidRPr="000D5952" w:rsidRDefault="006846D2" w:rsidP="006846D2">
            <w:pPr>
              <w:pStyle w:val="prastasiniatinklio"/>
              <w:jc w:val="both"/>
              <w:rPr>
                <w:rFonts w:ascii="Arial" w:hAnsi="Arial" w:cs="Arial"/>
                <w:sz w:val="22"/>
                <w:szCs w:val="22"/>
              </w:rPr>
            </w:pPr>
            <w:r w:rsidRPr="000D5952">
              <w:rPr>
                <w:rFonts w:ascii="Arial" w:hAnsi="Arial" w:cs="Arial"/>
                <w:sz w:val="22"/>
                <w:szCs w:val="22"/>
              </w:rPr>
              <w:t xml:space="preserve">Perkančiosios organizacijos aukščiau nurodomas aplinkybes taip pat patvirtina Tipinių sąlygų Bendrosios dalies 22.2.8. papunkčio nuostata, kurioje sakoma: „Tais atvejais, kai Tiekėjas pašalina pažeidimą ar išnyksta aplinkybės, dėl kurių buvo inicijuota Sutarties nutraukimo procedūra, </w:t>
            </w:r>
            <w:r w:rsidRPr="000D5952">
              <w:rPr>
                <w:rStyle w:val="Grietas"/>
                <w:rFonts w:ascii="Arial" w:eastAsiaTheme="majorEastAsia" w:hAnsi="Arial" w:cs="Arial"/>
                <w:sz w:val="22"/>
                <w:szCs w:val="22"/>
              </w:rPr>
              <w:t>Sutartis negali būti nutraukiama ir įspėjimas apie Sutarties nutraukimą </w:t>
            </w:r>
            <w:r w:rsidRPr="000D5952">
              <w:rPr>
                <w:rFonts w:ascii="Arial" w:hAnsi="Arial" w:cs="Arial"/>
                <w:sz w:val="22"/>
                <w:szCs w:val="22"/>
              </w:rPr>
              <w:t>netenka galios, jei Tiekėjas pateikia informaciją apie pažeidimo pašalinimą ar išnykusias aplinkybes, dėl</w:t>
            </w:r>
            <w:r w:rsidR="00BD651E" w:rsidRPr="000D5952">
              <w:rPr>
                <w:rFonts w:ascii="Arial" w:hAnsi="Arial" w:cs="Arial"/>
                <w:sz w:val="22"/>
                <w:szCs w:val="22"/>
              </w:rPr>
              <w:t xml:space="preserve"> </w:t>
            </w:r>
            <w:r w:rsidRPr="000D5952">
              <w:rPr>
                <w:rFonts w:ascii="Arial" w:hAnsi="Arial" w:cs="Arial"/>
                <w:sz w:val="22"/>
                <w:szCs w:val="22"/>
              </w:rPr>
              <w:t>kurių buvo inicijuota Sutarties nutraukimo procedūra.</w:t>
            </w:r>
          </w:p>
          <w:p w14:paraId="0AF1CD35" w14:textId="0C5C01A7" w:rsidR="00D5574D" w:rsidRPr="00E263BE" w:rsidRDefault="006846D2" w:rsidP="00E263BE">
            <w:pPr>
              <w:pStyle w:val="prastasiniatinklio"/>
              <w:jc w:val="both"/>
              <w:rPr>
                <w:rFonts w:ascii="Arial" w:hAnsi="Arial" w:cs="Arial"/>
                <w:sz w:val="22"/>
                <w:szCs w:val="22"/>
              </w:rPr>
            </w:pPr>
            <w:r w:rsidRPr="000D5952">
              <w:rPr>
                <w:rFonts w:ascii="Arial" w:hAnsi="Arial" w:cs="Arial"/>
                <w:sz w:val="22"/>
                <w:szCs w:val="22"/>
              </w:rPr>
              <w:t>Atsižvelgusi į aukščiau nurodytus argumentus, kitas Sutartyje įtvirtintas  Sutarties sąlygų vykdymo užtikrinimo priemones (netesybas, trūkumų šalinimą), Perkančioji organizacija Sutarties sąlygų nekoreguoja.</w:t>
            </w:r>
          </w:p>
        </w:tc>
      </w:tr>
      <w:tr w:rsidR="00D8519B" w:rsidRPr="000D5952" w14:paraId="7207B9FE" w14:textId="77777777" w:rsidTr="0066591D">
        <w:trPr>
          <w:trHeight w:val="2126"/>
        </w:trPr>
        <w:tc>
          <w:tcPr>
            <w:tcW w:w="664" w:type="dxa"/>
          </w:tcPr>
          <w:p w14:paraId="15F1F1B9" w14:textId="2D772D20" w:rsidR="00D8519B" w:rsidRPr="000D5952" w:rsidRDefault="00D8519B" w:rsidP="00A17F02">
            <w:pPr>
              <w:spacing w:after="0" w:line="240" w:lineRule="auto"/>
              <w:jc w:val="both"/>
              <w:rPr>
                <w:rFonts w:ascii="Arial" w:eastAsia="Times New Roman" w:hAnsi="Arial" w:cs="Arial"/>
                <w:b/>
                <w:bCs/>
                <w:noProof w:val="0"/>
                <w:kern w:val="0"/>
                <w:lang w:eastAsia="lt-LT"/>
              </w:rPr>
            </w:pPr>
            <w:r w:rsidRPr="000D5952">
              <w:rPr>
                <w:rFonts w:ascii="Arial" w:eastAsia="Times New Roman" w:hAnsi="Arial" w:cs="Arial"/>
                <w:b/>
                <w:bCs/>
                <w:noProof w:val="0"/>
                <w:kern w:val="0"/>
                <w:lang w:eastAsia="lt-LT"/>
              </w:rPr>
              <w:lastRenderedPageBreak/>
              <w:t>4</w:t>
            </w:r>
          </w:p>
        </w:tc>
        <w:tc>
          <w:tcPr>
            <w:tcW w:w="4603" w:type="dxa"/>
          </w:tcPr>
          <w:p w14:paraId="7DD2F722" w14:textId="59D2625A" w:rsidR="00D8519B" w:rsidRPr="000D5952" w:rsidRDefault="00D8519B" w:rsidP="004D53EE">
            <w:pPr>
              <w:jc w:val="both"/>
              <w:rPr>
                <w:rFonts w:ascii="Arial" w:hAnsi="Arial" w:cs="Arial"/>
                <w:noProof w:val="0"/>
              </w:rPr>
            </w:pPr>
            <w:r w:rsidRPr="000D5952">
              <w:rPr>
                <w:rFonts w:ascii="Arial" w:hAnsi="Arial" w:cs="Arial"/>
                <w:noProof w:val="0"/>
              </w:rPr>
              <w:t>Techninėje specifikacijoje prie bendrųjų reikalavimų kelių saugumo audito atlikimui yra nurodyta, kad „Kartu su audito ataskaita Tiekėjas turės pateikti Pirkėjui laisvos formos kelionės maršruto važtaraštį, kuriame nurodomas ne tik važiavimo maršrutas, bet ir kilometrai, nuvažiuoti iki Objekto ir atgal“. Manome, kad toks punktas yra perteklinis, kadangi važiavimo maršrutas bei nuvažiuoti kilometrai yra reikalingi akavimuisi, todėl siūlome taikyti iki šiol galiojusią praktiką, kuomet tokia informacija yra pateikiama kartu su paslaugų perdavimo-priėmimo aktu.</w:t>
            </w:r>
          </w:p>
        </w:tc>
        <w:tc>
          <w:tcPr>
            <w:tcW w:w="4252" w:type="dxa"/>
          </w:tcPr>
          <w:p w14:paraId="6DCB054D" w14:textId="77777777" w:rsidR="0045209D" w:rsidRPr="000D5952" w:rsidRDefault="00A93D5D" w:rsidP="00A93D5D">
            <w:pPr>
              <w:pBdr>
                <w:top w:val="nil"/>
                <w:left w:val="nil"/>
                <w:bottom w:val="nil"/>
                <w:right w:val="nil"/>
                <w:between w:val="nil"/>
                <w:bar w:val="nil"/>
              </w:pBdr>
              <w:jc w:val="both"/>
              <w:rPr>
                <w:rFonts w:ascii="Arial" w:hAnsi="Arial" w:cs="Arial"/>
                <w:noProof w:val="0"/>
              </w:rPr>
            </w:pPr>
            <w:r w:rsidRPr="000D5952">
              <w:rPr>
                <w:rFonts w:ascii="Arial" w:hAnsi="Arial" w:cs="Arial"/>
                <w:noProof w:val="0"/>
              </w:rPr>
              <w:t>P</w:t>
            </w:r>
            <w:r w:rsidR="00687C12" w:rsidRPr="000D5952">
              <w:rPr>
                <w:rFonts w:ascii="Arial" w:hAnsi="Arial" w:cs="Arial"/>
                <w:noProof w:val="0"/>
              </w:rPr>
              <w:t>erkančioji organizacija tikslina Techninės specifikacijos 2.3.10 punktą.</w:t>
            </w:r>
            <w:r w:rsidRPr="000D5952">
              <w:rPr>
                <w:rFonts w:ascii="Arial" w:hAnsi="Arial" w:cs="Arial"/>
                <w:noProof w:val="0"/>
              </w:rPr>
              <w:t xml:space="preserve"> </w:t>
            </w:r>
          </w:p>
          <w:p w14:paraId="56984ADF" w14:textId="67E8ECA3" w:rsidR="00A93D5D" w:rsidRPr="000D5952" w:rsidRDefault="00A93D5D" w:rsidP="00A93D5D">
            <w:pPr>
              <w:pBdr>
                <w:top w:val="nil"/>
                <w:left w:val="nil"/>
                <w:bottom w:val="nil"/>
                <w:right w:val="nil"/>
                <w:between w:val="nil"/>
                <w:bar w:val="nil"/>
              </w:pBdr>
              <w:jc w:val="both"/>
              <w:rPr>
                <w:rFonts w:ascii="Arial" w:hAnsi="Arial" w:cs="Arial"/>
                <w:noProof w:val="0"/>
              </w:rPr>
            </w:pPr>
            <w:r w:rsidRPr="000D5952">
              <w:rPr>
                <w:rFonts w:ascii="Arial" w:hAnsi="Arial" w:cs="Arial"/>
                <w:noProof w:val="0"/>
              </w:rPr>
              <w:t>Patikslinta Techninė specifikacija pridedama.</w:t>
            </w:r>
          </w:p>
          <w:p w14:paraId="215FC4A5" w14:textId="77777777" w:rsidR="00D8519B" w:rsidRPr="000D5952" w:rsidRDefault="00D8519B" w:rsidP="00A17F02">
            <w:pPr>
              <w:pBdr>
                <w:top w:val="nil"/>
                <w:left w:val="nil"/>
                <w:bottom w:val="nil"/>
                <w:right w:val="nil"/>
                <w:between w:val="nil"/>
                <w:bar w:val="nil"/>
              </w:pBdr>
              <w:spacing w:after="0" w:line="240" w:lineRule="auto"/>
              <w:contextualSpacing/>
              <w:jc w:val="both"/>
              <w:rPr>
                <w:rFonts w:ascii="Arial" w:eastAsia="Times New Roman" w:hAnsi="Arial" w:cs="Arial"/>
                <w:noProof w:val="0"/>
                <w:kern w:val="0"/>
                <w:bdr w:val="nil"/>
                <w:lang w:eastAsia="lt-LT"/>
                <w14:ligatures w14:val="none"/>
              </w:rPr>
            </w:pPr>
          </w:p>
        </w:tc>
      </w:tr>
    </w:tbl>
    <w:p w14:paraId="22075404" w14:textId="77777777" w:rsidR="0064301C" w:rsidRDefault="0064301C">
      <w:pPr>
        <w:rPr>
          <w:noProof w:val="0"/>
        </w:rPr>
      </w:pPr>
    </w:p>
    <w:p w14:paraId="0CFA47BE" w14:textId="5DF0EDA8" w:rsidR="00B93505" w:rsidRDefault="00B93505">
      <w:pPr>
        <w:rPr>
          <w:rFonts w:ascii="Arial" w:hAnsi="Arial" w:cs="Arial"/>
          <w:b/>
          <w:bCs/>
          <w:noProof w:val="0"/>
        </w:rPr>
      </w:pPr>
      <w:r w:rsidRPr="00B93505">
        <w:rPr>
          <w:rFonts w:ascii="Arial" w:hAnsi="Arial" w:cs="Arial"/>
          <w:b/>
          <w:bCs/>
          <w:noProof w:val="0"/>
        </w:rPr>
        <w:t>PRIDEDAMA:</w:t>
      </w:r>
    </w:p>
    <w:p w14:paraId="669E16BA" w14:textId="684782D9" w:rsidR="00B93505" w:rsidRPr="0073589B" w:rsidRDefault="00B93505">
      <w:pPr>
        <w:rPr>
          <w:rFonts w:ascii="Arial" w:hAnsi="Arial" w:cs="Arial"/>
          <w:noProof w:val="0"/>
        </w:rPr>
      </w:pPr>
      <w:r w:rsidRPr="0073589B">
        <w:rPr>
          <w:rFonts w:ascii="Arial" w:hAnsi="Arial" w:cs="Arial"/>
          <w:noProof w:val="0"/>
        </w:rPr>
        <w:t>1.SPS priedas Nr.4_Techninė specifikacija.</w:t>
      </w:r>
    </w:p>
    <w:p w14:paraId="34A36C8F" w14:textId="1992DC7B" w:rsidR="00B93505" w:rsidRDefault="00B93505">
      <w:pPr>
        <w:rPr>
          <w:rFonts w:ascii="Arial" w:hAnsi="Arial" w:cs="Arial"/>
          <w:noProof w:val="0"/>
        </w:rPr>
      </w:pPr>
      <w:r w:rsidRPr="0073589B">
        <w:rPr>
          <w:rFonts w:ascii="Arial" w:hAnsi="Arial" w:cs="Arial"/>
          <w:noProof w:val="0"/>
        </w:rPr>
        <w:t>2.SPS priedas Nr. 10</w:t>
      </w:r>
      <w:r w:rsidR="0073589B">
        <w:rPr>
          <w:rFonts w:ascii="Arial" w:hAnsi="Arial" w:cs="Arial"/>
          <w:noProof w:val="0"/>
        </w:rPr>
        <w:t>_</w:t>
      </w:r>
      <w:r w:rsidRPr="0073589B">
        <w:rPr>
          <w:rFonts w:ascii="Arial" w:hAnsi="Arial" w:cs="Arial"/>
          <w:noProof w:val="0"/>
        </w:rPr>
        <w:t>Kvalifikacijos reikalavimai.</w:t>
      </w:r>
    </w:p>
    <w:p w14:paraId="60336034" w14:textId="4F4D5F96" w:rsidR="0073589B" w:rsidRPr="0073589B" w:rsidRDefault="00DA42C8">
      <w:pPr>
        <w:rPr>
          <w:rFonts w:ascii="Arial" w:hAnsi="Arial" w:cs="Arial"/>
          <w:noProof w:val="0"/>
        </w:rPr>
      </w:pPr>
      <w:r>
        <w:rPr>
          <w:rFonts w:ascii="Arial" w:hAnsi="Arial" w:cs="Arial"/>
          <w:noProof w:val="0"/>
        </w:rPr>
        <w:lastRenderedPageBreak/>
        <w:t>.</w:t>
      </w:r>
    </w:p>
    <w:sectPr w:rsidR="0073589B" w:rsidRPr="0073589B">
      <w:headerReference w:type="default" r:id="rId1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5B513" w14:textId="77777777" w:rsidR="003D5215" w:rsidRDefault="003D5215" w:rsidP="00A17F02">
      <w:pPr>
        <w:spacing w:after="0" w:line="240" w:lineRule="auto"/>
      </w:pPr>
      <w:r>
        <w:separator/>
      </w:r>
    </w:p>
  </w:endnote>
  <w:endnote w:type="continuationSeparator" w:id="0">
    <w:p w14:paraId="380D51C9" w14:textId="77777777" w:rsidR="003D5215" w:rsidRDefault="003D5215" w:rsidP="00A17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E5AE4" w14:textId="77777777" w:rsidR="003D5215" w:rsidRDefault="003D5215" w:rsidP="00A17F02">
      <w:pPr>
        <w:spacing w:after="0" w:line="240" w:lineRule="auto"/>
      </w:pPr>
      <w:r>
        <w:separator/>
      </w:r>
    </w:p>
  </w:footnote>
  <w:footnote w:type="continuationSeparator" w:id="0">
    <w:p w14:paraId="4DD01888" w14:textId="77777777" w:rsidR="003D5215" w:rsidRDefault="003D5215" w:rsidP="00A17F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C3EA6" w14:textId="5F1E3717" w:rsidR="00A17F02" w:rsidRDefault="00A17F02">
    <w:pPr>
      <w:pStyle w:val="Antrats"/>
    </w:pPr>
    <w:r>
      <w:drawing>
        <wp:inline distT="0" distB="0" distL="0" distR="0" wp14:anchorId="253456EE" wp14:editId="63F7BFAD">
          <wp:extent cx="1615440" cy="207010"/>
          <wp:effectExtent l="0" t="0" r="0" b="0"/>
          <wp:docPr id="166049027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5440" cy="2070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D6972"/>
    <w:multiLevelType w:val="hybridMultilevel"/>
    <w:tmpl w:val="0EECB41E"/>
    <w:lvl w:ilvl="0" w:tplc="8AA41D48">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5357E25"/>
    <w:multiLevelType w:val="hybridMultilevel"/>
    <w:tmpl w:val="6CF8C4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E1D6B4B"/>
    <w:multiLevelType w:val="hybridMultilevel"/>
    <w:tmpl w:val="751E96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42559505">
    <w:abstractNumId w:val="1"/>
  </w:num>
  <w:num w:numId="2" w16cid:durableId="368651647">
    <w:abstractNumId w:val="0"/>
  </w:num>
  <w:num w:numId="3" w16cid:durableId="2889727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6D7"/>
    <w:rsid w:val="0000446D"/>
    <w:rsid w:val="00092A83"/>
    <w:rsid w:val="00096438"/>
    <w:rsid w:val="000B0389"/>
    <w:rsid w:val="000D5952"/>
    <w:rsid w:val="001162F3"/>
    <w:rsid w:val="00131BF2"/>
    <w:rsid w:val="001354E9"/>
    <w:rsid w:val="0016581D"/>
    <w:rsid w:val="00195DB3"/>
    <w:rsid w:val="001D33B3"/>
    <w:rsid w:val="002023A7"/>
    <w:rsid w:val="0021401A"/>
    <w:rsid w:val="002831E3"/>
    <w:rsid w:val="002E36D7"/>
    <w:rsid w:val="0032753D"/>
    <w:rsid w:val="003513FF"/>
    <w:rsid w:val="0038061B"/>
    <w:rsid w:val="003B5326"/>
    <w:rsid w:val="003D5215"/>
    <w:rsid w:val="003F410E"/>
    <w:rsid w:val="0040177E"/>
    <w:rsid w:val="0045209D"/>
    <w:rsid w:val="00461838"/>
    <w:rsid w:val="00470AEA"/>
    <w:rsid w:val="004D40F5"/>
    <w:rsid w:val="004D53EE"/>
    <w:rsid w:val="00503EEC"/>
    <w:rsid w:val="00532DDE"/>
    <w:rsid w:val="00542A58"/>
    <w:rsid w:val="00586CA3"/>
    <w:rsid w:val="00587C67"/>
    <w:rsid w:val="005A77E3"/>
    <w:rsid w:val="005B6479"/>
    <w:rsid w:val="005E4778"/>
    <w:rsid w:val="00625562"/>
    <w:rsid w:val="0064301C"/>
    <w:rsid w:val="0066591D"/>
    <w:rsid w:val="006846D2"/>
    <w:rsid w:val="00687814"/>
    <w:rsid w:val="00687C12"/>
    <w:rsid w:val="00694402"/>
    <w:rsid w:val="006945AC"/>
    <w:rsid w:val="006A3F40"/>
    <w:rsid w:val="006C0ABF"/>
    <w:rsid w:val="006F1B12"/>
    <w:rsid w:val="00720603"/>
    <w:rsid w:val="0073589B"/>
    <w:rsid w:val="00753305"/>
    <w:rsid w:val="00776AEE"/>
    <w:rsid w:val="00784F5F"/>
    <w:rsid w:val="007B2213"/>
    <w:rsid w:val="007C4CF9"/>
    <w:rsid w:val="007F4FDC"/>
    <w:rsid w:val="008F0F9D"/>
    <w:rsid w:val="00901180"/>
    <w:rsid w:val="00981350"/>
    <w:rsid w:val="00983E7F"/>
    <w:rsid w:val="009A4652"/>
    <w:rsid w:val="009B6F42"/>
    <w:rsid w:val="009B72E4"/>
    <w:rsid w:val="00A05F0D"/>
    <w:rsid w:val="00A17F02"/>
    <w:rsid w:val="00A3232A"/>
    <w:rsid w:val="00A419D7"/>
    <w:rsid w:val="00A9171E"/>
    <w:rsid w:val="00A93D5D"/>
    <w:rsid w:val="00B32AD3"/>
    <w:rsid w:val="00B34B58"/>
    <w:rsid w:val="00B41DD6"/>
    <w:rsid w:val="00B46296"/>
    <w:rsid w:val="00B706C5"/>
    <w:rsid w:val="00B93505"/>
    <w:rsid w:val="00BB771A"/>
    <w:rsid w:val="00BD651E"/>
    <w:rsid w:val="00C04C98"/>
    <w:rsid w:val="00C1767E"/>
    <w:rsid w:val="00CC3F98"/>
    <w:rsid w:val="00CD137D"/>
    <w:rsid w:val="00D05E3F"/>
    <w:rsid w:val="00D5574D"/>
    <w:rsid w:val="00D619ED"/>
    <w:rsid w:val="00D8519B"/>
    <w:rsid w:val="00DA42C8"/>
    <w:rsid w:val="00DD659B"/>
    <w:rsid w:val="00E263BE"/>
    <w:rsid w:val="00E41548"/>
    <w:rsid w:val="00E61C7C"/>
    <w:rsid w:val="00E7298B"/>
    <w:rsid w:val="00E72A95"/>
    <w:rsid w:val="00E83552"/>
    <w:rsid w:val="00ED4A21"/>
    <w:rsid w:val="00EE5622"/>
    <w:rsid w:val="00F27AF7"/>
    <w:rsid w:val="00F5263E"/>
    <w:rsid w:val="00F87642"/>
    <w:rsid w:val="00FC47B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17BEC"/>
  <w15:chartTrackingRefBased/>
  <w15:docId w15:val="{6BC42809-0DB1-48D9-B6C9-DD98552CA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noProof/>
    </w:rPr>
  </w:style>
  <w:style w:type="paragraph" w:styleId="Antrat1">
    <w:name w:val="heading 1"/>
    <w:basedOn w:val="prastasis"/>
    <w:next w:val="prastasis"/>
    <w:link w:val="Antrat1Diagrama"/>
    <w:uiPriority w:val="9"/>
    <w:qFormat/>
    <w:rsid w:val="002E36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2E36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E36D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E36D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E36D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2E36D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E36D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E36D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E36D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E36D7"/>
    <w:rPr>
      <w:rFonts w:asciiTheme="majorHAnsi" w:eastAsiaTheme="majorEastAsia" w:hAnsiTheme="majorHAnsi" w:cstheme="majorBidi"/>
      <w:noProof/>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E36D7"/>
    <w:rPr>
      <w:rFonts w:asciiTheme="majorHAnsi" w:eastAsiaTheme="majorEastAsia" w:hAnsiTheme="majorHAnsi" w:cstheme="majorBidi"/>
      <w:noProof/>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E36D7"/>
    <w:rPr>
      <w:rFonts w:eastAsiaTheme="majorEastAsia" w:cstheme="majorBidi"/>
      <w:noProof/>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E36D7"/>
    <w:rPr>
      <w:rFonts w:eastAsiaTheme="majorEastAsia" w:cstheme="majorBidi"/>
      <w:i/>
      <w:iCs/>
      <w:noProof/>
      <w:color w:val="2F5496" w:themeColor="accent1" w:themeShade="BF"/>
    </w:rPr>
  </w:style>
  <w:style w:type="character" w:customStyle="1" w:styleId="Antrat5Diagrama">
    <w:name w:val="Antraštė 5 Diagrama"/>
    <w:basedOn w:val="Numatytasispastraiposriftas"/>
    <w:link w:val="Antrat5"/>
    <w:uiPriority w:val="9"/>
    <w:semiHidden/>
    <w:rsid w:val="002E36D7"/>
    <w:rPr>
      <w:rFonts w:eastAsiaTheme="majorEastAsia" w:cstheme="majorBidi"/>
      <w:noProof/>
      <w:color w:val="2F5496" w:themeColor="accent1" w:themeShade="BF"/>
    </w:rPr>
  </w:style>
  <w:style w:type="character" w:customStyle="1" w:styleId="Antrat6Diagrama">
    <w:name w:val="Antraštė 6 Diagrama"/>
    <w:basedOn w:val="Numatytasispastraiposriftas"/>
    <w:link w:val="Antrat6"/>
    <w:uiPriority w:val="9"/>
    <w:semiHidden/>
    <w:rsid w:val="002E36D7"/>
    <w:rPr>
      <w:rFonts w:eastAsiaTheme="majorEastAsia" w:cstheme="majorBidi"/>
      <w:i/>
      <w:iCs/>
      <w:noProof/>
      <w:color w:val="595959" w:themeColor="text1" w:themeTint="A6"/>
    </w:rPr>
  </w:style>
  <w:style w:type="character" w:customStyle="1" w:styleId="Antrat7Diagrama">
    <w:name w:val="Antraštė 7 Diagrama"/>
    <w:basedOn w:val="Numatytasispastraiposriftas"/>
    <w:link w:val="Antrat7"/>
    <w:uiPriority w:val="9"/>
    <w:semiHidden/>
    <w:rsid w:val="002E36D7"/>
    <w:rPr>
      <w:rFonts w:eastAsiaTheme="majorEastAsia" w:cstheme="majorBidi"/>
      <w:noProof/>
      <w:color w:val="595959" w:themeColor="text1" w:themeTint="A6"/>
    </w:rPr>
  </w:style>
  <w:style w:type="character" w:customStyle="1" w:styleId="Antrat8Diagrama">
    <w:name w:val="Antraštė 8 Diagrama"/>
    <w:basedOn w:val="Numatytasispastraiposriftas"/>
    <w:link w:val="Antrat8"/>
    <w:uiPriority w:val="9"/>
    <w:semiHidden/>
    <w:rsid w:val="002E36D7"/>
    <w:rPr>
      <w:rFonts w:eastAsiaTheme="majorEastAsia" w:cstheme="majorBidi"/>
      <w:i/>
      <w:iCs/>
      <w:noProof/>
      <w:color w:val="272727" w:themeColor="text1" w:themeTint="D8"/>
    </w:rPr>
  </w:style>
  <w:style w:type="character" w:customStyle="1" w:styleId="Antrat9Diagrama">
    <w:name w:val="Antraštė 9 Diagrama"/>
    <w:basedOn w:val="Numatytasispastraiposriftas"/>
    <w:link w:val="Antrat9"/>
    <w:uiPriority w:val="9"/>
    <w:semiHidden/>
    <w:rsid w:val="002E36D7"/>
    <w:rPr>
      <w:rFonts w:eastAsiaTheme="majorEastAsia" w:cstheme="majorBidi"/>
      <w:noProof/>
      <w:color w:val="272727" w:themeColor="text1" w:themeTint="D8"/>
    </w:rPr>
  </w:style>
  <w:style w:type="paragraph" w:styleId="Pavadinimas">
    <w:name w:val="Title"/>
    <w:basedOn w:val="prastasis"/>
    <w:next w:val="prastasis"/>
    <w:link w:val="PavadinimasDiagrama"/>
    <w:uiPriority w:val="10"/>
    <w:qFormat/>
    <w:rsid w:val="002E36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E36D7"/>
    <w:rPr>
      <w:rFonts w:asciiTheme="majorHAnsi" w:eastAsiaTheme="majorEastAsia" w:hAnsiTheme="majorHAnsi" w:cstheme="majorBidi"/>
      <w:noProof/>
      <w:spacing w:val="-10"/>
      <w:kern w:val="28"/>
      <w:sz w:val="56"/>
      <w:szCs w:val="56"/>
    </w:rPr>
  </w:style>
  <w:style w:type="paragraph" w:styleId="Paantrat">
    <w:name w:val="Subtitle"/>
    <w:basedOn w:val="prastasis"/>
    <w:next w:val="prastasis"/>
    <w:link w:val="PaantratDiagrama"/>
    <w:uiPriority w:val="11"/>
    <w:qFormat/>
    <w:rsid w:val="002E36D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E36D7"/>
    <w:rPr>
      <w:rFonts w:eastAsiaTheme="majorEastAsia" w:cstheme="majorBidi"/>
      <w:noProof/>
      <w:color w:val="595959" w:themeColor="text1" w:themeTint="A6"/>
      <w:spacing w:val="15"/>
      <w:sz w:val="28"/>
      <w:szCs w:val="28"/>
    </w:rPr>
  </w:style>
  <w:style w:type="paragraph" w:styleId="Citata">
    <w:name w:val="Quote"/>
    <w:basedOn w:val="prastasis"/>
    <w:next w:val="prastasis"/>
    <w:link w:val="CitataDiagrama"/>
    <w:uiPriority w:val="29"/>
    <w:qFormat/>
    <w:rsid w:val="002E36D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E36D7"/>
    <w:rPr>
      <w:i/>
      <w:iCs/>
      <w:noProof/>
      <w:color w:val="404040" w:themeColor="text1" w:themeTint="BF"/>
    </w:rPr>
  </w:style>
  <w:style w:type="paragraph" w:styleId="Sraopastraipa">
    <w:name w:val="List Paragraph"/>
    <w:basedOn w:val="prastasis"/>
    <w:uiPriority w:val="34"/>
    <w:qFormat/>
    <w:rsid w:val="002E36D7"/>
    <w:pPr>
      <w:ind w:left="720"/>
      <w:contextualSpacing/>
    </w:pPr>
  </w:style>
  <w:style w:type="character" w:styleId="Rykuspabraukimas">
    <w:name w:val="Intense Emphasis"/>
    <w:basedOn w:val="Numatytasispastraiposriftas"/>
    <w:uiPriority w:val="21"/>
    <w:qFormat/>
    <w:rsid w:val="002E36D7"/>
    <w:rPr>
      <w:i/>
      <w:iCs/>
      <w:color w:val="2F5496" w:themeColor="accent1" w:themeShade="BF"/>
    </w:rPr>
  </w:style>
  <w:style w:type="paragraph" w:styleId="Iskirtacitata">
    <w:name w:val="Intense Quote"/>
    <w:basedOn w:val="prastasis"/>
    <w:next w:val="prastasis"/>
    <w:link w:val="IskirtacitataDiagrama"/>
    <w:uiPriority w:val="30"/>
    <w:qFormat/>
    <w:rsid w:val="002E36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E36D7"/>
    <w:rPr>
      <w:i/>
      <w:iCs/>
      <w:noProof/>
      <w:color w:val="2F5496" w:themeColor="accent1" w:themeShade="BF"/>
    </w:rPr>
  </w:style>
  <w:style w:type="character" w:styleId="Rykinuoroda">
    <w:name w:val="Intense Reference"/>
    <w:basedOn w:val="Numatytasispastraiposriftas"/>
    <w:uiPriority w:val="32"/>
    <w:qFormat/>
    <w:rsid w:val="002E36D7"/>
    <w:rPr>
      <w:b/>
      <w:bCs/>
      <w:smallCaps/>
      <w:color w:val="2F5496" w:themeColor="accent1" w:themeShade="BF"/>
      <w:spacing w:val="5"/>
    </w:rPr>
  </w:style>
  <w:style w:type="paragraph" w:styleId="Antrats">
    <w:name w:val="header"/>
    <w:basedOn w:val="prastasis"/>
    <w:link w:val="AntratsDiagrama"/>
    <w:uiPriority w:val="99"/>
    <w:unhideWhenUsed/>
    <w:rsid w:val="00A17F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17F02"/>
    <w:rPr>
      <w:noProof/>
    </w:rPr>
  </w:style>
  <w:style w:type="paragraph" w:styleId="Porat">
    <w:name w:val="footer"/>
    <w:basedOn w:val="prastasis"/>
    <w:link w:val="PoratDiagrama"/>
    <w:uiPriority w:val="99"/>
    <w:unhideWhenUsed/>
    <w:rsid w:val="00A17F0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17F02"/>
    <w:rPr>
      <w:noProof/>
    </w:rPr>
  </w:style>
  <w:style w:type="table" w:styleId="Lentelstinklelis">
    <w:name w:val="Table Grid"/>
    <w:basedOn w:val="prastojilentel"/>
    <w:uiPriority w:val="39"/>
    <w:rsid w:val="00A17F02"/>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6846D2"/>
    <w:pPr>
      <w:spacing w:before="100" w:beforeAutospacing="1" w:after="100" w:afterAutospacing="1" w:line="240" w:lineRule="auto"/>
    </w:pPr>
    <w:rPr>
      <w:rFonts w:ascii="Times New Roman" w:eastAsia="Times New Roman" w:hAnsi="Times New Roman" w:cs="Times New Roman"/>
      <w:noProof w:val="0"/>
      <w:kern w:val="0"/>
      <w:sz w:val="24"/>
      <w:szCs w:val="24"/>
      <w:lang w:eastAsia="lt-LT"/>
      <w14:ligatures w14:val="none"/>
    </w:rPr>
  </w:style>
  <w:style w:type="character" w:styleId="Grietas">
    <w:name w:val="Strong"/>
    <w:basedOn w:val="Numatytasispastraiposriftas"/>
    <w:uiPriority w:val="22"/>
    <w:qFormat/>
    <w:rsid w:val="006846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079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490cdd6-07a9-441e-9dcf-c038f999323a">
      <Terms xmlns="http://schemas.microsoft.com/office/infopath/2007/PartnerControls"/>
    </lcf76f155ced4ddcb4097134ff3c332f>
    <TaxCatchAll xmlns="a931e33f-e39b-46a4-bdb0-0fdf918434f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B76E265C8C984EB64E26C844CB9C43" ma:contentTypeVersion="14" ma:contentTypeDescription="Create a new document." ma:contentTypeScope="" ma:versionID="590b45251f56cef8893a28f0c41b76b1">
  <xsd:schema xmlns:xsd="http://www.w3.org/2001/XMLSchema" xmlns:xs="http://www.w3.org/2001/XMLSchema" xmlns:p="http://schemas.microsoft.com/office/2006/metadata/properties" xmlns:ns2="d490cdd6-07a9-441e-9dcf-c038f999323a" xmlns:ns3="a931e33f-e39b-46a4-bdb0-0fdf918434ff" targetNamespace="http://schemas.microsoft.com/office/2006/metadata/properties" ma:root="true" ma:fieldsID="7629f1f9ddafa3caa7403eb3a8d4ff13" ns2:_="" ns3:_="">
    <xsd:import namespace="d490cdd6-07a9-441e-9dcf-c038f999323a"/>
    <xsd:import namespace="a931e33f-e39b-46a4-bdb0-0fdf918434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0cdd6-07a9-441e-9dcf-c038f99932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31e33f-e39b-46a4-bdb0-0fdf918434f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499cb1c-e1ae-4232-a1d4-cf0f61083ecf}" ma:internalName="TaxCatchAll" ma:showField="CatchAllData" ma:web="a931e33f-e39b-46a4-bdb0-0fdf918434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F12C2C-4B8D-4348-BF4E-46210FE4C9F0}">
  <ds:schemaRefs>
    <ds:schemaRef ds:uri="http://schemas.microsoft.com/sharepoint/v3/contenttype/forms"/>
  </ds:schemaRefs>
</ds:datastoreItem>
</file>

<file path=customXml/itemProps2.xml><?xml version="1.0" encoding="utf-8"?>
<ds:datastoreItem xmlns:ds="http://schemas.openxmlformats.org/officeDocument/2006/customXml" ds:itemID="{8BF3B546-0A8E-4AB2-B9AA-8843FF503A7F}">
  <ds:schemaRefs>
    <ds:schemaRef ds:uri="http://schemas.microsoft.com/office/2006/metadata/properties"/>
    <ds:schemaRef ds:uri="http://schemas.microsoft.com/office/infopath/2007/PartnerControls"/>
    <ds:schemaRef ds:uri="d490cdd6-07a9-441e-9dcf-c038f999323a"/>
    <ds:schemaRef ds:uri="a931e33f-e39b-46a4-bdb0-0fdf918434ff"/>
  </ds:schemaRefs>
</ds:datastoreItem>
</file>

<file path=customXml/itemProps3.xml><?xml version="1.0" encoding="utf-8"?>
<ds:datastoreItem xmlns:ds="http://schemas.openxmlformats.org/officeDocument/2006/customXml" ds:itemID="{ED4B7120-2293-4616-8472-151F07123D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90cdd6-07a9-441e-9dcf-c038f999323a"/>
    <ds:schemaRef ds:uri="a931e33f-e39b-46a4-bdb0-0fdf918434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6</Pages>
  <Words>9176</Words>
  <Characters>5231</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Zavarzinienė</dc:creator>
  <cp:keywords/>
  <dc:description/>
  <cp:lastModifiedBy>Danguolė Zavarzinienė</cp:lastModifiedBy>
  <cp:revision>30</cp:revision>
  <dcterms:created xsi:type="dcterms:W3CDTF">2025-05-08T14:32:00Z</dcterms:created>
  <dcterms:modified xsi:type="dcterms:W3CDTF">2025-05-16T07:41:00Z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0x01010057B76E265C8C984EB64E26C844CB9C43</vt:lpwstr>
  </property>
  <property fmtid="{D5CDD505-2E9C-101B-9397-08002B2CF9AE}" pid="3" name="MediaServiceImageTags">
    <vt:lpwstr/>
  </property>
</Properties>
</file>