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F951" w14:textId="0C439D05" w:rsidR="00855E3A" w:rsidRPr="00751838" w:rsidRDefault="00855E3A" w:rsidP="00751838">
      <w:pPr>
        <w:ind w:left="6480"/>
        <w:rPr>
          <w:bCs/>
          <w:lang w:val="lt-LT"/>
        </w:rPr>
      </w:pPr>
      <w:bookmarkStart w:id="0" w:name="_Hlk164168217"/>
      <w:r w:rsidRPr="00751838">
        <w:rPr>
          <w:bCs/>
          <w:lang w:val="lt-LT"/>
        </w:rPr>
        <w:t>Pirkimo dokumentų</w:t>
      </w:r>
    </w:p>
    <w:p w14:paraId="1D9EB453" w14:textId="417B9CA0" w:rsidR="00855E3A" w:rsidRPr="00751838" w:rsidRDefault="00751838" w:rsidP="00751838">
      <w:pPr>
        <w:ind w:left="6480"/>
        <w:rPr>
          <w:bCs/>
          <w:lang w:val="lt-LT"/>
        </w:rPr>
      </w:pPr>
      <w:r w:rsidRPr="00751838">
        <w:rPr>
          <w:bCs/>
          <w:lang w:val="lt-LT"/>
        </w:rPr>
        <w:t>4 priedas</w:t>
      </w:r>
    </w:p>
    <w:p w14:paraId="1C18CFD0" w14:textId="77777777" w:rsidR="00855E3A" w:rsidRDefault="00855E3A" w:rsidP="006B6715">
      <w:pPr>
        <w:jc w:val="center"/>
        <w:rPr>
          <w:b/>
          <w:lang w:val="lt-LT"/>
        </w:rPr>
      </w:pPr>
    </w:p>
    <w:p w14:paraId="09ACE7B5" w14:textId="612E6988" w:rsidR="00F137AF" w:rsidRPr="00712687" w:rsidRDefault="00751838" w:rsidP="006B6715">
      <w:pPr>
        <w:jc w:val="center"/>
        <w:rPr>
          <w:lang w:val="lt-LT"/>
        </w:rPr>
      </w:pPr>
      <w:r>
        <w:rPr>
          <w:b/>
          <w:lang w:val="lt-LT"/>
        </w:rPr>
        <w:t>TECHNINĖ SPECIFIKACIJA</w:t>
      </w:r>
    </w:p>
    <w:p w14:paraId="5E5A60EC" w14:textId="77777777" w:rsidR="005B3739" w:rsidRPr="00712687" w:rsidRDefault="005B3739" w:rsidP="00AC725D">
      <w:pPr>
        <w:jc w:val="center"/>
        <w:rPr>
          <w:b/>
          <w:lang w:val="lt-LT"/>
        </w:rPr>
      </w:pPr>
    </w:p>
    <w:tbl>
      <w:tblPr>
        <w:tblW w:w="92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2"/>
        <w:gridCol w:w="1997"/>
        <w:gridCol w:w="6379"/>
      </w:tblGrid>
      <w:tr w:rsidR="00521077" w:rsidRPr="00B70E6C" w14:paraId="24310CC7" w14:textId="77777777" w:rsidTr="00521077">
        <w:tc>
          <w:tcPr>
            <w:tcW w:w="902" w:type="dxa"/>
            <w:tcBorders>
              <w:top w:val="single" w:sz="6" w:space="0" w:color="auto"/>
              <w:left w:val="single" w:sz="6" w:space="0" w:color="auto"/>
              <w:bottom w:val="single" w:sz="6" w:space="0" w:color="auto"/>
              <w:right w:val="single" w:sz="6" w:space="0" w:color="auto"/>
            </w:tcBorders>
            <w:hideMark/>
          </w:tcPr>
          <w:p w14:paraId="4C452D74" w14:textId="77777777" w:rsidR="00521077" w:rsidRPr="00B70E6C" w:rsidRDefault="00521077">
            <w:pPr>
              <w:jc w:val="center"/>
              <w:rPr>
                <w:b/>
                <w:bCs/>
                <w:lang w:val="lt-LT"/>
              </w:rPr>
            </w:pPr>
            <w:r w:rsidRPr="00B70E6C">
              <w:rPr>
                <w:b/>
                <w:bCs/>
                <w:lang w:val="lt-LT"/>
              </w:rPr>
              <w:t>Eil.</w:t>
            </w:r>
          </w:p>
          <w:p w14:paraId="14ED8E50" w14:textId="77777777" w:rsidR="00521077" w:rsidRPr="00B70E6C" w:rsidRDefault="00521077">
            <w:pPr>
              <w:jc w:val="center"/>
              <w:rPr>
                <w:b/>
                <w:bCs/>
                <w:lang w:val="lt-LT"/>
              </w:rPr>
            </w:pPr>
            <w:r w:rsidRPr="00B70E6C">
              <w:rPr>
                <w:b/>
                <w:bCs/>
                <w:lang w:val="lt-LT"/>
              </w:rPr>
              <w:t>Nr.</w:t>
            </w:r>
          </w:p>
        </w:tc>
        <w:tc>
          <w:tcPr>
            <w:tcW w:w="1997" w:type="dxa"/>
            <w:tcBorders>
              <w:top w:val="single" w:sz="6" w:space="0" w:color="auto"/>
              <w:left w:val="single" w:sz="6" w:space="0" w:color="auto"/>
              <w:bottom w:val="single" w:sz="6" w:space="0" w:color="auto"/>
              <w:right w:val="single" w:sz="6" w:space="0" w:color="auto"/>
            </w:tcBorders>
          </w:tcPr>
          <w:p w14:paraId="78795E5D" w14:textId="77777777" w:rsidR="00521077" w:rsidRPr="00B70E6C" w:rsidRDefault="00521077" w:rsidP="006B6715">
            <w:pPr>
              <w:rPr>
                <w:b/>
                <w:color w:val="000000"/>
                <w:lang w:val="lt-LT"/>
              </w:rPr>
            </w:pPr>
            <w:r w:rsidRPr="00B70E6C">
              <w:rPr>
                <w:b/>
                <w:color w:val="000000"/>
                <w:lang w:val="lt-LT"/>
              </w:rPr>
              <w:t>Parametrai</w:t>
            </w:r>
          </w:p>
        </w:tc>
        <w:tc>
          <w:tcPr>
            <w:tcW w:w="6379" w:type="dxa"/>
            <w:tcBorders>
              <w:top w:val="single" w:sz="6" w:space="0" w:color="auto"/>
              <w:left w:val="single" w:sz="6" w:space="0" w:color="auto"/>
              <w:bottom w:val="single" w:sz="6" w:space="0" w:color="auto"/>
              <w:right w:val="single" w:sz="6" w:space="0" w:color="auto"/>
            </w:tcBorders>
          </w:tcPr>
          <w:p w14:paraId="632604AD" w14:textId="77777777" w:rsidR="00521077" w:rsidRPr="00B70E6C" w:rsidRDefault="00521077" w:rsidP="006B6715">
            <w:pPr>
              <w:rPr>
                <w:b/>
                <w:color w:val="000000"/>
                <w:lang w:val="lt-LT"/>
              </w:rPr>
            </w:pPr>
            <w:r w:rsidRPr="00B70E6C">
              <w:rPr>
                <w:b/>
                <w:color w:val="000000"/>
                <w:lang w:val="lt-LT"/>
              </w:rPr>
              <w:t>Reikalaujamos parametrų reikšmės</w:t>
            </w:r>
          </w:p>
        </w:tc>
      </w:tr>
      <w:tr w:rsidR="00521077" w:rsidRPr="00B70E6C" w14:paraId="1A236760" w14:textId="77777777" w:rsidTr="00521077">
        <w:tc>
          <w:tcPr>
            <w:tcW w:w="902" w:type="dxa"/>
            <w:tcBorders>
              <w:top w:val="single" w:sz="6" w:space="0" w:color="auto"/>
              <w:left w:val="single" w:sz="6" w:space="0" w:color="auto"/>
              <w:bottom w:val="single" w:sz="6" w:space="0" w:color="auto"/>
              <w:right w:val="single" w:sz="6" w:space="0" w:color="auto"/>
            </w:tcBorders>
          </w:tcPr>
          <w:p w14:paraId="37B374FB" w14:textId="40609F56" w:rsidR="00521077" w:rsidRPr="00B70E6C" w:rsidRDefault="00521077">
            <w:pPr>
              <w:jc w:val="center"/>
              <w:rPr>
                <w:bCs/>
                <w:lang w:val="lt-LT"/>
              </w:rPr>
            </w:pPr>
            <w:r w:rsidRPr="00B70E6C">
              <w:rPr>
                <w:bCs/>
                <w:lang w:val="lt-LT"/>
              </w:rPr>
              <w:t>1.</w:t>
            </w:r>
          </w:p>
        </w:tc>
        <w:tc>
          <w:tcPr>
            <w:tcW w:w="1997" w:type="dxa"/>
            <w:tcBorders>
              <w:top w:val="single" w:sz="6" w:space="0" w:color="auto"/>
              <w:left w:val="single" w:sz="6" w:space="0" w:color="auto"/>
              <w:bottom w:val="single" w:sz="6" w:space="0" w:color="auto"/>
              <w:right w:val="single" w:sz="6" w:space="0" w:color="auto"/>
            </w:tcBorders>
          </w:tcPr>
          <w:p w14:paraId="7A9B9B2B" w14:textId="734B4DF1" w:rsidR="00521077" w:rsidRPr="00B70E6C" w:rsidRDefault="00521077" w:rsidP="00097315">
            <w:pPr>
              <w:rPr>
                <w:lang w:val="lt-LT"/>
              </w:rPr>
            </w:pPr>
            <w:r w:rsidRPr="00B70E6C">
              <w:rPr>
                <w:lang w:val="lt-LT"/>
              </w:rPr>
              <w:t xml:space="preserve">Apibūdinimas ir paskirtis </w:t>
            </w:r>
          </w:p>
        </w:tc>
        <w:tc>
          <w:tcPr>
            <w:tcW w:w="6379" w:type="dxa"/>
            <w:tcBorders>
              <w:top w:val="single" w:sz="6" w:space="0" w:color="auto"/>
              <w:left w:val="single" w:sz="6" w:space="0" w:color="auto"/>
              <w:bottom w:val="single" w:sz="6" w:space="0" w:color="auto"/>
              <w:right w:val="single" w:sz="6" w:space="0" w:color="auto"/>
            </w:tcBorders>
          </w:tcPr>
          <w:p w14:paraId="60DE931F" w14:textId="4BD2187F" w:rsidR="00521077" w:rsidRPr="00B70E6C" w:rsidRDefault="00521077" w:rsidP="00FA3EDA">
            <w:pPr>
              <w:rPr>
                <w:color w:val="000000"/>
                <w:lang w:val="lt-LT"/>
              </w:rPr>
            </w:pPr>
            <w:r w:rsidRPr="00B70E6C">
              <w:rPr>
                <w:color w:val="000000"/>
                <w:lang w:val="lt-LT"/>
              </w:rPr>
              <w:t>Objektyvūs, validuoti skaitmeniniai pažinimo funkcijų testai matuojantys dėmesio, atminties, vykdomųjų funkcijų, darbinės atminties, dėmesingumo ir koncentracijos, periferinio suvokimo dimensijas ir subdimensijas siekiant įvertinti kognityvinę testuojamojo būklę ir jo būklės kitimą laiko atžvilgiu.</w:t>
            </w:r>
          </w:p>
        </w:tc>
      </w:tr>
      <w:tr w:rsidR="00521077" w:rsidRPr="00B70E6C" w14:paraId="790C308D" w14:textId="77777777" w:rsidTr="00521077">
        <w:tc>
          <w:tcPr>
            <w:tcW w:w="902" w:type="dxa"/>
            <w:tcBorders>
              <w:top w:val="single" w:sz="6" w:space="0" w:color="auto"/>
              <w:left w:val="single" w:sz="6" w:space="0" w:color="auto"/>
              <w:bottom w:val="single" w:sz="6" w:space="0" w:color="auto"/>
              <w:right w:val="single" w:sz="6" w:space="0" w:color="auto"/>
            </w:tcBorders>
          </w:tcPr>
          <w:p w14:paraId="5B418C24" w14:textId="126F161F" w:rsidR="00521077" w:rsidRPr="00B70E6C" w:rsidRDefault="00521077">
            <w:pPr>
              <w:jc w:val="center"/>
              <w:rPr>
                <w:bCs/>
                <w:lang w:val="lt-LT"/>
              </w:rPr>
            </w:pPr>
            <w:r w:rsidRPr="00B70E6C">
              <w:rPr>
                <w:bCs/>
                <w:lang w:val="lt-LT"/>
              </w:rPr>
              <w:t>2.</w:t>
            </w:r>
          </w:p>
        </w:tc>
        <w:tc>
          <w:tcPr>
            <w:tcW w:w="1997" w:type="dxa"/>
            <w:tcBorders>
              <w:top w:val="single" w:sz="6" w:space="0" w:color="auto"/>
              <w:left w:val="single" w:sz="6" w:space="0" w:color="auto"/>
              <w:bottom w:val="single" w:sz="6" w:space="0" w:color="auto"/>
              <w:right w:val="single" w:sz="6" w:space="0" w:color="auto"/>
            </w:tcBorders>
          </w:tcPr>
          <w:p w14:paraId="7CAA18BE" w14:textId="4C5B8C78" w:rsidR="00521077" w:rsidRPr="00B70E6C" w:rsidRDefault="00521077" w:rsidP="00BB2FFF">
            <w:pPr>
              <w:rPr>
                <w:lang w:val="lt-LT"/>
              </w:rPr>
            </w:pPr>
            <w:r w:rsidRPr="00B70E6C">
              <w:rPr>
                <w:lang w:val="lt-LT"/>
              </w:rPr>
              <w:t xml:space="preserve">Testai </w:t>
            </w:r>
          </w:p>
        </w:tc>
        <w:tc>
          <w:tcPr>
            <w:tcW w:w="6379" w:type="dxa"/>
            <w:tcBorders>
              <w:top w:val="single" w:sz="6" w:space="0" w:color="auto"/>
              <w:left w:val="single" w:sz="6" w:space="0" w:color="auto"/>
              <w:bottom w:val="single" w:sz="6" w:space="0" w:color="auto"/>
              <w:right w:val="single" w:sz="6" w:space="0" w:color="auto"/>
            </w:tcBorders>
          </w:tcPr>
          <w:p w14:paraId="0E89114B" w14:textId="51B60BCC" w:rsidR="00521077" w:rsidRPr="00B70E6C" w:rsidRDefault="00521077" w:rsidP="001E35C8">
            <w:pPr>
              <w:pStyle w:val="NoSpacing"/>
              <w:numPr>
                <w:ilvl w:val="0"/>
                <w:numId w:val="24"/>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Testų rinkinys - serija sudaryta iš atskirų testų, kurie atliekami paeiliui vienos sesijos metu;</w:t>
            </w:r>
          </w:p>
          <w:p w14:paraId="65DA743F" w14:textId="5813D2C0" w:rsidR="00521077" w:rsidRPr="00B70E6C" w:rsidRDefault="00521077" w:rsidP="00C12CA6">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į rinkinio sudėtį įeina ne mažiau kaip šių neuropsichologinių dimensijų testai:</w:t>
            </w:r>
          </w:p>
          <w:p w14:paraId="0187B34E" w14:textId="7B31B221" w:rsidR="00521077" w:rsidRPr="00B70E6C" w:rsidRDefault="00521077" w:rsidP="00C12CA6">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dėmesio – 3 subdimensijos,</w:t>
            </w:r>
          </w:p>
          <w:p w14:paraId="58AD6A4D" w14:textId="4FC09A7B"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sz w:val="24"/>
                <w:szCs w:val="24"/>
              </w:rPr>
              <w:t>atminties -3 subdimensijos,</w:t>
            </w:r>
          </w:p>
          <w:p w14:paraId="4B71577F" w14:textId="4FE81A8D"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sz w:val="24"/>
                <w:szCs w:val="24"/>
              </w:rPr>
              <w:t>vykdomosios funkcijos – 4 subdimensijos,</w:t>
            </w:r>
          </w:p>
          <w:p w14:paraId="4AB34E87" w14:textId="4168BDD9"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color w:val="000000"/>
                <w:sz w:val="24"/>
                <w:szCs w:val="24"/>
              </w:rPr>
              <w:t xml:space="preserve">testų seka ir intervalai tarp testų neturi būti pažeidžiami testuojant; </w:t>
            </w:r>
            <w:r w:rsidRPr="00B70E6C">
              <w:rPr>
                <w:rFonts w:ascii="Times New Roman" w:hAnsi="Times New Roman" w:cs="Times New Roman"/>
                <w:sz w:val="24"/>
                <w:szCs w:val="24"/>
              </w:rPr>
              <w:t>bendras testų serijos atlikimo laikas apie 55 min.,</w:t>
            </w:r>
          </w:p>
          <w:p w14:paraId="653B235A" w14:textId="765C846A"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sz w:val="24"/>
                <w:szCs w:val="24"/>
              </w:rPr>
              <w:t>esant reikalui, gali būti atliekami 3 – 6 minučių papildomi testai:</w:t>
            </w:r>
          </w:p>
          <w:p w14:paraId="28A282CF" w14:textId="77777777"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sz w:val="24"/>
                <w:szCs w:val="24"/>
              </w:rPr>
              <w:t>kompiuterio pelės naudojimo testas, regos lauko ir neigimo testas;</w:t>
            </w:r>
          </w:p>
          <w:p w14:paraId="2F5B082A" w14:textId="7B4A4913" w:rsidR="00521077" w:rsidRPr="00B70E6C" w:rsidRDefault="00521077" w:rsidP="00C12CA6">
            <w:pPr>
              <w:pStyle w:val="NoSpacing"/>
              <w:rPr>
                <w:rFonts w:ascii="Times New Roman" w:hAnsi="Times New Roman" w:cs="Times New Roman"/>
                <w:sz w:val="24"/>
                <w:szCs w:val="24"/>
              </w:rPr>
            </w:pPr>
            <w:r w:rsidRPr="00B70E6C">
              <w:rPr>
                <w:rFonts w:ascii="Times New Roman" w:hAnsi="Times New Roman" w:cs="Times New Roman"/>
                <w:sz w:val="24"/>
                <w:szCs w:val="24"/>
              </w:rPr>
              <w:t>tiekiamos dvi testo formos, siekiant įvertinti testuojamojo būklės kitimą laiko atžvilgiu.</w:t>
            </w:r>
          </w:p>
          <w:p w14:paraId="579ABC85" w14:textId="38B9483B" w:rsidR="00521077" w:rsidRPr="00B70E6C" w:rsidRDefault="00521077" w:rsidP="001E35C8">
            <w:pPr>
              <w:pStyle w:val="NoSpacing"/>
              <w:numPr>
                <w:ilvl w:val="0"/>
                <w:numId w:val="24"/>
              </w:numPr>
              <w:rPr>
                <w:rFonts w:ascii="Times New Roman" w:hAnsi="Times New Roman" w:cs="Times New Roman"/>
                <w:sz w:val="24"/>
                <w:szCs w:val="24"/>
              </w:rPr>
            </w:pPr>
            <w:r w:rsidRPr="00B70E6C">
              <w:rPr>
                <w:rFonts w:ascii="Times New Roman" w:hAnsi="Times New Roman" w:cs="Times New Roman"/>
                <w:sz w:val="24"/>
                <w:szCs w:val="24"/>
              </w:rPr>
              <w:t>Erdvinės darbinės atminties testas (Corsi tipo), iki ne mažiau kaip 9 blokų; 3 testo formos; trukmė apie 10 – 15 min.</w:t>
            </w:r>
          </w:p>
          <w:p w14:paraId="06300A6A" w14:textId="45A29F4C" w:rsidR="00521077" w:rsidRPr="00B70E6C" w:rsidRDefault="00521077" w:rsidP="001E35C8">
            <w:pPr>
              <w:pStyle w:val="NoSpacing"/>
              <w:numPr>
                <w:ilvl w:val="0"/>
                <w:numId w:val="24"/>
              </w:numPr>
              <w:rPr>
                <w:rFonts w:ascii="Times New Roman" w:hAnsi="Times New Roman" w:cs="Times New Roman"/>
                <w:sz w:val="24"/>
                <w:szCs w:val="24"/>
              </w:rPr>
            </w:pPr>
            <w:r w:rsidRPr="00B70E6C">
              <w:rPr>
                <w:rFonts w:ascii="Times New Roman" w:hAnsi="Times New Roman" w:cs="Times New Roman"/>
                <w:sz w:val="24"/>
                <w:szCs w:val="24"/>
              </w:rPr>
              <w:t>Dėmesingumo ir koncentracijos testas – ne mažiau kaip 3 subdimencijoms matuoti – selektyviojo dėmesio, dėmesio išlaikymo, paskirstytojo dėmesio; 6 testo formos, trumpa ir ilgoji formos.</w:t>
            </w:r>
          </w:p>
          <w:p w14:paraId="37DD899D" w14:textId="3DA29582" w:rsidR="00521077" w:rsidRPr="00B70E6C" w:rsidRDefault="00521077" w:rsidP="001E35C8">
            <w:pPr>
              <w:pStyle w:val="NoSpacing"/>
              <w:numPr>
                <w:ilvl w:val="0"/>
                <w:numId w:val="24"/>
              </w:numPr>
              <w:rPr>
                <w:rFonts w:ascii="Times New Roman" w:hAnsi="Times New Roman" w:cs="Times New Roman"/>
                <w:sz w:val="24"/>
                <w:szCs w:val="24"/>
              </w:rPr>
            </w:pPr>
            <w:r w:rsidRPr="00B70E6C">
              <w:rPr>
                <w:rFonts w:ascii="Times New Roman" w:hAnsi="Times New Roman" w:cs="Times New Roman"/>
                <w:sz w:val="24"/>
                <w:szCs w:val="24"/>
              </w:rPr>
              <w:t>Periferinio suvokimo (</w:t>
            </w:r>
            <w:r w:rsidRPr="00B70E6C">
              <w:rPr>
                <w:rFonts w:ascii="Times New Roman" w:hAnsi="Times New Roman" w:cs="Times New Roman"/>
                <w:i/>
                <w:iCs/>
                <w:sz w:val="24"/>
                <w:szCs w:val="24"/>
              </w:rPr>
              <w:t>peripheral perception</w:t>
            </w:r>
            <w:r w:rsidRPr="00B70E6C">
              <w:rPr>
                <w:rFonts w:ascii="Times New Roman" w:hAnsi="Times New Roman" w:cs="Times New Roman"/>
                <w:sz w:val="24"/>
                <w:szCs w:val="24"/>
              </w:rPr>
              <w:t xml:space="preserve">) testas, tiekiamas kartu su priedais darbo vietai įrengti – šviesos stimulų juostomis, pedalais; matuojamas regėjimo laukas, regėjimo kampas dešinėje ir kairėje, reakcijos greitis, </w:t>
            </w:r>
            <w:r>
              <w:rPr>
                <w:rFonts w:ascii="Times New Roman" w:hAnsi="Times New Roman" w:cs="Times New Roman"/>
                <w:sz w:val="24"/>
                <w:szCs w:val="24"/>
              </w:rPr>
              <w:t>turi būti</w:t>
            </w:r>
            <w:r w:rsidRPr="00B70E6C">
              <w:rPr>
                <w:rFonts w:ascii="Times New Roman" w:hAnsi="Times New Roman" w:cs="Times New Roman"/>
                <w:sz w:val="24"/>
                <w:szCs w:val="24"/>
              </w:rPr>
              <w:t xml:space="preserve"> trukdantys stimulai; 1 testo forma, trukmė apie 15 min.</w:t>
            </w:r>
          </w:p>
          <w:p w14:paraId="7D6D8E8E" w14:textId="77777777" w:rsidR="00521077" w:rsidRPr="00B70E6C" w:rsidRDefault="00521077" w:rsidP="00DB71FD">
            <w:pPr>
              <w:pStyle w:val="NoSpacing"/>
              <w:rPr>
                <w:rFonts w:ascii="Times New Roman" w:hAnsi="Times New Roman" w:cs="Times New Roman"/>
                <w:sz w:val="24"/>
                <w:szCs w:val="24"/>
              </w:rPr>
            </w:pPr>
          </w:p>
          <w:p w14:paraId="7E96242D" w14:textId="2F30B08F" w:rsidR="00521077" w:rsidRPr="00B70E6C" w:rsidRDefault="00521077" w:rsidP="00DB71FD">
            <w:pPr>
              <w:pStyle w:val="NoSpacing"/>
              <w:rPr>
                <w:rFonts w:ascii="Times New Roman" w:hAnsi="Times New Roman" w:cs="Times New Roman"/>
                <w:sz w:val="24"/>
                <w:szCs w:val="24"/>
              </w:rPr>
            </w:pPr>
            <w:r w:rsidRPr="00B70E6C">
              <w:rPr>
                <w:rFonts w:ascii="Times New Roman" w:hAnsi="Times New Roman" w:cs="Times New Roman"/>
                <w:sz w:val="24"/>
                <w:szCs w:val="24"/>
              </w:rPr>
              <w:t>Visi testai turi privalomą vaizdinių instrukcijų ir bandymo stadiją, atliekamą prieš testą.</w:t>
            </w:r>
          </w:p>
        </w:tc>
      </w:tr>
      <w:tr w:rsidR="00521077" w:rsidRPr="00B70E6C" w14:paraId="690DF3DA" w14:textId="77777777" w:rsidTr="00521077">
        <w:tc>
          <w:tcPr>
            <w:tcW w:w="902" w:type="dxa"/>
            <w:tcBorders>
              <w:top w:val="single" w:sz="6" w:space="0" w:color="auto"/>
              <w:left w:val="single" w:sz="6" w:space="0" w:color="auto"/>
              <w:bottom w:val="single" w:sz="6" w:space="0" w:color="auto"/>
              <w:right w:val="single" w:sz="6" w:space="0" w:color="auto"/>
            </w:tcBorders>
          </w:tcPr>
          <w:p w14:paraId="6AC6E16B" w14:textId="7CB61C54" w:rsidR="00521077" w:rsidRPr="00B70E6C" w:rsidRDefault="00521077">
            <w:pPr>
              <w:jc w:val="center"/>
              <w:rPr>
                <w:bCs/>
                <w:lang w:val="lt-LT"/>
              </w:rPr>
            </w:pPr>
            <w:r w:rsidRPr="00B70E6C">
              <w:rPr>
                <w:bCs/>
                <w:lang w:val="lt-LT"/>
              </w:rPr>
              <w:t>3.</w:t>
            </w:r>
          </w:p>
        </w:tc>
        <w:tc>
          <w:tcPr>
            <w:tcW w:w="1997" w:type="dxa"/>
            <w:tcBorders>
              <w:top w:val="single" w:sz="6" w:space="0" w:color="auto"/>
              <w:left w:val="single" w:sz="6" w:space="0" w:color="auto"/>
              <w:bottom w:val="single" w:sz="6" w:space="0" w:color="auto"/>
              <w:right w:val="single" w:sz="6" w:space="0" w:color="auto"/>
            </w:tcBorders>
          </w:tcPr>
          <w:p w14:paraId="6AC2ADB8" w14:textId="0BF9C494" w:rsidR="00521077" w:rsidRPr="00B70E6C" w:rsidRDefault="00521077" w:rsidP="00BB2FFF">
            <w:pPr>
              <w:rPr>
                <w:lang w:val="lt-LT"/>
              </w:rPr>
            </w:pPr>
            <w:r w:rsidRPr="00B70E6C">
              <w:rPr>
                <w:lang w:val="lt-LT"/>
              </w:rPr>
              <w:t xml:space="preserve">Testavimo sąlygų standartizavimo  įrankiai </w:t>
            </w:r>
          </w:p>
        </w:tc>
        <w:tc>
          <w:tcPr>
            <w:tcW w:w="6379" w:type="dxa"/>
            <w:tcBorders>
              <w:top w:val="single" w:sz="6" w:space="0" w:color="auto"/>
              <w:left w:val="single" w:sz="6" w:space="0" w:color="auto"/>
              <w:bottom w:val="single" w:sz="6" w:space="0" w:color="auto"/>
              <w:right w:val="single" w:sz="6" w:space="0" w:color="auto"/>
            </w:tcBorders>
          </w:tcPr>
          <w:p w14:paraId="6CEA49B9" w14:textId="068C791B" w:rsidR="00521077" w:rsidRPr="00B70E6C" w:rsidRDefault="00521077" w:rsidP="00FA3EDA">
            <w:pPr>
              <w:pStyle w:val="NoSpacing"/>
              <w:numPr>
                <w:ilvl w:val="0"/>
                <w:numId w:val="23"/>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Pateikiamas įvesties įrankis – speciali klaviatūra, kad išvengti kompiuterio klaviatūros naudojimo įgūdžių skirtumo;</w:t>
            </w:r>
          </w:p>
          <w:p w14:paraId="3CA25D4D" w14:textId="6C778016" w:rsidR="00521077" w:rsidRPr="00B70E6C" w:rsidRDefault="00521077" w:rsidP="00FA3EDA">
            <w:pPr>
              <w:pStyle w:val="NoSpacing"/>
              <w:numPr>
                <w:ilvl w:val="0"/>
                <w:numId w:val="23"/>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Pateikiamas įvesties įrankis – pedalai, prijungiami prie kartu tiekiamos klaviatūros;</w:t>
            </w:r>
          </w:p>
          <w:p w14:paraId="3AF5DA97" w14:textId="2EC2BA05" w:rsidR="00521077" w:rsidRPr="00B70E6C" w:rsidRDefault="00521077" w:rsidP="00FA3EDA">
            <w:pPr>
              <w:pStyle w:val="NoSpacing"/>
              <w:numPr>
                <w:ilvl w:val="0"/>
                <w:numId w:val="23"/>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Vaizdinio stimulo delsos kalibracija – su programine įranga pateikiamas automatinis  ekrano kalibravimo modulis, kad sumažinti paklaidą vertinant atsako į stimulą greitį;</w:t>
            </w:r>
          </w:p>
          <w:p w14:paraId="498F62C1" w14:textId="794080F9" w:rsidR="00521077" w:rsidRPr="00B70E6C" w:rsidRDefault="00521077" w:rsidP="00FA3EDA">
            <w:pPr>
              <w:pStyle w:val="NoSpacing"/>
              <w:numPr>
                <w:ilvl w:val="0"/>
                <w:numId w:val="23"/>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lastRenderedPageBreak/>
              <w:t>Girdimojo stimulo išvestis – integruota kartu pateikiamoje specialioje klaviatūroje, kad suvienodinti garsinių stimulų parametrus visiems tiriamiesiems.</w:t>
            </w:r>
          </w:p>
        </w:tc>
      </w:tr>
      <w:tr w:rsidR="00521077" w:rsidRPr="00B70E6C" w14:paraId="65F6606F" w14:textId="77777777" w:rsidTr="00521077">
        <w:tc>
          <w:tcPr>
            <w:tcW w:w="902" w:type="dxa"/>
            <w:tcBorders>
              <w:top w:val="single" w:sz="6" w:space="0" w:color="auto"/>
              <w:left w:val="single" w:sz="6" w:space="0" w:color="auto"/>
              <w:bottom w:val="single" w:sz="6" w:space="0" w:color="auto"/>
              <w:right w:val="single" w:sz="6" w:space="0" w:color="auto"/>
            </w:tcBorders>
          </w:tcPr>
          <w:p w14:paraId="0186C5AE" w14:textId="027F51A9" w:rsidR="00521077" w:rsidRPr="00B70E6C" w:rsidRDefault="00521077">
            <w:pPr>
              <w:jc w:val="center"/>
              <w:rPr>
                <w:bCs/>
                <w:lang w:val="lt-LT"/>
              </w:rPr>
            </w:pPr>
            <w:r w:rsidRPr="00B70E6C">
              <w:rPr>
                <w:bCs/>
                <w:lang w:val="lt-LT"/>
              </w:rPr>
              <w:lastRenderedPageBreak/>
              <w:t>4.</w:t>
            </w:r>
          </w:p>
        </w:tc>
        <w:tc>
          <w:tcPr>
            <w:tcW w:w="1997" w:type="dxa"/>
            <w:tcBorders>
              <w:top w:val="single" w:sz="6" w:space="0" w:color="auto"/>
              <w:left w:val="single" w:sz="6" w:space="0" w:color="auto"/>
              <w:bottom w:val="single" w:sz="6" w:space="0" w:color="auto"/>
              <w:right w:val="single" w:sz="6" w:space="0" w:color="auto"/>
            </w:tcBorders>
          </w:tcPr>
          <w:p w14:paraId="2A5A5298" w14:textId="3E20E6CB" w:rsidR="00521077" w:rsidRPr="00B70E6C" w:rsidRDefault="00521077" w:rsidP="00BB2FFF">
            <w:pPr>
              <w:rPr>
                <w:lang w:val="lt-LT"/>
              </w:rPr>
            </w:pPr>
            <w:r w:rsidRPr="00B70E6C">
              <w:rPr>
                <w:lang w:val="lt-LT"/>
              </w:rPr>
              <w:t>Testų užduočių instrukcijų kalba tiriamajam</w:t>
            </w:r>
          </w:p>
        </w:tc>
        <w:tc>
          <w:tcPr>
            <w:tcW w:w="6379" w:type="dxa"/>
            <w:tcBorders>
              <w:top w:val="single" w:sz="6" w:space="0" w:color="auto"/>
              <w:left w:val="single" w:sz="6" w:space="0" w:color="auto"/>
              <w:bottom w:val="single" w:sz="6" w:space="0" w:color="auto"/>
              <w:right w:val="single" w:sz="6" w:space="0" w:color="auto"/>
            </w:tcBorders>
          </w:tcPr>
          <w:p w14:paraId="661F5567" w14:textId="51248188" w:rsidR="00521077" w:rsidRPr="00B70E6C" w:rsidRDefault="00521077" w:rsidP="00C12CA6">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 xml:space="preserve">Lietuvių </w:t>
            </w:r>
          </w:p>
        </w:tc>
      </w:tr>
      <w:tr w:rsidR="00521077" w:rsidRPr="00B70E6C" w14:paraId="302DD5EA" w14:textId="77777777" w:rsidTr="00521077">
        <w:tc>
          <w:tcPr>
            <w:tcW w:w="902" w:type="dxa"/>
            <w:tcBorders>
              <w:top w:val="single" w:sz="6" w:space="0" w:color="auto"/>
              <w:left w:val="single" w:sz="6" w:space="0" w:color="auto"/>
              <w:bottom w:val="single" w:sz="6" w:space="0" w:color="auto"/>
              <w:right w:val="single" w:sz="6" w:space="0" w:color="auto"/>
            </w:tcBorders>
          </w:tcPr>
          <w:p w14:paraId="02E03D7D" w14:textId="031E673D" w:rsidR="00521077" w:rsidRPr="00B70E6C" w:rsidRDefault="00521077">
            <w:pPr>
              <w:jc w:val="center"/>
              <w:rPr>
                <w:bCs/>
                <w:lang w:val="lt-LT"/>
              </w:rPr>
            </w:pPr>
            <w:r w:rsidRPr="00B70E6C">
              <w:rPr>
                <w:bCs/>
                <w:lang w:val="lt-LT"/>
              </w:rPr>
              <w:t>5.</w:t>
            </w:r>
          </w:p>
        </w:tc>
        <w:tc>
          <w:tcPr>
            <w:tcW w:w="1997" w:type="dxa"/>
            <w:tcBorders>
              <w:top w:val="single" w:sz="6" w:space="0" w:color="auto"/>
              <w:left w:val="single" w:sz="6" w:space="0" w:color="auto"/>
              <w:bottom w:val="single" w:sz="6" w:space="0" w:color="auto"/>
              <w:right w:val="single" w:sz="6" w:space="0" w:color="auto"/>
            </w:tcBorders>
          </w:tcPr>
          <w:p w14:paraId="6FA3866D" w14:textId="558E77C8" w:rsidR="00521077" w:rsidRPr="00B70E6C" w:rsidRDefault="00521077" w:rsidP="00BB2FFF">
            <w:pPr>
              <w:rPr>
                <w:lang w:val="lt-LT"/>
              </w:rPr>
            </w:pPr>
            <w:r w:rsidRPr="00B70E6C">
              <w:rPr>
                <w:lang w:val="lt-LT"/>
              </w:rPr>
              <w:t xml:space="preserve">Rezultatų vertinimas ir pateikimas </w:t>
            </w:r>
          </w:p>
        </w:tc>
        <w:tc>
          <w:tcPr>
            <w:tcW w:w="6379" w:type="dxa"/>
            <w:tcBorders>
              <w:top w:val="single" w:sz="6" w:space="0" w:color="auto"/>
              <w:left w:val="single" w:sz="6" w:space="0" w:color="auto"/>
              <w:bottom w:val="single" w:sz="6" w:space="0" w:color="auto"/>
              <w:right w:val="single" w:sz="6" w:space="0" w:color="auto"/>
            </w:tcBorders>
          </w:tcPr>
          <w:p w14:paraId="38CBAA9C" w14:textId="528CB70C" w:rsidR="00521077" w:rsidRPr="00B70E6C" w:rsidRDefault="00521077" w:rsidP="00F0509F">
            <w:pPr>
              <w:rPr>
                <w:lang w:val="lt-LT"/>
              </w:rPr>
            </w:pPr>
            <w:r w:rsidRPr="00B70E6C">
              <w:rPr>
                <w:lang w:val="lt-LT"/>
              </w:rPr>
              <w:t>Rezultatai statistiškai apdorojami ir interpretuojami automatiškai; automatiškai palyginami su normatyviniais Europos gyventojų rezultatais pagal amžių ir lytį, normatyvinių grupių asmenų amžius nuo 11 iki 70 metų;</w:t>
            </w:r>
          </w:p>
          <w:p w14:paraId="0C83239F" w14:textId="46C9CA11" w:rsidR="00521077" w:rsidRPr="00B70E6C" w:rsidRDefault="00521077" w:rsidP="00F0509F">
            <w:pPr>
              <w:rPr>
                <w:lang w:val="lt-LT"/>
              </w:rPr>
            </w:pPr>
            <w:r w:rsidRPr="00B70E6C">
              <w:rPr>
                <w:lang w:val="lt-LT"/>
              </w:rPr>
              <w:t>rezultatai pateikiami spalvinių kodų, skaitinių verčių ir grafine išraiška neuropsichologinių dimensijų ir subdimensijų lygiuose; pateikiami dimensijų paaiškinimai;</w:t>
            </w:r>
          </w:p>
          <w:p w14:paraId="7585D585" w14:textId="77777777" w:rsidR="00521077" w:rsidRPr="00B70E6C" w:rsidRDefault="00521077" w:rsidP="00F0509F">
            <w:pPr>
              <w:rPr>
                <w:lang w:val="lt-LT"/>
              </w:rPr>
            </w:pPr>
            <w:r w:rsidRPr="00B70E6C">
              <w:rPr>
                <w:lang w:val="lt-LT"/>
              </w:rPr>
              <w:t>galima suformuoti individualų tyrimo išrašą ir jį atspausdinti;</w:t>
            </w:r>
          </w:p>
          <w:p w14:paraId="3B6FFFEA" w14:textId="72104580" w:rsidR="00521077" w:rsidRPr="00B70E6C" w:rsidRDefault="00521077" w:rsidP="00F0509F">
            <w:pPr>
              <w:rPr>
                <w:lang w:val="lt-LT"/>
              </w:rPr>
            </w:pPr>
            <w:r w:rsidRPr="00B70E6C">
              <w:rPr>
                <w:lang w:val="lt-LT"/>
              </w:rPr>
              <w:t>išrašas pateikiamas MS Word formatu anglų kaba.</w:t>
            </w:r>
          </w:p>
        </w:tc>
      </w:tr>
      <w:tr w:rsidR="00521077" w:rsidRPr="00B70E6C" w14:paraId="247B3069" w14:textId="77777777" w:rsidTr="00521077">
        <w:tc>
          <w:tcPr>
            <w:tcW w:w="902" w:type="dxa"/>
            <w:tcBorders>
              <w:top w:val="single" w:sz="6" w:space="0" w:color="auto"/>
              <w:left w:val="single" w:sz="6" w:space="0" w:color="auto"/>
              <w:bottom w:val="single" w:sz="6" w:space="0" w:color="auto"/>
              <w:right w:val="single" w:sz="6" w:space="0" w:color="auto"/>
            </w:tcBorders>
          </w:tcPr>
          <w:p w14:paraId="4F03BA1E" w14:textId="06714D2D" w:rsidR="00521077" w:rsidRPr="00B70E6C" w:rsidRDefault="00521077">
            <w:pPr>
              <w:jc w:val="center"/>
              <w:rPr>
                <w:bCs/>
                <w:lang w:val="lt-LT"/>
              </w:rPr>
            </w:pPr>
            <w:r w:rsidRPr="00B70E6C">
              <w:rPr>
                <w:bCs/>
                <w:lang w:val="lt-LT"/>
              </w:rPr>
              <w:t>6.</w:t>
            </w:r>
          </w:p>
        </w:tc>
        <w:tc>
          <w:tcPr>
            <w:tcW w:w="1997" w:type="dxa"/>
            <w:tcBorders>
              <w:top w:val="single" w:sz="6" w:space="0" w:color="auto"/>
              <w:left w:val="single" w:sz="6" w:space="0" w:color="auto"/>
              <w:bottom w:val="single" w:sz="6" w:space="0" w:color="auto"/>
              <w:right w:val="single" w:sz="6" w:space="0" w:color="auto"/>
            </w:tcBorders>
          </w:tcPr>
          <w:p w14:paraId="5D07F347" w14:textId="7C592ABE" w:rsidR="00521077" w:rsidRPr="00B70E6C" w:rsidRDefault="00521077" w:rsidP="00BB2FFF">
            <w:pPr>
              <w:rPr>
                <w:lang w:val="lt-LT"/>
              </w:rPr>
            </w:pPr>
            <w:r w:rsidRPr="00B70E6C">
              <w:rPr>
                <w:lang w:val="lt-LT"/>
              </w:rPr>
              <w:t xml:space="preserve">Licencijos </w:t>
            </w:r>
          </w:p>
        </w:tc>
        <w:tc>
          <w:tcPr>
            <w:tcW w:w="6379" w:type="dxa"/>
            <w:tcBorders>
              <w:top w:val="single" w:sz="6" w:space="0" w:color="auto"/>
              <w:left w:val="single" w:sz="6" w:space="0" w:color="auto"/>
              <w:bottom w:val="single" w:sz="6" w:space="0" w:color="auto"/>
              <w:right w:val="single" w:sz="6" w:space="0" w:color="auto"/>
            </w:tcBorders>
          </w:tcPr>
          <w:p w14:paraId="7E7A62FB" w14:textId="383BCF9E" w:rsidR="00521077" w:rsidRPr="00B70E6C" w:rsidRDefault="00521077" w:rsidP="003B70D8">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Testų administracinė programinė įranga su pacientų duomenų baze ir testai įdiegiami į kartu pateikiamą kompiuterį;</w:t>
            </w:r>
          </w:p>
          <w:p w14:paraId="3B3802BE" w14:textId="621E6000" w:rsidR="00521077" w:rsidRPr="00B70E6C" w:rsidRDefault="00521077" w:rsidP="00350DCC">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prieiga prie interneto nereikalinga naudojantis testais;</w:t>
            </w:r>
          </w:p>
          <w:p w14:paraId="150CD797" w14:textId="762591BF" w:rsidR="00521077" w:rsidRPr="00B70E6C" w:rsidRDefault="00521077" w:rsidP="00FC2BDD">
            <w:pPr>
              <w:rPr>
                <w:lang w:val="lt-LT"/>
              </w:rPr>
            </w:pPr>
            <w:r w:rsidRPr="00B70E6C">
              <w:rPr>
                <w:lang w:val="lt-LT"/>
              </w:rPr>
              <w:t xml:space="preserve">suteikiama ne mažiau kaip 7 metų administracinės programos ir testų pastovaus naudojimo licencija; </w:t>
            </w:r>
            <w:r>
              <w:rPr>
                <w:lang w:val="lt-LT"/>
              </w:rPr>
              <w:t xml:space="preserve">USB licencijų raktas; </w:t>
            </w:r>
            <w:r w:rsidRPr="00B70E6C">
              <w:rPr>
                <w:lang w:val="lt-LT"/>
              </w:rPr>
              <w:t>testuojamųjų skaičius neribojamas.</w:t>
            </w:r>
          </w:p>
        </w:tc>
      </w:tr>
      <w:tr w:rsidR="00521077" w:rsidRPr="00EE7DAE" w14:paraId="09921A79" w14:textId="77777777" w:rsidTr="00521077">
        <w:tc>
          <w:tcPr>
            <w:tcW w:w="902" w:type="dxa"/>
            <w:tcBorders>
              <w:top w:val="single" w:sz="6" w:space="0" w:color="auto"/>
              <w:left w:val="single" w:sz="6" w:space="0" w:color="auto"/>
              <w:bottom w:val="single" w:sz="6" w:space="0" w:color="auto"/>
              <w:right w:val="single" w:sz="6" w:space="0" w:color="auto"/>
            </w:tcBorders>
          </w:tcPr>
          <w:p w14:paraId="09B0BBAC" w14:textId="1178C7F6" w:rsidR="00521077" w:rsidRPr="00EE7DAE" w:rsidRDefault="00521077" w:rsidP="00CE77A8">
            <w:pPr>
              <w:jc w:val="center"/>
              <w:rPr>
                <w:bCs/>
                <w:lang w:val="lt-LT"/>
              </w:rPr>
            </w:pPr>
            <w:r w:rsidRPr="00EE7DAE">
              <w:rPr>
                <w:bCs/>
                <w:lang w:val="lt-LT"/>
              </w:rPr>
              <w:t>7.</w:t>
            </w:r>
          </w:p>
        </w:tc>
        <w:tc>
          <w:tcPr>
            <w:tcW w:w="1997" w:type="dxa"/>
            <w:tcBorders>
              <w:top w:val="single" w:sz="6" w:space="0" w:color="auto"/>
              <w:left w:val="single" w:sz="6" w:space="0" w:color="auto"/>
              <w:bottom w:val="single" w:sz="6" w:space="0" w:color="auto"/>
              <w:right w:val="single" w:sz="6" w:space="0" w:color="auto"/>
            </w:tcBorders>
          </w:tcPr>
          <w:p w14:paraId="5C1C758C" w14:textId="4E4FF3C5" w:rsidR="00521077" w:rsidRPr="00EE7DAE" w:rsidRDefault="00521077" w:rsidP="00CE77A8">
            <w:pPr>
              <w:rPr>
                <w:bCs/>
                <w:lang w:val="lt-LT"/>
              </w:rPr>
            </w:pPr>
            <w:r w:rsidRPr="00EE7DAE">
              <w:rPr>
                <w:bCs/>
                <w:lang w:val="lt-LT"/>
              </w:rPr>
              <w:t>Kompiuteris monoblokas</w:t>
            </w:r>
          </w:p>
        </w:tc>
        <w:tc>
          <w:tcPr>
            <w:tcW w:w="6379" w:type="dxa"/>
            <w:tcBorders>
              <w:top w:val="single" w:sz="6" w:space="0" w:color="auto"/>
              <w:left w:val="single" w:sz="6" w:space="0" w:color="auto"/>
              <w:bottom w:val="single" w:sz="6" w:space="0" w:color="auto"/>
              <w:right w:val="single" w:sz="6" w:space="0" w:color="auto"/>
            </w:tcBorders>
          </w:tcPr>
          <w:p w14:paraId="4AD66150" w14:textId="794A58EC" w:rsidR="00521077" w:rsidRPr="00EE7DAE" w:rsidRDefault="00521077" w:rsidP="00FB3AEF">
            <w:pPr>
              <w:rPr>
                <w:bCs/>
                <w:lang w:val="lt-LT"/>
              </w:rPr>
            </w:pPr>
            <w:r w:rsidRPr="00EE7DAE">
              <w:rPr>
                <w:bCs/>
                <w:lang w:val="lt-LT"/>
              </w:rPr>
              <w:t xml:space="preserve">Liečiamasis monitorius ne mažiau kaip 23“, operacinė sistema Windows 11 ar lygiavertė, bevielė klaviatūra, bevielė pelė. </w:t>
            </w:r>
          </w:p>
        </w:tc>
      </w:tr>
      <w:tr w:rsidR="00521077" w:rsidRPr="00B70E6C" w14:paraId="55DC4490" w14:textId="77777777" w:rsidTr="00521077">
        <w:tc>
          <w:tcPr>
            <w:tcW w:w="902" w:type="dxa"/>
            <w:tcBorders>
              <w:top w:val="single" w:sz="6" w:space="0" w:color="auto"/>
              <w:left w:val="single" w:sz="6" w:space="0" w:color="auto"/>
              <w:bottom w:val="single" w:sz="6" w:space="0" w:color="auto"/>
              <w:right w:val="single" w:sz="6" w:space="0" w:color="auto"/>
            </w:tcBorders>
          </w:tcPr>
          <w:p w14:paraId="697447B9" w14:textId="35C342D2" w:rsidR="00521077" w:rsidRPr="00B70E6C" w:rsidRDefault="00521077" w:rsidP="00CE77A8">
            <w:pPr>
              <w:jc w:val="center"/>
              <w:rPr>
                <w:bCs/>
                <w:lang w:val="lt-LT"/>
              </w:rPr>
            </w:pPr>
            <w:r w:rsidRPr="00B70E6C">
              <w:rPr>
                <w:bCs/>
                <w:lang w:val="lt-LT"/>
              </w:rPr>
              <w:t>8.</w:t>
            </w:r>
          </w:p>
        </w:tc>
        <w:tc>
          <w:tcPr>
            <w:tcW w:w="1997" w:type="dxa"/>
            <w:tcBorders>
              <w:top w:val="single" w:sz="6" w:space="0" w:color="auto"/>
              <w:left w:val="single" w:sz="6" w:space="0" w:color="auto"/>
              <w:bottom w:val="single" w:sz="6" w:space="0" w:color="auto"/>
              <w:right w:val="single" w:sz="6" w:space="0" w:color="auto"/>
            </w:tcBorders>
          </w:tcPr>
          <w:p w14:paraId="2CF07C9E" w14:textId="77777777" w:rsidR="00521077" w:rsidRPr="00B70E6C" w:rsidRDefault="00521077" w:rsidP="00CE77A8">
            <w:pPr>
              <w:rPr>
                <w:lang w:val="lt-LT"/>
              </w:rPr>
            </w:pPr>
            <w:r w:rsidRPr="00B70E6C">
              <w:rPr>
                <w:bCs/>
                <w:lang w:val="lt-LT"/>
              </w:rPr>
              <w:t>Personalo mokymai</w:t>
            </w:r>
          </w:p>
        </w:tc>
        <w:tc>
          <w:tcPr>
            <w:tcW w:w="6379" w:type="dxa"/>
            <w:tcBorders>
              <w:top w:val="single" w:sz="6" w:space="0" w:color="auto"/>
              <w:left w:val="single" w:sz="6" w:space="0" w:color="auto"/>
              <w:bottom w:val="single" w:sz="6" w:space="0" w:color="auto"/>
              <w:right w:val="single" w:sz="6" w:space="0" w:color="auto"/>
            </w:tcBorders>
          </w:tcPr>
          <w:p w14:paraId="20E98F45" w14:textId="75472DB7" w:rsidR="00521077" w:rsidRPr="00B70E6C" w:rsidRDefault="00521077" w:rsidP="002F67FE">
            <w:pPr>
              <w:autoSpaceDE w:val="0"/>
              <w:autoSpaceDN w:val="0"/>
              <w:adjustRightInd w:val="0"/>
              <w:rPr>
                <w:rFonts w:eastAsia="MS Mincho"/>
                <w:lang w:val="lt-LT" w:eastAsia="ja-JP"/>
              </w:rPr>
            </w:pPr>
            <w:r w:rsidRPr="00B70E6C">
              <w:rPr>
                <w:lang w:val="lt-LT"/>
              </w:rPr>
              <w:t>Nuotoliniai, tiekiami gamintojo specialisto, ne mažiau kaip 1 darbo diena, dalyvių skaičius neribojamas.</w:t>
            </w:r>
          </w:p>
        </w:tc>
      </w:tr>
      <w:tr w:rsidR="004C0799" w:rsidRPr="00B70E6C" w14:paraId="163A74D4" w14:textId="77777777" w:rsidTr="00521077">
        <w:tc>
          <w:tcPr>
            <w:tcW w:w="902" w:type="dxa"/>
            <w:tcBorders>
              <w:top w:val="single" w:sz="6" w:space="0" w:color="auto"/>
              <w:left w:val="single" w:sz="6" w:space="0" w:color="auto"/>
              <w:bottom w:val="single" w:sz="6" w:space="0" w:color="auto"/>
              <w:right w:val="single" w:sz="6" w:space="0" w:color="auto"/>
            </w:tcBorders>
          </w:tcPr>
          <w:p w14:paraId="185AA892" w14:textId="3B61224B" w:rsidR="004C0799" w:rsidRPr="00B70E6C" w:rsidRDefault="004C0799" w:rsidP="00CE77A8">
            <w:pPr>
              <w:jc w:val="center"/>
              <w:rPr>
                <w:bCs/>
                <w:lang w:val="lt-LT"/>
              </w:rPr>
            </w:pPr>
            <w:r>
              <w:rPr>
                <w:bCs/>
                <w:lang w:val="lt-LT"/>
              </w:rPr>
              <w:t>9.</w:t>
            </w:r>
          </w:p>
        </w:tc>
        <w:tc>
          <w:tcPr>
            <w:tcW w:w="1997" w:type="dxa"/>
            <w:tcBorders>
              <w:top w:val="single" w:sz="6" w:space="0" w:color="auto"/>
              <w:left w:val="single" w:sz="6" w:space="0" w:color="auto"/>
              <w:bottom w:val="single" w:sz="6" w:space="0" w:color="auto"/>
              <w:right w:val="single" w:sz="6" w:space="0" w:color="auto"/>
            </w:tcBorders>
          </w:tcPr>
          <w:p w14:paraId="690196D1" w14:textId="3A883FF9" w:rsidR="004C0799" w:rsidRPr="00B70E6C" w:rsidRDefault="004C0799" w:rsidP="00CE77A8">
            <w:pPr>
              <w:rPr>
                <w:bCs/>
                <w:lang w:val="lt-LT"/>
              </w:rPr>
            </w:pPr>
            <w:r>
              <w:rPr>
                <w:bCs/>
                <w:lang w:val="lt-LT"/>
              </w:rPr>
              <w:t>Aplinkosauginiai reikalavimai</w:t>
            </w:r>
          </w:p>
        </w:tc>
        <w:tc>
          <w:tcPr>
            <w:tcW w:w="6379" w:type="dxa"/>
            <w:tcBorders>
              <w:top w:val="single" w:sz="6" w:space="0" w:color="auto"/>
              <w:left w:val="single" w:sz="6" w:space="0" w:color="auto"/>
              <w:bottom w:val="single" w:sz="6" w:space="0" w:color="auto"/>
              <w:right w:val="single" w:sz="6" w:space="0" w:color="auto"/>
            </w:tcBorders>
          </w:tcPr>
          <w:p w14:paraId="7D03CF73" w14:textId="31DC1BC0" w:rsidR="004C0799" w:rsidRPr="00B70E6C" w:rsidRDefault="00132A39" w:rsidP="002F67FE">
            <w:pPr>
              <w:autoSpaceDE w:val="0"/>
              <w:autoSpaceDN w:val="0"/>
              <w:adjustRightInd w:val="0"/>
              <w:rPr>
                <w:lang w:val="lt-LT"/>
              </w:rPr>
            </w:pPr>
            <w:r>
              <w:rPr>
                <w:lang w:val="lt-LT"/>
              </w:rPr>
              <w:t xml:space="preserve">Vadovaujantis </w:t>
            </w:r>
            <w:r w:rsidR="00A26698" w:rsidRPr="00A26698">
              <w:rPr>
                <w:lang w:val="lt-LT"/>
              </w:rPr>
              <w:t>Lietuvos Respublikos aplinkos ministro 2011 m. birželio 28 d. įsakymu Nr. D1-508 „Dėl aplinkos apsaugos kriterijų taikymo, vykdant žaliuosius pirkimus, tvarkos aprašo patvirtinimo“</w:t>
            </w:r>
            <w:r w:rsidR="00A26698">
              <w:rPr>
                <w:lang w:val="lt-LT"/>
              </w:rPr>
              <w:t xml:space="preserve"> </w:t>
            </w:r>
            <w:r w:rsidR="00B1718F" w:rsidRPr="00B1718F">
              <w:rPr>
                <w:lang w:val="lt-LT"/>
              </w:rPr>
              <w:t>4.4.4.4.</w:t>
            </w:r>
            <w:r w:rsidR="00A26698">
              <w:rPr>
                <w:lang w:val="lt-LT"/>
              </w:rPr>
              <w:t xml:space="preserve"> papunk</w:t>
            </w:r>
            <w:r>
              <w:rPr>
                <w:lang w:val="lt-LT"/>
              </w:rPr>
              <w:t xml:space="preserve">čiu - </w:t>
            </w:r>
            <w:r w:rsidR="00B1718F" w:rsidRPr="00B1718F">
              <w:rPr>
                <w:lang w:val="lt-LT"/>
              </w:rPr>
              <w:t xml:space="preserve"> prekė yra tvirta, ilgaamžė, funkcionali, ji ar jos sudedamosios dalys tinka naudoti daug kartų ir (ar) lengvai pataisomos, ir (ar) pakeičiamos</w:t>
            </w:r>
          </w:p>
        </w:tc>
      </w:tr>
    </w:tbl>
    <w:p w14:paraId="7E56B51A" w14:textId="77777777" w:rsidR="00AC725D" w:rsidRPr="00712687" w:rsidRDefault="00AC725D">
      <w:pPr>
        <w:rPr>
          <w:lang w:val="lt-LT"/>
        </w:rPr>
      </w:pPr>
    </w:p>
    <w:bookmarkEnd w:id="0"/>
    <w:p w14:paraId="5F6E9D48" w14:textId="1A9187D4" w:rsidR="00523E88" w:rsidRPr="00712687" w:rsidRDefault="00823C2F">
      <w:pPr>
        <w:rPr>
          <w:lang w:val="lt-LT"/>
        </w:rPr>
      </w:pPr>
      <w:r>
        <w:rPr>
          <w:lang w:val="lt-LT"/>
        </w:rPr>
        <w:t xml:space="preserve">Prekės turi būti pristatytos </w:t>
      </w:r>
      <w:r w:rsidR="00830341">
        <w:rPr>
          <w:lang w:val="lt-LT"/>
        </w:rPr>
        <w:t xml:space="preserve">iki 2025 m. birželio </w:t>
      </w:r>
      <w:r w:rsidR="004E0850">
        <w:rPr>
          <w:lang w:val="lt-LT"/>
        </w:rPr>
        <w:t>27 d., adresu Sporto g. 6, Kaunas.</w:t>
      </w:r>
    </w:p>
    <w:sectPr w:rsidR="00523E88" w:rsidRPr="007126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4F"/>
    <w:multiLevelType w:val="hybridMultilevel"/>
    <w:tmpl w:val="079645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359B5"/>
    <w:multiLevelType w:val="hybridMultilevel"/>
    <w:tmpl w:val="1F369F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6B1B7A"/>
    <w:multiLevelType w:val="hybridMultilevel"/>
    <w:tmpl w:val="E51C0B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D52FF"/>
    <w:multiLevelType w:val="hybridMultilevel"/>
    <w:tmpl w:val="487083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215862"/>
    <w:multiLevelType w:val="hybridMultilevel"/>
    <w:tmpl w:val="8B166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963AE9"/>
    <w:multiLevelType w:val="hybridMultilevel"/>
    <w:tmpl w:val="2A52D6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B3B9A"/>
    <w:multiLevelType w:val="hybridMultilevel"/>
    <w:tmpl w:val="8ACE6F14"/>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101209B"/>
    <w:multiLevelType w:val="hybridMultilevel"/>
    <w:tmpl w:val="3F0C406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3EF1714"/>
    <w:multiLevelType w:val="hybridMultilevel"/>
    <w:tmpl w:val="D4045B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684D6A"/>
    <w:multiLevelType w:val="hybridMultilevel"/>
    <w:tmpl w:val="658E90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0E6E8B"/>
    <w:multiLevelType w:val="hybridMultilevel"/>
    <w:tmpl w:val="47A4B7C0"/>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71577E"/>
    <w:multiLevelType w:val="hybridMultilevel"/>
    <w:tmpl w:val="A12231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8B6959"/>
    <w:multiLevelType w:val="hybridMultilevel"/>
    <w:tmpl w:val="AED00FBE"/>
    <w:lvl w:ilvl="0" w:tplc="B19EA49C">
      <w:start w:val="1"/>
      <w:numFmt w:val="lowerLetter"/>
      <w:lvlText w:val="%1)"/>
      <w:lvlJc w:val="left"/>
      <w:pPr>
        <w:ind w:left="360" w:hanging="360"/>
      </w:pPr>
      <w:rPr>
        <w:rFonts w:ascii="Times New Roman" w:eastAsia="Times New Roman" w:hAnsi="Times New Roman" w:cs="Times New Roman" w:hint="default"/>
        <w:spacing w:val="-1"/>
        <w:w w:val="106"/>
        <w:position w:val="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0400A3"/>
    <w:multiLevelType w:val="hybridMultilevel"/>
    <w:tmpl w:val="1EF64B44"/>
    <w:lvl w:ilvl="0" w:tplc="B19EA49C">
      <w:start w:val="1"/>
      <w:numFmt w:val="lowerLetter"/>
      <w:lvlText w:val="%1)"/>
      <w:lvlJc w:val="left"/>
      <w:pPr>
        <w:ind w:left="707" w:hanging="360"/>
      </w:pPr>
      <w:rPr>
        <w:rFonts w:ascii="Times New Roman" w:eastAsia="Times New Roman" w:hAnsi="Times New Roman" w:cs="Times New Roman" w:hint="default"/>
        <w:spacing w:val="-1"/>
        <w:w w:val="106"/>
        <w:position w:val="1"/>
        <w:sz w:val="22"/>
        <w:szCs w:val="22"/>
      </w:rPr>
    </w:lvl>
    <w:lvl w:ilvl="1" w:tplc="04270019" w:tentative="1">
      <w:start w:val="1"/>
      <w:numFmt w:val="lowerLetter"/>
      <w:lvlText w:val="%2."/>
      <w:lvlJc w:val="left"/>
      <w:pPr>
        <w:ind w:left="1427" w:hanging="360"/>
      </w:pPr>
    </w:lvl>
    <w:lvl w:ilvl="2" w:tplc="0427001B" w:tentative="1">
      <w:start w:val="1"/>
      <w:numFmt w:val="lowerRoman"/>
      <w:lvlText w:val="%3."/>
      <w:lvlJc w:val="right"/>
      <w:pPr>
        <w:ind w:left="2147" w:hanging="180"/>
      </w:pPr>
    </w:lvl>
    <w:lvl w:ilvl="3" w:tplc="0427000F" w:tentative="1">
      <w:start w:val="1"/>
      <w:numFmt w:val="decimal"/>
      <w:lvlText w:val="%4."/>
      <w:lvlJc w:val="left"/>
      <w:pPr>
        <w:ind w:left="2867" w:hanging="360"/>
      </w:pPr>
    </w:lvl>
    <w:lvl w:ilvl="4" w:tplc="04270019" w:tentative="1">
      <w:start w:val="1"/>
      <w:numFmt w:val="lowerLetter"/>
      <w:lvlText w:val="%5."/>
      <w:lvlJc w:val="left"/>
      <w:pPr>
        <w:ind w:left="3587" w:hanging="360"/>
      </w:pPr>
    </w:lvl>
    <w:lvl w:ilvl="5" w:tplc="0427001B" w:tentative="1">
      <w:start w:val="1"/>
      <w:numFmt w:val="lowerRoman"/>
      <w:lvlText w:val="%6."/>
      <w:lvlJc w:val="right"/>
      <w:pPr>
        <w:ind w:left="4307" w:hanging="180"/>
      </w:pPr>
    </w:lvl>
    <w:lvl w:ilvl="6" w:tplc="0427000F" w:tentative="1">
      <w:start w:val="1"/>
      <w:numFmt w:val="decimal"/>
      <w:lvlText w:val="%7."/>
      <w:lvlJc w:val="left"/>
      <w:pPr>
        <w:ind w:left="5027" w:hanging="360"/>
      </w:pPr>
    </w:lvl>
    <w:lvl w:ilvl="7" w:tplc="04270019" w:tentative="1">
      <w:start w:val="1"/>
      <w:numFmt w:val="lowerLetter"/>
      <w:lvlText w:val="%8."/>
      <w:lvlJc w:val="left"/>
      <w:pPr>
        <w:ind w:left="5747" w:hanging="360"/>
      </w:pPr>
    </w:lvl>
    <w:lvl w:ilvl="8" w:tplc="0427001B" w:tentative="1">
      <w:start w:val="1"/>
      <w:numFmt w:val="lowerRoman"/>
      <w:lvlText w:val="%9."/>
      <w:lvlJc w:val="right"/>
      <w:pPr>
        <w:ind w:left="6467" w:hanging="180"/>
      </w:pPr>
    </w:lvl>
  </w:abstractNum>
  <w:abstractNum w:abstractNumId="14" w15:restartNumberingAfterBreak="0">
    <w:nsid w:val="532D2CA8"/>
    <w:multiLevelType w:val="hybridMultilevel"/>
    <w:tmpl w:val="31C23A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CD2C8B"/>
    <w:multiLevelType w:val="hybridMultilevel"/>
    <w:tmpl w:val="D01EAA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3E1225"/>
    <w:multiLevelType w:val="hybridMultilevel"/>
    <w:tmpl w:val="FF808AE0"/>
    <w:lvl w:ilvl="0" w:tplc="394EE1DC">
      <w:start w:val="1"/>
      <w:numFmt w:val="decimal"/>
      <w:lvlText w:val="%1)"/>
      <w:lvlJc w:val="left"/>
      <w:pPr>
        <w:ind w:left="360" w:hanging="360"/>
      </w:pPr>
      <w:rPr>
        <w:rFonts w:ascii="Times New Roman" w:eastAsiaTheme="minorHAns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2CA35B4"/>
    <w:multiLevelType w:val="hybridMultilevel"/>
    <w:tmpl w:val="53DED5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3E74CF"/>
    <w:multiLevelType w:val="hybridMultilevel"/>
    <w:tmpl w:val="05B8A7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E843B9"/>
    <w:multiLevelType w:val="hybridMultilevel"/>
    <w:tmpl w:val="F9B2E6E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1A151C"/>
    <w:multiLevelType w:val="multilevel"/>
    <w:tmpl w:val="0BF4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54727"/>
    <w:multiLevelType w:val="hybridMultilevel"/>
    <w:tmpl w:val="DF60FB8A"/>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D642D1A"/>
    <w:multiLevelType w:val="hybridMultilevel"/>
    <w:tmpl w:val="143EE2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82210C"/>
    <w:multiLevelType w:val="hybridMultilevel"/>
    <w:tmpl w:val="67BC1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89340">
    <w:abstractNumId w:val="14"/>
  </w:num>
  <w:num w:numId="2" w16cid:durableId="1535776429">
    <w:abstractNumId w:val="19"/>
  </w:num>
  <w:num w:numId="3" w16cid:durableId="1466923951">
    <w:abstractNumId w:val="2"/>
  </w:num>
  <w:num w:numId="4" w16cid:durableId="470751284">
    <w:abstractNumId w:val="20"/>
  </w:num>
  <w:num w:numId="5" w16cid:durableId="377168753">
    <w:abstractNumId w:val="22"/>
  </w:num>
  <w:num w:numId="6" w16cid:durableId="1104811577">
    <w:abstractNumId w:val="4"/>
  </w:num>
  <w:num w:numId="7" w16cid:durableId="1749502748">
    <w:abstractNumId w:val="8"/>
  </w:num>
  <w:num w:numId="8" w16cid:durableId="502864271">
    <w:abstractNumId w:val="17"/>
  </w:num>
  <w:num w:numId="9" w16cid:durableId="1627199237">
    <w:abstractNumId w:val="11"/>
  </w:num>
  <w:num w:numId="10" w16cid:durableId="725299086">
    <w:abstractNumId w:val="10"/>
  </w:num>
  <w:num w:numId="11" w16cid:durableId="783155504">
    <w:abstractNumId w:val="5"/>
  </w:num>
  <w:num w:numId="12" w16cid:durableId="1599942047">
    <w:abstractNumId w:val="15"/>
  </w:num>
  <w:num w:numId="13" w16cid:durableId="221210456">
    <w:abstractNumId w:val="0"/>
  </w:num>
  <w:num w:numId="14" w16cid:durableId="187568139">
    <w:abstractNumId w:val="9"/>
  </w:num>
  <w:num w:numId="15" w16cid:durableId="1670912816">
    <w:abstractNumId w:val="18"/>
  </w:num>
  <w:num w:numId="16" w16cid:durableId="622728965">
    <w:abstractNumId w:val="7"/>
  </w:num>
  <w:num w:numId="17" w16cid:durableId="906692903">
    <w:abstractNumId w:val="23"/>
  </w:num>
  <w:num w:numId="18" w16cid:durableId="875772139">
    <w:abstractNumId w:val="12"/>
  </w:num>
  <w:num w:numId="19" w16cid:durableId="1383022893">
    <w:abstractNumId w:val="13"/>
  </w:num>
  <w:num w:numId="20" w16cid:durableId="1149370480">
    <w:abstractNumId w:val="6"/>
  </w:num>
  <w:num w:numId="21" w16cid:durableId="2071611134">
    <w:abstractNumId w:val="21"/>
  </w:num>
  <w:num w:numId="22" w16cid:durableId="351499295">
    <w:abstractNumId w:val="3"/>
  </w:num>
  <w:num w:numId="23" w16cid:durableId="756250629">
    <w:abstractNumId w:val="16"/>
  </w:num>
  <w:num w:numId="24" w16cid:durableId="141107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wtDAzszQyMzYxtzBQ0lEKTi0uzszPAykwrQUAANBApCwAAAA="/>
  </w:docVars>
  <w:rsids>
    <w:rsidRoot w:val="00AC725D"/>
    <w:rsid w:val="000147C7"/>
    <w:rsid w:val="000374BB"/>
    <w:rsid w:val="0007302B"/>
    <w:rsid w:val="00077A9C"/>
    <w:rsid w:val="00097315"/>
    <w:rsid w:val="000A21D8"/>
    <w:rsid w:val="000D1256"/>
    <w:rsid w:val="000D1533"/>
    <w:rsid w:val="000D77AA"/>
    <w:rsid w:val="00100F9A"/>
    <w:rsid w:val="0010352E"/>
    <w:rsid w:val="00111565"/>
    <w:rsid w:val="00125998"/>
    <w:rsid w:val="00132A39"/>
    <w:rsid w:val="0014788D"/>
    <w:rsid w:val="00162F34"/>
    <w:rsid w:val="0016593B"/>
    <w:rsid w:val="001A2206"/>
    <w:rsid w:val="001B07B3"/>
    <w:rsid w:val="001B19ED"/>
    <w:rsid w:val="001C19E3"/>
    <w:rsid w:val="001D6A95"/>
    <w:rsid w:val="001E1EEB"/>
    <w:rsid w:val="001E35C8"/>
    <w:rsid w:val="002036A7"/>
    <w:rsid w:val="002105A6"/>
    <w:rsid w:val="002107CF"/>
    <w:rsid w:val="002154BF"/>
    <w:rsid w:val="00217B69"/>
    <w:rsid w:val="0022216D"/>
    <w:rsid w:val="002364DC"/>
    <w:rsid w:val="00247793"/>
    <w:rsid w:val="00273FB6"/>
    <w:rsid w:val="002A4D32"/>
    <w:rsid w:val="002C47CD"/>
    <w:rsid w:val="002E5C9D"/>
    <w:rsid w:val="002F67FE"/>
    <w:rsid w:val="00303985"/>
    <w:rsid w:val="003254B1"/>
    <w:rsid w:val="003428E7"/>
    <w:rsid w:val="00350DCC"/>
    <w:rsid w:val="00355FFA"/>
    <w:rsid w:val="00394321"/>
    <w:rsid w:val="003B5BAA"/>
    <w:rsid w:val="003B70D8"/>
    <w:rsid w:val="003B7B32"/>
    <w:rsid w:val="003C24E4"/>
    <w:rsid w:val="003E475E"/>
    <w:rsid w:val="00413192"/>
    <w:rsid w:val="004277AE"/>
    <w:rsid w:val="0043479A"/>
    <w:rsid w:val="00461626"/>
    <w:rsid w:val="00483BF4"/>
    <w:rsid w:val="004A0479"/>
    <w:rsid w:val="004C0799"/>
    <w:rsid w:val="004E0850"/>
    <w:rsid w:val="0050090F"/>
    <w:rsid w:val="00504919"/>
    <w:rsid w:val="00512A59"/>
    <w:rsid w:val="00520D68"/>
    <w:rsid w:val="00521077"/>
    <w:rsid w:val="00523E88"/>
    <w:rsid w:val="00547652"/>
    <w:rsid w:val="0055682A"/>
    <w:rsid w:val="00572CED"/>
    <w:rsid w:val="00580BA2"/>
    <w:rsid w:val="00593A07"/>
    <w:rsid w:val="005B2B82"/>
    <w:rsid w:val="005B3739"/>
    <w:rsid w:val="005B651E"/>
    <w:rsid w:val="005E3A26"/>
    <w:rsid w:val="005E751E"/>
    <w:rsid w:val="0060310F"/>
    <w:rsid w:val="00620D2E"/>
    <w:rsid w:val="006304DB"/>
    <w:rsid w:val="006326EE"/>
    <w:rsid w:val="00633244"/>
    <w:rsid w:val="0065511F"/>
    <w:rsid w:val="0066018D"/>
    <w:rsid w:val="0067127C"/>
    <w:rsid w:val="00693493"/>
    <w:rsid w:val="006B6715"/>
    <w:rsid w:val="006F29D4"/>
    <w:rsid w:val="00712687"/>
    <w:rsid w:val="00717E26"/>
    <w:rsid w:val="00721915"/>
    <w:rsid w:val="00723DC4"/>
    <w:rsid w:val="00725B57"/>
    <w:rsid w:val="00740C66"/>
    <w:rsid w:val="00746596"/>
    <w:rsid w:val="00751838"/>
    <w:rsid w:val="00776BE8"/>
    <w:rsid w:val="007809CC"/>
    <w:rsid w:val="00786654"/>
    <w:rsid w:val="007B104E"/>
    <w:rsid w:val="007B7E74"/>
    <w:rsid w:val="007E1E7C"/>
    <w:rsid w:val="00812C17"/>
    <w:rsid w:val="00823C2F"/>
    <w:rsid w:val="00830341"/>
    <w:rsid w:val="00832805"/>
    <w:rsid w:val="00841AF5"/>
    <w:rsid w:val="00845ED9"/>
    <w:rsid w:val="00855E3A"/>
    <w:rsid w:val="00881C45"/>
    <w:rsid w:val="0088263F"/>
    <w:rsid w:val="008926FA"/>
    <w:rsid w:val="008C6507"/>
    <w:rsid w:val="008C797A"/>
    <w:rsid w:val="008D3466"/>
    <w:rsid w:val="008E67E4"/>
    <w:rsid w:val="008F4B3C"/>
    <w:rsid w:val="008F4E79"/>
    <w:rsid w:val="008F73FB"/>
    <w:rsid w:val="00913672"/>
    <w:rsid w:val="00937323"/>
    <w:rsid w:val="009417E9"/>
    <w:rsid w:val="00956101"/>
    <w:rsid w:val="009740BC"/>
    <w:rsid w:val="0097434B"/>
    <w:rsid w:val="00975D5F"/>
    <w:rsid w:val="00996A63"/>
    <w:rsid w:val="009B1470"/>
    <w:rsid w:val="009B1D01"/>
    <w:rsid w:val="009D6053"/>
    <w:rsid w:val="009F6C94"/>
    <w:rsid w:val="00A0104C"/>
    <w:rsid w:val="00A01126"/>
    <w:rsid w:val="00A023C1"/>
    <w:rsid w:val="00A045DD"/>
    <w:rsid w:val="00A061AC"/>
    <w:rsid w:val="00A1210B"/>
    <w:rsid w:val="00A26698"/>
    <w:rsid w:val="00A31865"/>
    <w:rsid w:val="00A42F2D"/>
    <w:rsid w:val="00A47374"/>
    <w:rsid w:val="00A55F56"/>
    <w:rsid w:val="00A67368"/>
    <w:rsid w:val="00A72D30"/>
    <w:rsid w:val="00A93A3E"/>
    <w:rsid w:val="00AC725D"/>
    <w:rsid w:val="00AE109E"/>
    <w:rsid w:val="00AF5B40"/>
    <w:rsid w:val="00B05D67"/>
    <w:rsid w:val="00B11CCA"/>
    <w:rsid w:val="00B1718F"/>
    <w:rsid w:val="00B22BEF"/>
    <w:rsid w:val="00B4161F"/>
    <w:rsid w:val="00B45696"/>
    <w:rsid w:val="00B51DC2"/>
    <w:rsid w:val="00B56B6B"/>
    <w:rsid w:val="00B64ABD"/>
    <w:rsid w:val="00B70E6C"/>
    <w:rsid w:val="00B73BDE"/>
    <w:rsid w:val="00B85341"/>
    <w:rsid w:val="00B8750A"/>
    <w:rsid w:val="00BB2FFF"/>
    <w:rsid w:val="00BB5E43"/>
    <w:rsid w:val="00BB601E"/>
    <w:rsid w:val="00BD50CD"/>
    <w:rsid w:val="00BD77DD"/>
    <w:rsid w:val="00C02360"/>
    <w:rsid w:val="00C121B1"/>
    <w:rsid w:val="00C12CA6"/>
    <w:rsid w:val="00C35030"/>
    <w:rsid w:val="00C504BA"/>
    <w:rsid w:val="00C538B6"/>
    <w:rsid w:val="00C56819"/>
    <w:rsid w:val="00C731E1"/>
    <w:rsid w:val="00C80573"/>
    <w:rsid w:val="00CA6D10"/>
    <w:rsid w:val="00CC785C"/>
    <w:rsid w:val="00CE77A8"/>
    <w:rsid w:val="00D17D15"/>
    <w:rsid w:val="00D339D1"/>
    <w:rsid w:val="00D37854"/>
    <w:rsid w:val="00D40A0E"/>
    <w:rsid w:val="00D46337"/>
    <w:rsid w:val="00D46821"/>
    <w:rsid w:val="00D5094B"/>
    <w:rsid w:val="00D579FA"/>
    <w:rsid w:val="00D72F57"/>
    <w:rsid w:val="00D760A7"/>
    <w:rsid w:val="00D778B5"/>
    <w:rsid w:val="00D80E7C"/>
    <w:rsid w:val="00D95165"/>
    <w:rsid w:val="00DA6362"/>
    <w:rsid w:val="00DB044F"/>
    <w:rsid w:val="00DB71FD"/>
    <w:rsid w:val="00DD2C91"/>
    <w:rsid w:val="00DF4FBB"/>
    <w:rsid w:val="00E07234"/>
    <w:rsid w:val="00E12A99"/>
    <w:rsid w:val="00E44654"/>
    <w:rsid w:val="00E50FFB"/>
    <w:rsid w:val="00E5398D"/>
    <w:rsid w:val="00E54E90"/>
    <w:rsid w:val="00E62992"/>
    <w:rsid w:val="00EA6F6A"/>
    <w:rsid w:val="00EC0EA0"/>
    <w:rsid w:val="00EE538E"/>
    <w:rsid w:val="00EE7DAE"/>
    <w:rsid w:val="00F0509F"/>
    <w:rsid w:val="00F137AF"/>
    <w:rsid w:val="00F27E06"/>
    <w:rsid w:val="00F516EC"/>
    <w:rsid w:val="00F52BBC"/>
    <w:rsid w:val="00F548B2"/>
    <w:rsid w:val="00F55E3E"/>
    <w:rsid w:val="00F56EF9"/>
    <w:rsid w:val="00FA3EDA"/>
    <w:rsid w:val="00FB3743"/>
    <w:rsid w:val="00FB3AEF"/>
    <w:rsid w:val="00FB671F"/>
    <w:rsid w:val="00FC2BDD"/>
    <w:rsid w:val="00FC30DA"/>
    <w:rsid w:val="00FC4F8D"/>
    <w:rsid w:val="00FD13D3"/>
    <w:rsid w:val="00FD2B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BFE9F"/>
  <w15:docId w15:val="{FE2787A0-6CB8-41D7-AAD9-3DAC5C0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5D"/>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355FF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lt-LT"/>
    </w:rPr>
  </w:style>
  <w:style w:type="paragraph" w:styleId="Heading3">
    <w:name w:val="heading 3"/>
    <w:basedOn w:val="Normal"/>
    <w:link w:val="Heading3Char"/>
    <w:uiPriority w:val="9"/>
    <w:qFormat/>
    <w:rsid w:val="00FB671F"/>
    <w:pPr>
      <w:spacing w:before="100" w:beforeAutospacing="1" w:after="100" w:afterAutospacing="1"/>
      <w:outlineLvl w:val="2"/>
    </w:pPr>
    <w:rPr>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72"/>
    <w:pPr>
      <w:ind w:left="720"/>
      <w:contextualSpacing/>
    </w:pPr>
  </w:style>
  <w:style w:type="paragraph" w:styleId="NormalWeb">
    <w:name w:val="Normal (Web)"/>
    <w:basedOn w:val="Normal"/>
    <w:uiPriority w:val="99"/>
    <w:unhideWhenUsed/>
    <w:rsid w:val="0050090F"/>
    <w:pPr>
      <w:spacing w:before="100" w:beforeAutospacing="1" w:after="100" w:afterAutospacing="1"/>
    </w:pPr>
    <w:rPr>
      <w:lang w:val="lt-LT" w:eastAsia="lt-LT"/>
    </w:rPr>
  </w:style>
  <w:style w:type="paragraph" w:styleId="NoSpacing">
    <w:name w:val="No Spacing"/>
    <w:uiPriority w:val="1"/>
    <w:qFormat/>
    <w:rsid w:val="00FC4F8D"/>
    <w:pPr>
      <w:spacing w:after="0" w:line="240" w:lineRule="auto"/>
    </w:pPr>
  </w:style>
  <w:style w:type="character" w:customStyle="1" w:styleId="auto-style126">
    <w:name w:val="auto-style126"/>
    <w:rsid w:val="00A31865"/>
  </w:style>
  <w:style w:type="paragraph" w:customStyle="1" w:styleId="Default">
    <w:name w:val="Default"/>
    <w:rsid w:val="00C504BA"/>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B671F"/>
    <w:rPr>
      <w:rFonts w:ascii="Times New Roman" w:eastAsia="Times New Roman" w:hAnsi="Times New Roman" w:cs="Times New Roman"/>
      <w:b/>
      <w:bCs/>
      <w:sz w:val="27"/>
      <w:szCs w:val="27"/>
      <w:lang w:eastAsia="lt-LT"/>
    </w:rPr>
  </w:style>
  <w:style w:type="character" w:styleId="Hyperlink">
    <w:name w:val="Hyperlink"/>
    <w:basedOn w:val="DefaultParagraphFont"/>
    <w:uiPriority w:val="99"/>
    <w:semiHidden/>
    <w:unhideWhenUsed/>
    <w:rsid w:val="00FB671F"/>
    <w:rPr>
      <w:color w:val="0000FF"/>
      <w:u w:val="single"/>
    </w:rPr>
  </w:style>
  <w:style w:type="character" w:customStyle="1" w:styleId="Heading2Char">
    <w:name w:val="Heading 2 Char"/>
    <w:basedOn w:val="DefaultParagraphFont"/>
    <w:link w:val="Heading2"/>
    <w:uiPriority w:val="9"/>
    <w:semiHidden/>
    <w:rsid w:val="00355FF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55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764">
      <w:bodyDiv w:val="1"/>
      <w:marLeft w:val="0"/>
      <w:marRight w:val="0"/>
      <w:marTop w:val="0"/>
      <w:marBottom w:val="0"/>
      <w:divBdr>
        <w:top w:val="none" w:sz="0" w:space="0" w:color="auto"/>
        <w:left w:val="none" w:sz="0" w:space="0" w:color="auto"/>
        <w:bottom w:val="none" w:sz="0" w:space="0" w:color="auto"/>
        <w:right w:val="none" w:sz="0" w:space="0" w:color="auto"/>
      </w:divBdr>
    </w:div>
    <w:div w:id="854224440">
      <w:bodyDiv w:val="1"/>
      <w:marLeft w:val="0"/>
      <w:marRight w:val="0"/>
      <w:marTop w:val="0"/>
      <w:marBottom w:val="0"/>
      <w:divBdr>
        <w:top w:val="none" w:sz="0" w:space="0" w:color="auto"/>
        <w:left w:val="none" w:sz="0" w:space="0" w:color="auto"/>
        <w:bottom w:val="none" w:sz="0" w:space="0" w:color="auto"/>
        <w:right w:val="none" w:sz="0" w:space="0" w:color="auto"/>
      </w:divBdr>
    </w:div>
    <w:div w:id="93363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01FC-4EF9-4948-9AEF-53D58701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Bartuliene, Vita</cp:lastModifiedBy>
  <cp:revision>9</cp:revision>
  <dcterms:created xsi:type="dcterms:W3CDTF">2025-05-15T12:57:00Z</dcterms:created>
  <dcterms:modified xsi:type="dcterms:W3CDTF">2025-05-16T08:52:00Z</dcterms:modified>
</cp:coreProperties>
</file>