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1313" w14:textId="4CB93E35" w:rsidR="009E3B52" w:rsidRPr="00B33F0A" w:rsidRDefault="00B33F0A" w:rsidP="009E3B52">
      <w:pPr>
        <w:spacing w:after="0" w:line="240" w:lineRule="auto"/>
        <w:jc w:val="right"/>
        <w:rPr>
          <w:rFonts w:ascii="Times New Roman" w:eastAsia="Times New Roman" w:hAnsi="Times New Roman" w:cs="Times New Roman"/>
          <w:bCs/>
          <w:i/>
          <w:iCs/>
          <w:sz w:val="24"/>
          <w:szCs w:val="24"/>
        </w:rPr>
      </w:pPr>
      <w:r w:rsidRPr="00B33F0A">
        <w:rPr>
          <w:rFonts w:ascii="Times New Roman" w:eastAsia="Times New Roman" w:hAnsi="Times New Roman" w:cs="Times New Roman"/>
          <w:bCs/>
          <w:i/>
          <w:iCs/>
          <w:sz w:val="24"/>
          <w:szCs w:val="24"/>
        </w:rPr>
        <w:t>Pirkimo sąlygų 4.1. priedas</w:t>
      </w:r>
    </w:p>
    <w:p w14:paraId="480C4D81" w14:textId="3AC2C76E" w:rsidR="00B33F0A" w:rsidRPr="00B33F0A" w:rsidRDefault="00B33F0A" w:rsidP="009E3B52">
      <w:pPr>
        <w:spacing w:after="0" w:line="240" w:lineRule="auto"/>
        <w:jc w:val="right"/>
        <w:rPr>
          <w:rFonts w:ascii="Times New Roman" w:eastAsia="Times New Roman" w:hAnsi="Times New Roman" w:cs="Times New Roman"/>
          <w:bCs/>
          <w:i/>
          <w:iCs/>
          <w:sz w:val="24"/>
          <w:szCs w:val="24"/>
        </w:rPr>
      </w:pPr>
      <w:r w:rsidRPr="00B33F0A">
        <w:rPr>
          <w:rFonts w:ascii="Times New Roman" w:eastAsia="Times New Roman" w:hAnsi="Times New Roman" w:cs="Times New Roman"/>
          <w:bCs/>
          <w:i/>
          <w:iCs/>
          <w:sz w:val="24"/>
          <w:szCs w:val="24"/>
        </w:rPr>
        <w:t>Projektas</w:t>
      </w:r>
    </w:p>
    <w:p w14:paraId="61ED3603" w14:textId="43BC9140" w:rsidR="00656574" w:rsidRPr="001359C0" w:rsidRDefault="00656574" w:rsidP="00656574">
      <w:pPr>
        <w:spacing w:after="0" w:line="240" w:lineRule="auto"/>
        <w:jc w:val="center"/>
        <w:rPr>
          <w:rFonts w:ascii="Times New Roman" w:eastAsia="Times New Roman" w:hAnsi="Times New Roman" w:cs="Times New Roman"/>
          <w:b/>
          <w:sz w:val="24"/>
          <w:szCs w:val="24"/>
        </w:rPr>
      </w:pPr>
      <w:r w:rsidRPr="001359C0">
        <w:rPr>
          <w:rFonts w:ascii="Times New Roman" w:hAnsi="Times New Roman" w:cs="Times New Roman"/>
          <w:noProof/>
          <w:sz w:val="24"/>
          <w:szCs w:val="24"/>
        </w:rPr>
        <w:drawing>
          <wp:inline distT="0" distB="0" distL="0" distR="0" wp14:anchorId="2F090E23" wp14:editId="0C3E1EBF">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43E0BAC" w14:textId="77777777" w:rsidR="00656574" w:rsidRPr="001359C0" w:rsidRDefault="00656574" w:rsidP="00656574">
      <w:pPr>
        <w:spacing w:after="0" w:line="240" w:lineRule="auto"/>
        <w:jc w:val="center"/>
        <w:rPr>
          <w:rFonts w:ascii="Times New Roman" w:eastAsia="Times New Roman" w:hAnsi="Times New Roman" w:cs="Times New Roman"/>
          <w:b/>
          <w:sz w:val="24"/>
          <w:szCs w:val="24"/>
        </w:rPr>
      </w:pPr>
    </w:p>
    <w:p w14:paraId="6CA879F5" w14:textId="2927EA09" w:rsidR="00656574" w:rsidRPr="001359C0" w:rsidRDefault="00477633"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sz w:val="24"/>
          <w:szCs w:val="24"/>
        </w:rPr>
        <w:t>CHEMINIŲ REAGENTŲ</w:t>
      </w:r>
      <w:r w:rsidR="00A21F93" w:rsidRPr="001359C0">
        <w:rPr>
          <w:rFonts w:ascii="Times New Roman" w:hAnsi="Times New Roman" w:cs="Times New Roman"/>
          <w:b/>
          <w:color w:val="000000" w:themeColor="text1"/>
          <w:sz w:val="24"/>
          <w:szCs w:val="24"/>
        </w:rPr>
        <w:t xml:space="preserve"> </w:t>
      </w:r>
      <w:r w:rsidR="00656574" w:rsidRPr="001359C0">
        <w:rPr>
          <w:rFonts w:ascii="Times New Roman" w:eastAsia="Times New Roman" w:hAnsi="Times New Roman" w:cs="Times New Roman"/>
          <w:b/>
          <w:caps/>
          <w:sz w:val="24"/>
          <w:szCs w:val="24"/>
          <w:lang w:eastAsia="zh-CN"/>
        </w:rPr>
        <w:t>VIEŠOJO</w:t>
      </w:r>
      <w:r w:rsidR="00656574" w:rsidRPr="001359C0">
        <w:rPr>
          <w:rFonts w:ascii="Times New Roman" w:eastAsia="Times New Roman" w:hAnsi="Times New Roman" w:cs="Times New Roman"/>
          <w:b/>
          <w:bCs/>
          <w:kern w:val="2"/>
          <w:sz w:val="24"/>
          <w:szCs w:val="24"/>
          <w:lang w:eastAsia="zh-CN"/>
        </w:rPr>
        <w:t xml:space="preserve"> PIRKIMO </w:t>
      </w:r>
      <w:r w:rsidR="00656574" w:rsidRPr="001359C0">
        <w:rPr>
          <w:rFonts w:ascii="Times New Roman" w:eastAsia="Times New Roman" w:hAnsi="Times New Roman" w:cs="Times New Roman"/>
          <w:b/>
          <w:bCs/>
          <w:sz w:val="24"/>
          <w:szCs w:val="24"/>
          <w:lang w:eastAsia="ar-SA"/>
        </w:rPr>
        <w:t>– PARDAVIMO SUTARTIS NR.</w:t>
      </w:r>
    </w:p>
    <w:p w14:paraId="165BAADC" w14:textId="1CDB0F20"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(1-</w:t>
      </w:r>
      <w:r w:rsidR="00BF7543">
        <w:rPr>
          <w:rFonts w:ascii="Times New Roman" w:eastAsia="Times New Roman" w:hAnsi="Times New Roman" w:cs="Times New Roman"/>
          <w:bCs/>
          <w:sz w:val="24"/>
          <w:szCs w:val="24"/>
          <w:lang w:eastAsia="ar-SA"/>
        </w:rPr>
        <w:t>2</w:t>
      </w:r>
      <w:r w:rsidRPr="001359C0">
        <w:rPr>
          <w:rFonts w:ascii="Times New Roman" w:eastAsia="Times New Roman" w:hAnsi="Times New Roman" w:cs="Times New Roman"/>
          <w:bCs/>
          <w:sz w:val="24"/>
          <w:szCs w:val="24"/>
          <w:lang w:eastAsia="ar-SA"/>
        </w:rPr>
        <w:t xml:space="preserve"> pirkimo dalims)</w:t>
      </w:r>
    </w:p>
    <w:p w14:paraId="55B68154"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558C515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0318C6E1" w14:textId="77777777" w:rsidR="00656574" w:rsidRPr="001359C0" w:rsidRDefault="00656574" w:rsidP="00656574">
      <w:pPr>
        <w:pStyle w:val="Betarp"/>
        <w:rPr>
          <w:rFonts w:ascii="Times New Roman" w:hAnsi="Times New Roman" w:cs="Times New Roman"/>
          <w:sz w:val="24"/>
          <w:szCs w:val="24"/>
          <w:shd w:val="clear" w:color="auto" w:fill="FFFFFF"/>
          <w:lang w:eastAsia="ar-SA"/>
        </w:rPr>
      </w:pPr>
    </w:p>
    <w:p w14:paraId="4BAB4F60" w14:textId="77777777" w:rsidR="00BD3BB3" w:rsidRPr="00BD3BB3" w:rsidRDefault="00656574" w:rsidP="00BD3BB3">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Pr="001359C0" w:rsidDel="00153E45">
        <w:rPr>
          <w:rFonts w:ascii="Times New Roman" w:hAnsi="Times New Roman" w:cs="Times New Roman"/>
          <w:color w:val="FF0000"/>
          <w:sz w:val="24"/>
          <w:szCs w:val="24"/>
        </w:rPr>
        <w:t xml:space="preserve"> </w:t>
      </w:r>
      <w:r w:rsidRPr="001359C0">
        <w:rPr>
          <w:rFonts w:ascii="Times New Roman" w:hAnsi="Times New Roman" w:cs="Times New Roman"/>
          <w:sz w:val="24"/>
          <w:szCs w:val="24"/>
        </w:rPr>
        <w:t>(toliau – Projektas)</w:t>
      </w:r>
      <w:r w:rsidR="007D6621">
        <w:rPr>
          <w:rFonts w:ascii="Times New Roman" w:hAnsi="Times New Roman" w:cs="Times New Roman"/>
          <w:sz w:val="24"/>
          <w:szCs w:val="24"/>
        </w:rPr>
        <w:t>.</w:t>
      </w:r>
      <w:r w:rsidRPr="001359C0">
        <w:rPr>
          <w:rFonts w:ascii="Times New Roman" w:hAnsi="Times New Roman" w:cs="Times New Roman"/>
          <w:sz w:val="24"/>
          <w:szCs w:val="24"/>
        </w:rPr>
        <w:t xml:space="preserve"> </w:t>
      </w:r>
      <w:r w:rsidR="00BD3BB3"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53277120" w14:textId="1927194E" w:rsidR="00656574" w:rsidRPr="001359C0" w:rsidRDefault="00656574" w:rsidP="00656574">
      <w:pPr>
        <w:spacing w:after="0" w:line="240" w:lineRule="auto"/>
        <w:jc w:val="both"/>
        <w:rPr>
          <w:rFonts w:ascii="Times New Roman" w:hAnsi="Times New Roman" w:cs="Times New Roman"/>
          <w:sz w:val="24"/>
          <w:szCs w:val="24"/>
          <w:shd w:val="clear" w:color="auto" w:fill="FFFFFF"/>
          <w:lang w:eastAsia="ar-SA"/>
        </w:rPr>
      </w:pPr>
    </w:p>
    <w:p w14:paraId="2B2BC08D" w14:textId="1AE78FE2" w:rsidR="00656574" w:rsidRPr="001359C0" w:rsidRDefault="00656574" w:rsidP="00656574">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001332E7">
        <w:rPr>
          <w:rFonts w:ascii="Times New Roman" w:eastAsia="Times New Roman" w:hAnsi="Times New Roman" w:cs="Times New Roman"/>
          <w:bCs/>
          <w:sz w:val="24"/>
          <w:szCs w:val="24"/>
        </w:rPr>
        <w:t>Cheminių reagentų</w:t>
      </w:r>
      <w:r w:rsidR="00A21F93"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bCs/>
          <w:sz w:val="24"/>
          <w:szCs w:val="24"/>
        </w:rPr>
        <w:t>mažos vertės pirkimo</w:t>
      </w:r>
      <w:r w:rsidRPr="001359C0">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______ </w:t>
      </w:r>
      <w:r w:rsidRPr="001359C0">
        <w:rPr>
          <w:rFonts w:ascii="Times New Roman" w:hAnsi="Times New Roman" w:cs="Times New Roman"/>
          <w:sz w:val="24"/>
          <w:szCs w:val="24"/>
          <w:shd w:val="clear" w:color="auto" w:fill="FFFFFF"/>
          <w:lang w:eastAsia="ar-SA"/>
        </w:rPr>
        <w:t xml:space="preserve">rezultatais.  </w:t>
      </w:r>
    </w:p>
    <w:p w14:paraId="4886B897" w14:textId="77777777" w:rsidR="00656574" w:rsidRPr="001359C0" w:rsidRDefault="00656574" w:rsidP="00656574">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3644AC0"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1359C0">
        <w:rPr>
          <w:rFonts w:ascii="Times New Roman" w:eastAsia="Times New Roman" w:hAnsi="Times New Roman" w:cs="Times New Roman"/>
          <w:sz w:val="24"/>
          <w:szCs w:val="24"/>
          <w:bdr w:val="none" w:sz="0" w:space="0" w:color="auto" w:frame="1"/>
          <w:lang w:eastAsia="ar-SA"/>
        </w:rPr>
        <w:t xml:space="preserve">Aplinkos apsaugos agentūra, juridinio asmens kodas 188784898, kurios registruota buveinė A. Juozapavičiaus g. 9, LT-09311 Vilnius, duomenys apie įstaigą kaupiami ir saugomi Lietuvos Respublikos juridinių asmenų registre, atstovaujama </w:t>
      </w:r>
      <w:r w:rsidRPr="001359C0">
        <w:rPr>
          <w:rFonts w:ascii="Times New Roman" w:eastAsia="Times New Roman" w:hAnsi="Times New Roman" w:cs="Times New Roman"/>
          <w:sz w:val="24"/>
          <w:szCs w:val="24"/>
          <w:lang w:eastAsia="ar-SA"/>
        </w:rPr>
        <w:t xml:space="preserve">_____________________ (pareigos, vardas, pavardė), </w:t>
      </w:r>
      <w:r w:rsidRPr="001359C0">
        <w:rPr>
          <w:rFonts w:ascii="Times New Roman" w:eastAsia="Times New Roman" w:hAnsi="Times New Roman" w:cs="Times New Roman"/>
          <w:sz w:val="24"/>
          <w:szCs w:val="24"/>
          <w:bdr w:val="none" w:sz="0" w:space="0" w:color="auto" w:frame="1"/>
          <w:lang w:eastAsia="ar-SA"/>
        </w:rPr>
        <w:t>veikiančio (-</w:t>
      </w:r>
      <w:proofErr w:type="spellStart"/>
      <w:r w:rsidRPr="001359C0">
        <w:rPr>
          <w:rFonts w:ascii="Times New Roman" w:eastAsia="Times New Roman" w:hAnsi="Times New Roman" w:cs="Times New Roman"/>
          <w:sz w:val="24"/>
          <w:szCs w:val="24"/>
          <w:bdr w:val="none" w:sz="0" w:space="0" w:color="auto" w:frame="1"/>
          <w:lang w:eastAsia="ar-SA"/>
        </w:rPr>
        <w:t>ios</w:t>
      </w:r>
      <w:proofErr w:type="spellEnd"/>
      <w:r w:rsidRPr="001359C0">
        <w:rPr>
          <w:rFonts w:ascii="Times New Roman" w:eastAsia="Times New Roman" w:hAnsi="Times New Roman" w:cs="Times New Roman"/>
          <w:sz w:val="24"/>
          <w:szCs w:val="24"/>
          <w:bdr w:val="none" w:sz="0" w:space="0" w:color="auto" w:frame="1"/>
          <w:lang w:eastAsia="ar-SA"/>
        </w:rPr>
        <w:t>) pagal Aplinkos apsaugos agentūros nuostatus, patvirtintus Lietuvos Respublikos aplinkos ministro 2004 m. liepos 14 d. įsakymu Nr. D1-385 „Dėl Aplinkos apsaugos agentūros nuostatų patvirtinimo“, (toliau – Pirkėjas),</w:t>
      </w:r>
    </w:p>
    <w:p w14:paraId="6994960B"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44D0C3A"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ADAB396"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532842E7"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___________</w:t>
      </w:r>
      <w:r w:rsidRPr="001359C0">
        <w:rPr>
          <w:rFonts w:ascii="Times New Roman" w:eastAsia="Times New Roman" w:hAnsi="Times New Roman" w:cs="Times New Roman"/>
          <w:i/>
          <w:sz w:val="24"/>
          <w:szCs w:val="24"/>
          <w:lang w:eastAsia="ar-SA"/>
        </w:rPr>
        <w:t xml:space="preserve">________________________ </w:t>
      </w:r>
      <w:r w:rsidRPr="001359C0">
        <w:rPr>
          <w:rFonts w:ascii="Times New Roman" w:eastAsia="Times New Roman" w:hAnsi="Times New Roman" w:cs="Times New Roman"/>
          <w:sz w:val="24"/>
          <w:szCs w:val="24"/>
          <w:lang w:eastAsia="ar-SA"/>
        </w:rPr>
        <w:t xml:space="preserve">juridinio asmens kodas ________ </w:t>
      </w:r>
      <w:r w:rsidRPr="001359C0">
        <w:rPr>
          <w:rFonts w:ascii="Times New Roman" w:eastAsia="Times New Roman" w:hAnsi="Times New Roman" w:cs="Times New Roman"/>
          <w:i/>
          <w:sz w:val="24"/>
          <w:szCs w:val="24"/>
          <w:lang w:eastAsia="ar-SA"/>
        </w:rPr>
        <w:t>(nurodomas kodas),</w:t>
      </w:r>
      <w:r w:rsidRPr="001359C0">
        <w:rPr>
          <w:rFonts w:ascii="Times New Roman" w:eastAsia="Times New Roman" w:hAnsi="Times New Roman" w:cs="Times New Roman"/>
          <w:sz w:val="24"/>
          <w:szCs w:val="24"/>
          <w:lang w:eastAsia="ar-SA"/>
        </w:rPr>
        <w:t xml:space="preserve"> kurio registruota buveinė yra _________________ </w:t>
      </w:r>
      <w:r w:rsidRPr="001359C0">
        <w:rPr>
          <w:rFonts w:ascii="Times New Roman" w:eastAsia="Times New Roman" w:hAnsi="Times New Roman" w:cs="Times New Roman"/>
          <w:i/>
          <w:sz w:val="24"/>
          <w:szCs w:val="24"/>
          <w:lang w:eastAsia="ar-SA"/>
        </w:rPr>
        <w:t>(adresas),</w:t>
      </w:r>
      <w:r w:rsidRPr="001359C0">
        <w:rPr>
          <w:rFonts w:ascii="Times New Roman" w:eastAsia="Times New Roman" w:hAnsi="Times New Roman" w:cs="Times New Roman"/>
          <w:sz w:val="24"/>
          <w:szCs w:val="24"/>
          <w:lang w:eastAsia="ar-SA"/>
        </w:rPr>
        <w:t xml:space="preserve"> duomenys apie įmonę kaupiami ir saugomi Lietuvos Respublikos juridinių asmenų registre, atstovaujama _______________________</w:t>
      </w:r>
      <w:r w:rsidRPr="001359C0">
        <w:rPr>
          <w:rFonts w:ascii="Times New Roman" w:eastAsia="Times New Roman" w:hAnsi="Times New Roman" w:cs="Times New Roman"/>
          <w:i/>
          <w:sz w:val="24"/>
          <w:szCs w:val="24"/>
          <w:lang w:eastAsia="ar-SA"/>
        </w:rPr>
        <w:t>(pareigos, vardas, pavardė)</w:t>
      </w:r>
      <w:r w:rsidRPr="001359C0">
        <w:rPr>
          <w:rFonts w:ascii="Times New Roman" w:eastAsia="Times New Roman" w:hAnsi="Times New Roman" w:cs="Times New Roman"/>
          <w:sz w:val="24"/>
          <w:szCs w:val="24"/>
          <w:lang w:eastAsia="ar-SA"/>
        </w:rPr>
        <w:t>, veikiančio (-</w:t>
      </w:r>
      <w:proofErr w:type="spellStart"/>
      <w:r w:rsidRPr="001359C0">
        <w:rPr>
          <w:rFonts w:ascii="Times New Roman" w:eastAsia="Times New Roman" w:hAnsi="Times New Roman" w:cs="Times New Roman"/>
          <w:sz w:val="24"/>
          <w:szCs w:val="24"/>
          <w:lang w:eastAsia="ar-SA"/>
        </w:rPr>
        <w:t>ios</w:t>
      </w:r>
      <w:proofErr w:type="spellEnd"/>
      <w:r w:rsidRPr="001359C0">
        <w:rPr>
          <w:rFonts w:ascii="Times New Roman" w:eastAsia="Times New Roman" w:hAnsi="Times New Roman" w:cs="Times New Roman"/>
          <w:sz w:val="24"/>
          <w:szCs w:val="24"/>
          <w:lang w:eastAsia="ar-SA"/>
        </w:rPr>
        <w:t>) pagal _________________________(</w:t>
      </w:r>
      <w:r w:rsidRPr="001359C0">
        <w:rPr>
          <w:rFonts w:ascii="Times New Roman" w:eastAsia="Times New Roman" w:hAnsi="Times New Roman" w:cs="Times New Roman"/>
          <w:i/>
          <w:sz w:val="24"/>
          <w:szCs w:val="24"/>
          <w:lang w:eastAsia="ar-SA"/>
        </w:rPr>
        <w:t xml:space="preserve">dokumentas, kurio pagrindu veikia asmuo), </w:t>
      </w:r>
      <w:r w:rsidRPr="001359C0">
        <w:rPr>
          <w:rFonts w:ascii="Times New Roman" w:eastAsia="Times New Roman" w:hAnsi="Times New Roman" w:cs="Times New Roman"/>
          <w:sz w:val="24"/>
          <w:szCs w:val="24"/>
          <w:lang w:eastAsia="ar-SA"/>
        </w:rPr>
        <w:t>(toliau – Pardavėjas),</w:t>
      </w:r>
    </w:p>
    <w:p w14:paraId="4A9B87B6"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BB22B4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0D324A29"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5D53CFCC"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7357BB3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07B55132" w14:textId="0FA7F4C6"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001332E7">
        <w:rPr>
          <w:rFonts w:ascii="Times New Roman" w:eastAsia="Times New Roman" w:hAnsi="Times New Roman" w:cs="Times New Roman"/>
          <w:bCs/>
          <w:sz w:val="24"/>
          <w:szCs w:val="24"/>
        </w:rPr>
        <w:t>cheminius reagentus</w:t>
      </w:r>
      <w:r w:rsidRPr="001359C0">
        <w:rPr>
          <w:rFonts w:ascii="Times New Roman" w:eastAsia="Times New Roman" w:hAnsi="Times New Roman" w:cs="Times New Roman"/>
          <w:bCs/>
          <w:sz w:val="24"/>
          <w:szCs w:val="24"/>
        </w:rPr>
        <w:t xml:space="preserve"> </w:t>
      </w:r>
      <w:r w:rsidRPr="001359C0">
        <w:rPr>
          <w:rFonts w:ascii="Times New Roman" w:eastAsia="Calibri" w:hAnsi="Times New Roman" w:cs="Times New Roman"/>
          <w:sz w:val="24"/>
          <w:szCs w:val="24"/>
        </w:rPr>
        <w:t>(toliau – Prekės), nurodyt</w:t>
      </w:r>
      <w:r w:rsidR="001332E7">
        <w:rPr>
          <w:rFonts w:ascii="Times New Roman" w:eastAsia="Calibri" w:hAnsi="Times New Roman" w:cs="Times New Roman"/>
          <w:sz w:val="24"/>
          <w:szCs w:val="24"/>
        </w:rPr>
        <w:t>a</w:t>
      </w:r>
      <w:r w:rsidRPr="001359C0">
        <w:rPr>
          <w:rFonts w:ascii="Times New Roman" w:eastAsia="Calibri" w:hAnsi="Times New Roman" w:cs="Times New Roman"/>
          <w:sz w:val="24"/>
          <w:szCs w:val="24"/>
        </w:rPr>
        <w:t xml:space="preserve">s Sutarties </w:t>
      </w:r>
      <w:r w:rsidR="001332E7">
        <w:rPr>
          <w:rFonts w:ascii="Times New Roman" w:eastAsia="Calibri" w:hAnsi="Times New Roman" w:cs="Times New Roman"/>
          <w:sz w:val="24"/>
          <w:szCs w:val="24"/>
        </w:rPr>
        <w:t xml:space="preserve">1.1.1 / </w:t>
      </w:r>
      <w:r w:rsidR="000C1659">
        <w:rPr>
          <w:rFonts w:ascii="Times New Roman" w:eastAsia="Calibri" w:hAnsi="Times New Roman" w:cs="Times New Roman"/>
          <w:sz w:val="24"/>
          <w:szCs w:val="24"/>
        </w:rPr>
        <w:t xml:space="preserve">1.1.2 </w:t>
      </w:r>
      <w:r w:rsidRPr="001359C0">
        <w:rPr>
          <w:rFonts w:ascii="Times New Roman" w:eastAsia="Calibri" w:hAnsi="Times New Roman" w:cs="Times New Roman"/>
          <w:sz w:val="24"/>
          <w:szCs w:val="24"/>
        </w:rPr>
        <w:t>įskaitant šių Prekių pristatymą Pirkėjui, o Pirkėjas įsipareigoja priimti Sutarties sąlygas ir Techninės specifikacijos reikalavimus atitinkančias Prekes bei atsiskaityti su Pardavėju už faktinį perduotą Prekių kiekį:</w:t>
      </w:r>
    </w:p>
    <w:p w14:paraId="5C4367E6" w14:textId="79B75ADC" w:rsidR="00656574" w:rsidRPr="001359C0" w:rsidRDefault="00B4704E" w:rsidP="00656574">
      <w:pPr>
        <w:pStyle w:val="Sraopastraipa"/>
        <w:numPr>
          <w:ilvl w:val="2"/>
          <w:numId w:val="2"/>
        </w:numPr>
        <w:tabs>
          <w:tab w:val="left" w:pos="0"/>
        </w:tabs>
        <w:spacing w:after="0"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sz w:val="24"/>
          <w:szCs w:val="24"/>
          <w:lang w:eastAsia="ar-SA"/>
        </w:rPr>
        <w:t>Cheminiai r</w:t>
      </w:r>
      <w:r w:rsidR="00A21F93" w:rsidRPr="00A21F93">
        <w:rPr>
          <w:rFonts w:ascii="Times New Roman" w:eastAsia="Times New Roman" w:hAnsi="Times New Roman"/>
          <w:sz w:val="24"/>
          <w:szCs w:val="24"/>
          <w:lang w:eastAsia="ar-SA"/>
        </w:rPr>
        <w:t>eagentai</w:t>
      </w:r>
      <w:r w:rsidR="00656574" w:rsidRPr="001359C0">
        <w:rPr>
          <w:rFonts w:ascii="Times New Roman" w:eastAsia="Times New Roman" w:hAnsi="Times New Roman"/>
          <w:sz w:val="24"/>
          <w:szCs w:val="24"/>
          <w:lang w:eastAsia="ar-SA"/>
        </w:rPr>
        <w:t>;</w:t>
      </w:r>
    </w:p>
    <w:p w14:paraId="20F5CF94" w14:textId="00DA0AC8" w:rsidR="00656574" w:rsidRPr="001359C0" w:rsidRDefault="00A21F93" w:rsidP="00656574">
      <w:pPr>
        <w:pStyle w:val="Sraopastraipa"/>
        <w:numPr>
          <w:ilvl w:val="2"/>
          <w:numId w:val="2"/>
        </w:numPr>
        <w:tabs>
          <w:tab w:val="left" w:pos="0"/>
        </w:tabs>
        <w:spacing w:after="0" w:line="240" w:lineRule="auto"/>
        <w:ind w:left="0" w:firstLine="567"/>
        <w:jc w:val="both"/>
        <w:rPr>
          <w:sz w:val="24"/>
          <w:szCs w:val="24"/>
          <w:lang w:eastAsia="ar-SA"/>
        </w:rPr>
      </w:pPr>
      <w:r>
        <w:rPr>
          <w:rFonts w:ascii="Times New Roman" w:eastAsia="Times New Roman" w:hAnsi="Times New Roman"/>
          <w:sz w:val="24"/>
          <w:szCs w:val="24"/>
          <w:lang w:eastAsia="ar-SA"/>
        </w:rPr>
        <w:t>P</w:t>
      </w:r>
      <w:r w:rsidRPr="00A21F93">
        <w:rPr>
          <w:rFonts w:ascii="Times New Roman" w:eastAsia="Times New Roman" w:hAnsi="Times New Roman"/>
          <w:sz w:val="24"/>
          <w:szCs w:val="24"/>
          <w:lang w:eastAsia="ar-SA"/>
        </w:rPr>
        <w:t>amatinės medžiagos</w:t>
      </w:r>
      <w:r>
        <w:rPr>
          <w:rFonts w:ascii="Times New Roman" w:eastAsia="Times New Roman" w:hAnsi="Times New Roman"/>
          <w:sz w:val="24"/>
          <w:szCs w:val="24"/>
          <w:lang w:eastAsia="ar-SA"/>
        </w:rPr>
        <w:t>.</w:t>
      </w:r>
    </w:p>
    <w:p w14:paraId="11291F42"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lastRenderedPageBreak/>
        <w:t xml:space="preserve">SUTARTIES GALIOJIMAS, VYKDYMO PRADŽIA, </w:t>
      </w:r>
    </w:p>
    <w:p w14:paraId="71A0ED2F"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 xml:space="preserve">TRUKMĖ </w:t>
      </w:r>
    </w:p>
    <w:p w14:paraId="45B8057B"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3FB71E9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vykdymo pradžia laikoma Sutarties įsigaliojimo diena.</w:t>
      </w:r>
    </w:p>
    <w:p w14:paraId="6F1E728E"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7E1DA5A5" w14:textId="56DDC030"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w:t>
      </w:r>
      <w:r w:rsidR="0011647A">
        <w:rPr>
          <w:rFonts w:ascii="Times New Roman" w:eastAsia="Times New Roman" w:hAnsi="Times New Roman" w:cs="Times New Roman"/>
          <w:sz w:val="24"/>
          <w:szCs w:val="24"/>
          <w:lang w:eastAsia="lt-LT"/>
        </w:rPr>
        <w:t>31</w:t>
      </w:r>
      <w:r w:rsidRPr="001359C0">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DC4BAB">
        <w:rPr>
          <w:rFonts w:ascii="Times New Roman" w:eastAsia="Times New Roman" w:hAnsi="Times New Roman" w:cs="Times New Roman"/>
          <w:sz w:val="24"/>
          <w:szCs w:val="24"/>
          <w:lang w:eastAsia="lt-LT"/>
        </w:rPr>
        <w:t>trisdešimt vienas</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DC4BAB">
        <w:rPr>
          <w:rFonts w:ascii="Times New Roman" w:eastAsia="Times New Roman" w:hAnsi="Times New Roman" w:cs="Times New Roman"/>
          <w:sz w:val="24"/>
          <w:szCs w:val="24"/>
          <w:lang w:eastAsia="lt-LT"/>
        </w:rPr>
        <w:t>s</w:t>
      </w:r>
      <w:r w:rsidRPr="001359C0">
        <w:rPr>
          <w:rFonts w:ascii="Times New Roman" w:eastAsia="Times New Roman" w:hAnsi="Times New Roman" w:cs="Times New Roman"/>
          <w:sz w:val="24"/>
          <w:szCs w:val="24"/>
          <w:lang w:eastAsia="lt-LT"/>
        </w:rPr>
        <w:t xml:space="preserve"> nuo Sutarties įsigaliojimo dienos, Prekių tiekimo trukmė – </w:t>
      </w:r>
      <w:r w:rsidR="00DC4BAB">
        <w:rPr>
          <w:rFonts w:ascii="Times New Roman" w:eastAsia="Times New Roman" w:hAnsi="Times New Roman" w:cs="Times New Roman"/>
          <w:sz w:val="24"/>
          <w:szCs w:val="24"/>
          <w:lang w:eastAsia="lt-LT"/>
        </w:rPr>
        <w:t>30</w:t>
      </w:r>
      <w:r w:rsidRPr="001359C0">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DC4BAB">
        <w:rPr>
          <w:rFonts w:ascii="Times New Roman" w:eastAsia="Times New Roman" w:hAnsi="Times New Roman" w:cs="Times New Roman"/>
          <w:sz w:val="24"/>
          <w:szCs w:val="24"/>
          <w:lang w:eastAsia="lt-LT"/>
        </w:rPr>
        <w:t>trisdešimt</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w:t>
      </w:r>
      <w:r w:rsidR="00DC4BAB">
        <w:rPr>
          <w:rFonts w:ascii="Times New Roman" w:eastAsia="Times New Roman" w:hAnsi="Times New Roman" w:cs="Times New Roman"/>
          <w:sz w:val="24"/>
          <w:szCs w:val="24"/>
          <w:lang w:eastAsia="lt-LT"/>
        </w:rPr>
        <w:t>ių</w:t>
      </w:r>
      <w:r w:rsidRPr="001359C0">
        <w:rPr>
          <w:rFonts w:ascii="Times New Roman" w:eastAsia="Times New Roman" w:hAnsi="Times New Roman" w:cs="Times New Roman"/>
          <w:sz w:val="24"/>
          <w:szCs w:val="24"/>
          <w:lang w:eastAsia="lt-LT"/>
        </w:rPr>
        <w:t xml:space="preserve"> nuo Sutarties įsigaliojimo dienos.</w:t>
      </w:r>
    </w:p>
    <w:p w14:paraId="5268B914"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r w:rsidRPr="001359C0">
        <w:rPr>
          <w:rFonts w:ascii="Times New Roman" w:eastAsia="Calibri" w:hAnsi="Times New Roman" w:cs="Times New Roman"/>
          <w:b/>
          <w:bCs/>
          <w:i/>
          <w:sz w:val="24"/>
          <w:szCs w:val="24"/>
        </w:rPr>
        <w:t xml:space="preserve"> </w:t>
      </w:r>
    </w:p>
    <w:p w14:paraId="1691242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9240D75"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57252AED"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47ECB5BE"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5F050639" w14:textId="504B9450"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0"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r w:rsidRPr="00C25F22">
        <w:rPr>
          <w:rFonts w:ascii="Times New Roman" w:eastAsia="Times New Roman" w:hAnsi="Times New Roman" w:cs="Times New Roman"/>
          <w:kern w:val="2"/>
          <w:sz w:val="24"/>
          <w:szCs w:val="24"/>
          <w:lang w:eastAsia="ar-SA"/>
        </w:rPr>
        <w:t>(</w:t>
      </w:r>
      <w:r w:rsidR="0035100C" w:rsidRPr="00C25F22">
        <w:rPr>
          <w:rFonts w:ascii="Times New Roman" w:eastAsia="Times New Roman" w:hAnsi="Times New Roman" w:cs="Times New Roman"/>
          <w:kern w:val="2"/>
          <w:sz w:val="24"/>
          <w:szCs w:val="24"/>
          <w:lang w:eastAsia="ar-SA"/>
        </w:rPr>
        <w:t>I</w:t>
      </w:r>
      <w:r w:rsidRPr="00C25F22">
        <w:rPr>
          <w:rFonts w:ascii="Times New Roman" w:eastAsia="Times New Roman" w:hAnsi="Times New Roman" w:cs="Times New Roman"/>
          <w:kern w:val="2"/>
          <w:sz w:val="24"/>
          <w:szCs w:val="24"/>
          <w:lang w:eastAsia="ar-SA"/>
        </w:rPr>
        <w:t xml:space="preserve"> pirkimo daliai –</w:t>
      </w:r>
      <w:r w:rsidR="007E7706">
        <w:rPr>
          <w:rFonts w:ascii="Times New Roman" w:eastAsia="Times New Roman" w:hAnsi="Times New Roman" w:cs="Times New Roman"/>
          <w:kern w:val="2"/>
          <w:sz w:val="24"/>
          <w:szCs w:val="24"/>
          <w:lang w:eastAsia="ar-SA"/>
        </w:rPr>
        <w:t xml:space="preserve"> </w:t>
      </w:r>
      <w:r w:rsidR="007E7706" w:rsidRPr="007E7706">
        <w:rPr>
          <w:rFonts w:ascii="Times New Roman" w:eastAsia="Times New Roman" w:hAnsi="Times New Roman" w:cs="Times New Roman"/>
          <w:kern w:val="2"/>
          <w:sz w:val="24"/>
          <w:szCs w:val="24"/>
          <w:lang w:eastAsia="ar-SA"/>
        </w:rPr>
        <w:t>24 793,39</w:t>
      </w:r>
      <w:r w:rsidR="007E7706">
        <w:rPr>
          <w:rFonts w:ascii="Times New Roman" w:eastAsia="Times New Roman" w:hAnsi="Times New Roman" w:cs="Times New Roman"/>
          <w:kern w:val="2"/>
          <w:sz w:val="24"/>
          <w:szCs w:val="24"/>
          <w:lang w:eastAsia="ar-SA"/>
        </w:rPr>
        <w:t xml:space="preserve"> </w:t>
      </w:r>
      <w:r w:rsidRPr="00C25F22">
        <w:rPr>
          <w:rFonts w:ascii="Times New Roman" w:eastAsia="Times New Roman" w:hAnsi="Times New Roman" w:cs="Times New Roman"/>
          <w:kern w:val="2"/>
          <w:sz w:val="24"/>
          <w:szCs w:val="24"/>
          <w:lang w:eastAsia="ar-SA"/>
        </w:rPr>
        <w:t xml:space="preserve">Eur </w:t>
      </w:r>
      <w:r w:rsidR="007E7706">
        <w:rPr>
          <w:rFonts w:ascii="Times New Roman" w:eastAsia="Times New Roman" w:hAnsi="Times New Roman" w:cs="Times New Roman"/>
          <w:kern w:val="2"/>
          <w:sz w:val="24"/>
          <w:szCs w:val="24"/>
          <w:lang w:eastAsia="ar-SA"/>
        </w:rPr>
        <w:t>be</w:t>
      </w:r>
      <w:r w:rsidRPr="00C25F22">
        <w:rPr>
          <w:rFonts w:ascii="Times New Roman" w:eastAsia="Times New Roman" w:hAnsi="Times New Roman" w:cs="Times New Roman"/>
          <w:kern w:val="2"/>
          <w:sz w:val="24"/>
          <w:szCs w:val="24"/>
          <w:lang w:eastAsia="ar-SA"/>
        </w:rPr>
        <w:t xml:space="preserve"> PVM; </w:t>
      </w:r>
      <w:r w:rsidR="00BA4352" w:rsidRPr="00C25F22">
        <w:rPr>
          <w:rFonts w:ascii="Times New Roman" w:eastAsia="Times New Roman" w:hAnsi="Times New Roman" w:cs="Times New Roman"/>
          <w:kern w:val="2"/>
          <w:sz w:val="24"/>
          <w:szCs w:val="24"/>
          <w:lang w:eastAsia="ar-SA"/>
        </w:rPr>
        <w:t>II</w:t>
      </w:r>
      <w:r w:rsidRPr="00C25F22">
        <w:rPr>
          <w:rFonts w:ascii="Times New Roman" w:eastAsia="Times New Roman" w:hAnsi="Times New Roman" w:cs="Times New Roman"/>
          <w:kern w:val="2"/>
          <w:sz w:val="24"/>
          <w:szCs w:val="24"/>
          <w:lang w:eastAsia="ar-SA"/>
        </w:rPr>
        <w:t xml:space="preserve"> pirkimo daliai –</w:t>
      </w:r>
      <w:r w:rsidR="007E7706">
        <w:rPr>
          <w:rFonts w:ascii="Times New Roman" w:eastAsia="Times New Roman" w:hAnsi="Times New Roman" w:cs="Times New Roman"/>
          <w:kern w:val="2"/>
          <w:sz w:val="24"/>
          <w:szCs w:val="24"/>
          <w:lang w:eastAsia="ar-SA"/>
        </w:rPr>
        <w:t xml:space="preserve"> </w:t>
      </w:r>
      <w:r w:rsidR="007E7706" w:rsidRPr="007E7706">
        <w:rPr>
          <w:rFonts w:ascii="Times New Roman" w:eastAsia="Times New Roman" w:hAnsi="Times New Roman" w:cs="Times New Roman"/>
          <w:kern w:val="2"/>
          <w:sz w:val="24"/>
          <w:szCs w:val="24"/>
          <w:lang w:eastAsia="ar-SA"/>
        </w:rPr>
        <w:t>8 264,46</w:t>
      </w:r>
      <w:r w:rsidR="007E7706">
        <w:rPr>
          <w:rFonts w:ascii="Times New Roman" w:eastAsia="Times New Roman" w:hAnsi="Times New Roman" w:cs="Times New Roman"/>
          <w:kern w:val="2"/>
          <w:sz w:val="24"/>
          <w:szCs w:val="24"/>
          <w:lang w:eastAsia="ar-SA"/>
        </w:rPr>
        <w:t xml:space="preserve"> </w:t>
      </w:r>
      <w:r w:rsidRPr="00C25F22">
        <w:rPr>
          <w:rFonts w:ascii="Times New Roman" w:eastAsia="Times New Roman" w:hAnsi="Times New Roman" w:cs="Times New Roman"/>
          <w:kern w:val="2"/>
          <w:sz w:val="24"/>
          <w:szCs w:val="24"/>
          <w:lang w:eastAsia="ar-SA"/>
        </w:rPr>
        <w:t xml:space="preserve">Eur </w:t>
      </w:r>
      <w:r w:rsidR="007E7706">
        <w:rPr>
          <w:rFonts w:ascii="Times New Roman" w:eastAsia="Times New Roman" w:hAnsi="Times New Roman" w:cs="Times New Roman"/>
          <w:kern w:val="2"/>
          <w:sz w:val="24"/>
          <w:szCs w:val="24"/>
          <w:lang w:eastAsia="ar-SA"/>
        </w:rPr>
        <w:t>be</w:t>
      </w:r>
      <w:r w:rsidRPr="00C25F22">
        <w:rPr>
          <w:rFonts w:ascii="Times New Roman" w:eastAsia="Times New Roman" w:hAnsi="Times New Roman" w:cs="Times New Roman"/>
          <w:kern w:val="2"/>
          <w:sz w:val="24"/>
          <w:szCs w:val="24"/>
          <w:lang w:eastAsia="ar-SA"/>
        </w:rPr>
        <w:t xml:space="preserve"> PVM)</w:t>
      </w:r>
      <w:bookmarkEnd w:id="0"/>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513"/>
        <w:gridCol w:w="5119"/>
      </w:tblGrid>
      <w:tr w:rsidR="00656574" w:rsidRPr="001359C0" w14:paraId="2A3E541E" w14:textId="77777777" w:rsidTr="000917B9">
        <w:trPr>
          <w:trHeight w:val="598"/>
          <w:tblCellSpacing w:w="7" w:type="dxa"/>
        </w:trPr>
        <w:tc>
          <w:tcPr>
            <w:tcW w:w="2332" w:type="pct"/>
            <w:tcMar>
              <w:top w:w="15" w:type="dxa"/>
              <w:left w:w="15" w:type="dxa"/>
              <w:bottom w:w="15" w:type="dxa"/>
              <w:right w:w="15" w:type="dxa"/>
            </w:tcMar>
            <w:vAlign w:val="center"/>
          </w:tcPr>
          <w:p w14:paraId="5ECCAE7E"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646" w:type="pct"/>
            <w:vAlign w:val="center"/>
          </w:tcPr>
          <w:p w14:paraId="6D4F064A"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0BB14204" w14:textId="77777777" w:rsidR="00656574" w:rsidRPr="001359C0" w:rsidRDefault="00656574" w:rsidP="000917B9">
            <w:pPr>
              <w:spacing w:after="0" w:line="240" w:lineRule="auto"/>
              <w:ind w:firstLine="160"/>
              <w:rPr>
                <w:rFonts w:ascii="Times New Roman CE" w:eastAsia="NSimSun" w:hAnsi="Times New Roman CE" w:cs="Mangal"/>
                <w:i/>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5F0A09F2" w14:textId="77777777" w:rsidTr="000917B9">
        <w:trPr>
          <w:tblCellSpacing w:w="7" w:type="dxa"/>
        </w:trPr>
        <w:tc>
          <w:tcPr>
            <w:tcW w:w="2332" w:type="pct"/>
            <w:tcMar>
              <w:top w:w="15" w:type="dxa"/>
              <w:left w:w="15" w:type="dxa"/>
              <w:bottom w:w="15" w:type="dxa"/>
              <w:right w:w="15" w:type="dxa"/>
            </w:tcMar>
            <w:vAlign w:val="center"/>
          </w:tcPr>
          <w:p w14:paraId="342DD35F"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646" w:type="pct"/>
            <w:vAlign w:val="center"/>
          </w:tcPr>
          <w:p w14:paraId="5D12C07F"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 xml:space="preserve">Nurodyti sumą procentais </w:t>
            </w:r>
          </w:p>
          <w:p w14:paraId="336FB1F0"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r w:rsidR="00656574" w:rsidRPr="001359C0" w14:paraId="45AA2C86" w14:textId="77777777" w:rsidTr="000917B9">
        <w:trPr>
          <w:trHeight w:val="656"/>
          <w:tblCellSpacing w:w="7" w:type="dxa"/>
        </w:trPr>
        <w:tc>
          <w:tcPr>
            <w:tcW w:w="2332" w:type="pct"/>
            <w:tcMar>
              <w:top w:w="15" w:type="dxa"/>
              <w:left w:w="15" w:type="dxa"/>
              <w:bottom w:w="15" w:type="dxa"/>
              <w:right w:w="15" w:type="dxa"/>
            </w:tcMar>
            <w:vAlign w:val="center"/>
          </w:tcPr>
          <w:p w14:paraId="1F2C66E0"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646" w:type="pct"/>
            <w:vAlign w:val="center"/>
          </w:tcPr>
          <w:p w14:paraId="057370AD" w14:textId="77777777" w:rsidR="00656574" w:rsidRPr="001359C0" w:rsidRDefault="00656574" w:rsidP="000917B9">
            <w:pPr>
              <w:spacing w:after="0" w:line="240" w:lineRule="auto"/>
              <w:ind w:firstLine="160"/>
              <w:rPr>
                <w:rFonts w:ascii="Times New Roman CE" w:eastAsia="NSimSun" w:hAnsi="Times New Roman CE" w:cs="Mangal"/>
                <w:i/>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skaičiais ir mokėjimo valiutą</w:t>
            </w:r>
          </w:p>
          <w:p w14:paraId="38B65365" w14:textId="77777777" w:rsidR="00656574" w:rsidRPr="001359C0" w:rsidRDefault="00656574" w:rsidP="000917B9">
            <w:pPr>
              <w:spacing w:after="0" w:line="240" w:lineRule="auto"/>
              <w:ind w:firstLine="160"/>
              <w:rPr>
                <w:rFonts w:ascii="Times New Roman CE" w:eastAsia="NSimSun" w:hAnsi="Times New Roman CE" w:cs="Mangal"/>
                <w:iCs/>
                <w:kern w:val="2"/>
                <w:sz w:val="24"/>
                <w:szCs w:val="24"/>
                <w:lang w:eastAsia="zh-CN" w:bidi="hi-IN"/>
              </w:rPr>
            </w:pPr>
            <w:r w:rsidRPr="001359C0">
              <w:rPr>
                <w:rFonts w:ascii="Times New Roman CE" w:eastAsia="NSimSun" w:hAnsi="Times New Roman CE" w:cs="Mangal"/>
                <w:i/>
                <w:iCs/>
                <w:kern w:val="2"/>
                <w:sz w:val="24"/>
                <w:szCs w:val="24"/>
                <w:lang w:eastAsia="zh-CN" w:bidi="hi-IN"/>
              </w:rPr>
              <w:t>Nurodyti sumą ir mokėjimo valiutą žodžiais</w:t>
            </w:r>
          </w:p>
        </w:tc>
      </w:tr>
    </w:tbl>
    <w:p w14:paraId="2C7ADA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001F7D8A"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531FC596"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_Ref184646944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3.4</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Pr="001359C0" w:rsidDel="00856A5C">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04EBFD0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6C562511"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3FD8FA3B" w14:textId="2F230AED"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Pardavėjas pagal Pirkėjo užsakymą (-</w:t>
      </w:r>
      <w:proofErr w:type="spellStart"/>
      <w:r w:rsidRPr="001359C0">
        <w:rPr>
          <w:rFonts w:ascii="Times New Roman" w:eastAsia="Times New Roman" w:hAnsi="Times New Roman" w:cs="Times New Roman"/>
          <w:kern w:val="2"/>
          <w:sz w:val="24"/>
          <w:szCs w:val="24"/>
          <w:lang w:eastAsia="ar-SA"/>
        </w:rPr>
        <w:t>us</w:t>
      </w:r>
      <w:proofErr w:type="spellEnd"/>
      <w:r w:rsidRPr="001359C0">
        <w:rPr>
          <w:rFonts w:ascii="Times New Roman" w:eastAsia="Times New Roman" w:hAnsi="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14:paraId="0204896C"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_Ref184648518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3.8.5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_Ref184801862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9.5</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03189B8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rsidRPr="001359C0">
        <w:rPr>
          <w:rFonts w:ascii="Times New Roman" w:eastAsia="Times New Roman" w:hAnsi="Times New Roman" w:cs="Times New Roman"/>
          <w:kern w:val="2"/>
          <w:sz w:val="24"/>
          <w:szCs w:val="24"/>
          <w:lang w:eastAsia="ar-SA"/>
        </w:rPr>
        <w:fldChar w:fldCharType="begin"/>
      </w:r>
      <w:r w:rsidRPr="001359C0">
        <w:rPr>
          <w:rFonts w:ascii="Times New Roman" w:eastAsia="Times New Roman" w:hAnsi="Times New Roman" w:cs="Times New Roman"/>
          <w:kern w:val="2"/>
          <w:sz w:val="24"/>
          <w:szCs w:val="24"/>
          <w:lang w:eastAsia="ar-SA"/>
        </w:rPr>
        <w:instrText xml:space="preserve"> REF _Ref184801862 \r \h  \* MERGEFORMAT </w:instrText>
      </w:r>
      <w:r w:rsidRPr="001359C0">
        <w:rPr>
          <w:rFonts w:ascii="Times New Roman" w:eastAsia="Times New Roman" w:hAnsi="Times New Roman" w:cs="Times New Roman"/>
          <w:kern w:val="2"/>
          <w:sz w:val="24"/>
          <w:szCs w:val="24"/>
          <w:lang w:eastAsia="ar-SA"/>
        </w:rPr>
      </w:r>
      <w:r w:rsidRPr="001359C0">
        <w:rPr>
          <w:rFonts w:ascii="Times New Roman" w:eastAsia="Times New Roman" w:hAnsi="Times New Roman" w:cs="Times New Roman"/>
          <w:kern w:val="2"/>
          <w:sz w:val="24"/>
          <w:szCs w:val="24"/>
          <w:lang w:eastAsia="ar-SA"/>
        </w:rPr>
        <w:fldChar w:fldCharType="separate"/>
      </w:r>
      <w:r w:rsidRPr="001359C0">
        <w:rPr>
          <w:rFonts w:ascii="Times New Roman" w:eastAsia="Times New Roman" w:hAnsi="Times New Roman" w:cs="Times New Roman"/>
          <w:kern w:val="2"/>
          <w:sz w:val="24"/>
          <w:szCs w:val="24"/>
          <w:lang w:eastAsia="ar-SA"/>
        </w:rPr>
        <w:t>9.5</w:t>
      </w:r>
      <w:r w:rsidRPr="001359C0">
        <w:rPr>
          <w:rFonts w:ascii="Times New Roman" w:eastAsia="Times New Roman" w:hAnsi="Times New Roman" w:cs="Times New Roman"/>
          <w:kern w:val="2"/>
          <w:sz w:val="24"/>
          <w:szCs w:val="24"/>
          <w:lang w:eastAsia="ar-SA"/>
        </w:rP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621237DF" w14:textId="6E66FE49"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1" w:name="_Ref184648518"/>
      <w:r w:rsidRPr="001359C0">
        <w:rPr>
          <w:rFonts w:ascii="Times New Roman" w:eastAsia="Times New Roman" w:hAnsi="Times New Roman" w:cs="Times New Roman"/>
          <w:kern w:val="2"/>
          <w:sz w:val="24"/>
          <w:szCs w:val="24"/>
          <w:lang w:eastAsia="ar-SA"/>
        </w:rPr>
        <w:t>Pirkėjas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1"/>
    </w:p>
    <w:p w14:paraId="6FF64397"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558BEB65"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73D25F20"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68983BDE" w14:textId="2B347F1C"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Sutarties kaina / įkainiai taikoma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xml:space="preserve">)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Pr="001359C0">
        <w:rPr>
          <w:sz w:val="24"/>
          <w:szCs w:val="24"/>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333DAD8F"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60380EBB" w14:textId="14F341D3"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199F638"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6A87BDD3"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748A2EAD"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742D99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146DABB7"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4E613690"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02771D2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2EA6887C"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(pakeistas) įkainis (Eur be PVM)</w:t>
      </w:r>
    </w:p>
    <w:p w14:paraId="45CEC7A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28CF2565"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2DDA5C99"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2D1F294F"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1F80795E"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1EBCD16F"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4CBB515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492C2B0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3E7C979F" w14:textId="2844D053"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4CD178F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1B1988A6" w14:textId="5380BA27"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2" w:name="_Ref184804186"/>
    </w:p>
    <w:bookmarkEnd w:id="2"/>
    <w:p w14:paraId="3D9C0CA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269DBC3B"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0C4AF64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337977B2" w14:textId="38CC67CB"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adresu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xml:space="preserve">) per Techninėje specifikacijoje nurodytą terminą. Šios Sutarties nuostatos nesilaikymas, išskyrus Sutarties </w:t>
      </w:r>
      <w:r w:rsidR="00021752">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021752">
        <w:rPr>
          <w:rFonts w:ascii="Times New Roman" w:eastAsia="Times New Roman" w:hAnsi="Times New Roman" w:cs="Times New Roman"/>
          <w:sz w:val="24"/>
          <w:szCs w:val="24"/>
          <w:shd w:val="clear" w:color="auto" w:fill="FFFFFF"/>
          <w:lang w:eastAsia="ar-SA"/>
        </w:rPr>
      </w:r>
      <w:r w:rsidR="00021752">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021752">
        <w:rPr>
          <w:rFonts w:ascii="Times New Roman" w:eastAsia="Times New Roman" w:hAnsi="Times New Roman" w:cs="Times New Roman"/>
          <w:sz w:val="24"/>
          <w:szCs w:val="24"/>
          <w:shd w:val="clear" w:color="auto" w:fill="FFFFFF"/>
          <w:lang w:eastAsia="ar-SA"/>
        </w:rPr>
        <w:fldChar w:fldCharType="end"/>
      </w:r>
      <w:r w:rsidR="00021752">
        <w:rPr>
          <w:rFonts w:ascii="Times New Roman" w:eastAsia="Times New Roman" w:hAnsi="Times New Roman" w:cs="Times New Roman"/>
          <w:sz w:val="24"/>
          <w:szCs w:val="24"/>
          <w:shd w:val="clear" w:color="auto" w:fill="FFFFFF"/>
          <w:lang w:eastAsia="ar-SA"/>
        </w:rPr>
        <w:t xml:space="preserve"> </w:t>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1F579F0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7F7BBB1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48C6018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6F3588A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73C89575"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3"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3"/>
    </w:p>
    <w:p w14:paraId="711A903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231C0279" w14:textId="1630F320" w:rsidR="00656574" w:rsidRPr="00A21F93" w:rsidRDefault="00656574" w:rsidP="4BB04F1A">
      <w:pPr>
        <w:pStyle w:val="Sraopastraipa"/>
        <w:numPr>
          <w:ilvl w:val="2"/>
          <w:numId w:val="6"/>
        </w:numPr>
        <w:spacing w:after="0" w:line="240" w:lineRule="auto"/>
        <w:ind w:left="0" w:firstLine="567"/>
        <w:jc w:val="both"/>
        <w:rPr>
          <w:rFonts w:ascii="Times New Roman" w:eastAsia="Times New Roman" w:hAnsi="Times New Roman" w:cs="Times New Roman"/>
          <w:sz w:val="24"/>
          <w:szCs w:val="24"/>
          <w:shd w:val="clear" w:color="auto" w:fill="FFFFFF"/>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BF4928A" w:rsidRPr="00D256FC">
        <w:rPr>
          <w:rFonts w:ascii="Times New Roman" w:eastAsia="Times New Roman" w:hAnsi="Times New Roman" w:cs="Times New Roman"/>
          <w:sz w:val="24"/>
          <w:szCs w:val="24"/>
          <w:shd w:val="clear" w:color="auto" w:fill="FFFFFF"/>
          <w:lang w:eastAsia="ar-SA"/>
        </w:rPr>
        <w:t xml:space="preserve">. </w:t>
      </w:r>
      <w:r w:rsidR="0BF4928A" w:rsidRPr="00A21F93">
        <w:rPr>
          <w:rFonts w:ascii="Times New Roman" w:eastAsia="Times New Roman" w:hAnsi="Times New Roman" w:cs="Times New Roman"/>
          <w:sz w:val="24"/>
          <w:szCs w:val="24"/>
        </w:rPr>
        <w:t xml:space="preserve">Pristatydamas prekes į tiekimo vietą ar vykdamas iš jos, rinktis optimalų maršrutą, vengti piko valandų t. y. vykti nuo 10:00 val. iki 15:00 val. pirmadieniais – ketvirtadieniais ir nuo 10:00 val. iki 14:00 val. </w:t>
      </w:r>
      <w:r w:rsidR="00A21F93">
        <w:rPr>
          <w:rFonts w:ascii="Times New Roman" w:eastAsia="Times New Roman" w:hAnsi="Times New Roman" w:cs="Times New Roman"/>
          <w:sz w:val="24"/>
          <w:szCs w:val="24"/>
        </w:rPr>
        <w:t>pe</w:t>
      </w:r>
      <w:r w:rsidR="00A21F93" w:rsidRPr="00A21F93">
        <w:rPr>
          <w:rFonts w:ascii="Times New Roman" w:eastAsia="Times New Roman" w:hAnsi="Times New Roman" w:cs="Times New Roman"/>
          <w:sz w:val="24"/>
          <w:szCs w:val="24"/>
        </w:rPr>
        <w:t>nktadieniais</w:t>
      </w:r>
      <w:r w:rsidR="0BF4928A" w:rsidRPr="00A21F93">
        <w:rPr>
          <w:rFonts w:ascii="Times New Roman" w:eastAsia="Times New Roman" w:hAnsi="Times New Roman" w:cs="Times New Roman"/>
          <w:sz w:val="24"/>
          <w:szCs w:val="24"/>
        </w:rPr>
        <w:t>;</w:t>
      </w:r>
    </w:p>
    <w:p w14:paraId="0497AA1C"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4965B8F5" w14:textId="77777777"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Pr="00D256FC">
        <w:rPr>
          <w:rFonts w:ascii="Times New Roman" w:eastAsia="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E755F1A" w14:textId="0D10E66A"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57CE48F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1FD190AF"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45A84D76"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4B0711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5FEEAB2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6228314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3AF69F1F"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2243428D"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095CF058"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4D7D2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5459B753"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 </w:t>
      </w: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10DAC82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eastAsia="Times New Roman" w:hAnsi="Times New Roman" w:cs="Times New Roman"/>
          <w:sz w:val="24"/>
          <w:szCs w:val="24"/>
          <w:shd w:val="clear" w:color="auto" w:fill="FFFFFF"/>
          <w:lang w:eastAsia="ar-SA"/>
        </w:rPr>
        <w:t>subtiekimu</w:t>
      </w:r>
      <w:proofErr w:type="spellEnd"/>
      <w:r w:rsidRPr="001359C0">
        <w:rPr>
          <w:rFonts w:ascii="Times New Roman" w:eastAsia="Times New Roman" w:hAnsi="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343CD08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__________________________.</w:t>
      </w:r>
    </w:p>
    <w:p w14:paraId="1C181DB7"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6438AD13" w14:textId="4AA119BD"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6D54A98F" w14:textId="06F36B6E"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63F9D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029C2B8B"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3C3F170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5B62ABA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7360F7AB" w14:textId="0230A143"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6A0A4392" w14:textId="180490B8"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w:t>
      </w:r>
      <w:r w:rsidR="005A03C8" w:rsidRPr="001E5397">
        <w:rPr>
          <w:rFonts w:ascii="Times New Roman" w:eastAsia="Times New Roman" w:hAnsi="Times New Roman" w:cs="Times New Roman"/>
          <w:sz w:val="24"/>
          <w:szCs w:val="24"/>
          <w:shd w:val="clear" w:color="auto" w:fill="FFFFFF"/>
          <w:lang w:eastAsia="ar-SA"/>
        </w:rPr>
        <w:t xml:space="preserve"> </w:t>
      </w:r>
      <w:r w:rsidRPr="001E5397">
        <w:rPr>
          <w:rFonts w:ascii="Times New Roman" w:eastAsia="Times New Roman" w:hAnsi="Times New Roman" w:cs="Times New Roman"/>
          <w:sz w:val="24"/>
          <w:szCs w:val="24"/>
          <w:shd w:val="clear" w:color="auto" w:fill="FFFFFF"/>
          <w:lang w:eastAsia="ar-SA"/>
        </w:rPr>
        <w:t>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26CF19F9" w14:textId="72EFF206"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Pr="001359C0" w:rsidDel="00B62950">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72242871"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mokėtinų sumų;</w:t>
      </w:r>
    </w:p>
    <w:p w14:paraId="70305FB9"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0AD532F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Pr="001359C0">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30112A30"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rsidRPr="001359C0">
        <w:rPr>
          <w:rFonts w:ascii="Times New Roman" w:eastAsia="Times New Roman" w:hAnsi="Times New Roman" w:cs="Times New Roman"/>
          <w:sz w:val="24"/>
          <w:szCs w:val="24"/>
          <w:shd w:val="clear" w:color="auto" w:fill="FFFFFF"/>
          <w:lang w:eastAsia="ar-SA"/>
        </w:rPr>
        <w:fldChar w:fldCharType="begin"/>
      </w:r>
      <w:r w:rsidRPr="001359C0">
        <w:rPr>
          <w:rFonts w:ascii="Times New Roman" w:eastAsia="Times New Roman" w:hAnsi="Times New Roman" w:cs="Times New Roman"/>
          <w:sz w:val="24"/>
          <w:szCs w:val="24"/>
          <w:shd w:val="clear" w:color="auto" w:fill="FFFFFF"/>
          <w:lang w:eastAsia="ar-SA"/>
        </w:rPr>
        <w:instrText xml:space="preserve"> REF _Ref184804186 \r \h  \* MERGEFORMAT </w:instrText>
      </w:r>
      <w:r w:rsidRPr="001359C0">
        <w:rPr>
          <w:rFonts w:ascii="Times New Roman" w:eastAsia="Times New Roman" w:hAnsi="Times New Roman" w:cs="Times New Roman"/>
          <w:sz w:val="24"/>
          <w:szCs w:val="24"/>
          <w:shd w:val="clear" w:color="auto" w:fill="FFFFFF"/>
          <w:lang w:eastAsia="ar-SA"/>
        </w:rPr>
      </w:r>
      <w:r w:rsidRPr="001359C0">
        <w:rPr>
          <w:rFonts w:ascii="Times New Roman" w:eastAsia="Times New Roman" w:hAnsi="Times New Roman" w:cs="Times New Roman"/>
          <w:sz w:val="24"/>
          <w:szCs w:val="24"/>
          <w:shd w:val="clear" w:color="auto" w:fill="FFFFFF"/>
          <w:lang w:eastAsia="ar-SA"/>
        </w:rPr>
        <w:fldChar w:fldCharType="separate"/>
      </w:r>
      <w:r w:rsidRPr="001359C0">
        <w:rPr>
          <w:rFonts w:ascii="Times New Roman" w:eastAsia="Times New Roman" w:hAnsi="Times New Roman" w:cs="Times New Roman"/>
          <w:sz w:val="24"/>
          <w:szCs w:val="24"/>
          <w:shd w:val="clear" w:color="auto" w:fill="FFFFFF"/>
          <w:lang w:eastAsia="ar-SA"/>
        </w:rPr>
        <w:t>4.1</w:t>
      </w:r>
      <w:r w:rsidRPr="001359C0">
        <w:rPr>
          <w:rFonts w:ascii="Times New Roman" w:eastAsia="Times New Roman" w:hAnsi="Times New Roman" w:cs="Times New Roman"/>
          <w:sz w:val="24"/>
          <w:szCs w:val="24"/>
          <w:shd w:val="clear" w:color="auto" w:fill="FFFFFF"/>
          <w:lang w:eastAsia="ar-SA"/>
        </w:rP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1D8C41F7"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28CB61F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1D7B2F22"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19CBE75F"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E77EDF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19F02CDD"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2DF5ECDC"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4E8C6DD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7C5EBA9A"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59299C8E"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2C67E21B"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2859FC94"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1F3B7A48"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47CEDEB1"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66421187"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0FA75119"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20DED28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4"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4"/>
    </w:p>
    <w:p w14:paraId="1F3F1920" w14:textId="0A96F746" w:rsidR="00656574" w:rsidRPr="001359C0" w:rsidRDefault="00656574" w:rsidP="00F9004A">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w:t>
      </w:r>
      <w:r w:rsidR="00EA41D9">
        <w:rPr>
          <w:rFonts w:ascii="Times New Roman" w:eastAsia="Times New Roman" w:hAnsi="Times New Roman" w:cs="Times New Roman"/>
          <w:kern w:val="2"/>
          <w:sz w:val="24"/>
          <w:szCs w:val="24"/>
          <w:bdr w:val="nil"/>
          <w:lang w:eastAsia="ar-SA"/>
        </w:rPr>
        <w:t>u</w:t>
      </w:r>
      <w:r w:rsidRPr="001359C0">
        <w:rPr>
          <w:rFonts w:ascii="Times New Roman" w:eastAsia="Times New Roman" w:hAnsi="Times New Roman" w:cs="Times New Roman"/>
          <w:kern w:val="2"/>
          <w:sz w:val="24"/>
          <w:szCs w:val="24"/>
          <w:bdr w:val="nil"/>
          <w:lang w:eastAsia="ar-SA"/>
        </w:rPr>
        <w:t xml:space="preserve"> Šalių susitarimu;</w:t>
      </w:r>
    </w:p>
    <w:p w14:paraId="52B3AE2D"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22DCE1C" w14:textId="257E62DC"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5"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5"/>
    </w:p>
    <w:p w14:paraId="4248F93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48E76AD"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686B72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7D0E1C83"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168D48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4DAE6AD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37461A4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176B74B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106905D8"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2811EAE4"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526CE1E0"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36223F4B"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5AE2EFD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F172162"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45687B20"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54486240"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77EE131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035FD532"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6"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6"/>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0E827F50"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3F5AD09E"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1A020BDA"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5B8D647D"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5A54F563"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0856B8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202F26A"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461A8AB3"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347C5BB"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3795319"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1075E0D2"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53E90B7"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1297CC12" w14:textId="77777777" w:rsidTr="000917B9">
        <w:trPr>
          <w:trHeight w:val="276"/>
        </w:trPr>
        <w:tc>
          <w:tcPr>
            <w:tcW w:w="2041" w:type="dxa"/>
            <w:tcBorders>
              <w:top w:val="nil"/>
              <w:left w:val="nil"/>
              <w:bottom w:val="single" w:sz="4" w:space="0" w:color="auto"/>
              <w:right w:val="nil"/>
            </w:tcBorders>
          </w:tcPr>
          <w:p w14:paraId="1C426758"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3A834A8D"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59CFC3CF" w14:textId="77777777" w:rsidR="00656574" w:rsidRPr="001359C0"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sz w:val="24"/>
                <w:szCs w:val="24"/>
                <w:lang w:eastAsia="zh-CN"/>
              </w:rPr>
              <w:t>Pardavėjo</w:t>
            </w:r>
            <w:r w:rsidRPr="001359C0">
              <w:rPr>
                <w:rFonts w:ascii="Times New Roman" w:eastAsia="Times New Roman" w:hAnsi="Times New Roman" w:cs="Times New Roman"/>
                <w:b/>
                <w:bCs/>
                <w:sz w:val="24"/>
                <w:szCs w:val="24"/>
                <w:shd w:val="clear" w:color="auto" w:fill="FFFFFF"/>
                <w:lang w:eastAsia="ar-SA"/>
              </w:rPr>
              <w:t xml:space="preserve"> vardu</w:t>
            </w:r>
          </w:p>
        </w:tc>
      </w:tr>
      <w:tr w:rsidR="00656574" w:rsidRPr="001359C0" w14:paraId="2B65495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47C8948"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8AB7895" w14:textId="77777777" w:rsidR="00656574" w:rsidRPr="001359C0" w:rsidRDefault="00656574" w:rsidP="000917B9">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053DB56A"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1B369947"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7BBAAC1"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5929CA2"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48FC99F"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val="en-US" w:eastAsia="zh-CN"/>
              </w:rPr>
            </w:pPr>
          </w:p>
        </w:tc>
      </w:tr>
      <w:tr w:rsidR="00656574" w:rsidRPr="001359C0" w14:paraId="29BBB9B5"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8A2FB55"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3F90AABE"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2BF32413"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r w:rsidR="00656574" w:rsidRPr="001359C0" w14:paraId="45059F9C"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21D00F33" w14:textId="77777777" w:rsidR="00656574" w:rsidRPr="001359C0" w:rsidRDefault="00656574" w:rsidP="000917B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45E3E514" w14:textId="77777777" w:rsidR="00656574" w:rsidRPr="001359C0" w:rsidRDefault="00656574" w:rsidP="000917B9">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52D80A07" w14:textId="77777777" w:rsidR="00656574" w:rsidRPr="001359C0" w:rsidRDefault="00656574" w:rsidP="000917B9">
            <w:pPr>
              <w:suppressAutoHyphens/>
              <w:snapToGrid w:val="0"/>
              <w:spacing w:after="0" w:line="240" w:lineRule="auto"/>
              <w:rPr>
                <w:rFonts w:ascii="Times New Roman" w:eastAsia="Times New Roman" w:hAnsi="Times New Roman" w:cs="Times New Roman"/>
                <w:sz w:val="24"/>
                <w:szCs w:val="24"/>
                <w:lang w:eastAsia="zh-CN"/>
              </w:rPr>
            </w:pPr>
          </w:p>
        </w:tc>
      </w:tr>
    </w:tbl>
    <w:p w14:paraId="03C90130"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513F35ED" w14:textId="39AA96B8"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104946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27BCE119"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141434BB"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637B532" w14:textId="7C7A7DF5"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w:t>
      </w:r>
      <w:r w:rsidR="00CF7F5B">
        <w:rPr>
          <w:rFonts w:ascii="Times New Roman" w:eastAsia="Times New Roman" w:hAnsi="Times New Roman" w:cs="Times New Roman"/>
          <w:bCs/>
          <w:sz w:val="24"/>
          <w:szCs w:val="24"/>
        </w:rPr>
        <w:t>Cheminių reagentų</w:t>
      </w:r>
      <w:r w:rsidR="00A21F93">
        <w:rPr>
          <w:rFonts w:ascii="Times New Roman" w:eastAsia="Times New Roman" w:hAnsi="Times New Roman" w:cs="Times New Roman"/>
          <w:b/>
          <w:sz w:val="24"/>
          <w:szCs w:val="24"/>
        </w:rPr>
        <w:t xml:space="preserve"> </w:t>
      </w:r>
      <w:r w:rsidRPr="001359C0">
        <w:rPr>
          <w:rFonts w:ascii="Times New Roman" w:eastAsia="Times New Roman" w:hAnsi="Times New Roman" w:cs="Times New Roman"/>
          <w:sz w:val="24"/>
          <w:szCs w:val="24"/>
          <w:shd w:val="clear" w:color="auto" w:fill="FFFFFF"/>
          <w:lang w:eastAsia="ar-SA"/>
        </w:rPr>
        <w:t>pirkimo techninė specifikacija.</w:t>
      </w:r>
    </w:p>
    <w:p w14:paraId="022F3DC2" w14:textId="72D36838"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6960FD9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7126C0CD" w14:textId="084BA885" w:rsidR="001359CF" w:rsidRDefault="00CF7F5B" w:rsidP="00656574">
      <w:pP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bCs/>
          <w:sz w:val="24"/>
          <w:szCs w:val="24"/>
        </w:rPr>
        <w:t>Cheminių reagentų</w:t>
      </w:r>
      <w:r w:rsidR="00A21F93" w:rsidRPr="001359C0">
        <w:rPr>
          <w:rFonts w:ascii="Times New Roman" w:eastAsia="Times New Roman" w:hAnsi="Times New Roman" w:cs="Times New Roman"/>
          <w:b/>
          <w:sz w:val="24"/>
          <w:szCs w:val="24"/>
        </w:rPr>
        <w:t xml:space="preserve"> </w:t>
      </w:r>
      <w:r w:rsidR="00656574" w:rsidRPr="001359C0">
        <w:rPr>
          <w:rFonts w:ascii="Times New Roman" w:eastAsia="Times New Roman" w:hAnsi="Times New Roman" w:cs="Times New Roman"/>
          <w:iCs/>
          <w:color w:val="000000"/>
          <w:sz w:val="24"/>
          <w:szCs w:val="24"/>
          <w:lang w:eastAsia="zh-CN"/>
        </w:rPr>
        <w:t>viešojo pirkimo dokumentai.</w:t>
      </w:r>
    </w:p>
    <w:p w14:paraId="608604F5" w14:textId="77777777" w:rsidR="00656574" w:rsidRDefault="00656574" w:rsidP="00656574">
      <w:pPr>
        <w:rPr>
          <w:rFonts w:ascii="Times New Roman" w:eastAsia="Times New Roman" w:hAnsi="Times New Roman" w:cs="Times New Roman"/>
          <w:iCs/>
          <w:color w:val="000000"/>
          <w:sz w:val="24"/>
          <w:szCs w:val="24"/>
          <w:lang w:eastAsia="zh-CN"/>
        </w:rPr>
      </w:pPr>
    </w:p>
    <w:tbl>
      <w:tblPr>
        <w:tblW w:w="9691" w:type="dxa"/>
        <w:tblInd w:w="2" w:type="dxa"/>
        <w:tblLayout w:type="fixed"/>
        <w:tblLook w:val="00A0" w:firstRow="1" w:lastRow="0" w:firstColumn="1" w:lastColumn="0" w:noHBand="0" w:noVBand="0"/>
      </w:tblPr>
      <w:tblGrid>
        <w:gridCol w:w="2522"/>
        <w:gridCol w:w="2433"/>
        <w:gridCol w:w="1984"/>
        <w:gridCol w:w="2752"/>
      </w:tblGrid>
      <w:tr w:rsidR="00656574" w:rsidRPr="001359C0" w14:paraId="72EC5B3B" w14:textId="77777777" w:rsidTr="000917B9">
        <w:trPr>
          <w:trHeight w:val="253"/>
        </w:trPr>
        <w:tc>
          <w:tcPr>
            <w:tcW w:w="4955" w:type="dxa"/>
            <w:gridSpan w:val="2"/>
          </w:tcPr>
          <w:p w14:paraId="55DF8B01" w14:textId="77777777"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7BE4845E"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736" w:type="dxa"/>
            <w:gridSpan w:val="2"/>
          </w:tcPr>
          <w:p w14:paraId="08B716A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b/>
                <w:bCs/>
                <w:sz w:val="24"/>
                <w:szCs w:val="24"/>
                <w:lang w:eastAsia="ar-SA"/>
              </w:rPr>
              <w:t>Pardavėjo vardu</w:t>
            </w:r>
          </w:p>
        </w:tc>
      </w:tr>
      <w:tr w:rsidR="00656574" w:rsidRPr="001359C0" w14:paraId="6D6E9191" w14:textId="77777777" w:rsidTr="000917B9">
        <w:trPr>
          <w:trHeight w:val="253"/>
        </w:trPr>
        <w:tc>
          <w:tcPr>
            <w:tcW w:w="2522" w:type="dxa"/>
          </w:tcPr>
          <w:p w14:paraId="7074D57A"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433" w:type="dxa"/>
            <w:vAlign w:val="center"/>
          </w:tcPr>
          <w:p w14:paraId="4D2E8A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D8A00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Vardas,</w:t>
            </w:r>
            <w:r w:rsidRPr="001359C0">
              <w:rPr>
                <w:rFonts w:ascii="Times New Roman" w:eastAsia="Times New Roman" w:hAnsi="Times New Roman" w:cs="Times New Roman"/>
                <w:sz w:val="24"/>
                <w:szCs w:val="24"/>
                <w:lang w:eastAsia="ar-SA"/>
              </w:rPr>
              <w:br/>
              <w:t>pavardė:</w:t>
            </w:r>
          </w:p>
        </w:tc>
        <w:tc>
          <w:tcPr>
            <w:tcW w:w="2752" w:type="dxa"/>
            <w:vAlign w:val="center"/>
          </w:tcPr>
          <w:p w14:paraId="024A0A02" w14:textId="77777777" w:rsidR="00656574" w:rsidRPr="001359C0" w:rsidRDefault="00656574" w:rsidP="000917B9">
            <w:pPr>
              <w:spacing w:after="0" w:line="240" w:lineRule="auto"/>
              <w:ind w:left="207" w:hanging="207"/>
              <w:jc w:val="both"/>
              <w:rPr>
                <w:rFonts w:ascii="Times New Roman" w:eastAsia="Times New Roman" w:hAnsi="Times New Roman" w:cs="Times New Roman"/>
                <w:sz w:val="24"/>
                <w:szCs w:val="24"/>
              </w:rPr>
            </w:pPr>
          </w:p>
        </w:tc>
      </w:tr>
      <w:tr w:rsidR="00656574" w:rsidRPr="001359C0" w14:paraId="0E60C85F" w14:textId="77777777" w:rsidTr="000917B9">
        <w:trPr>
          <w:trHeight w:val="253"/>
        </w:trPr>
        <w:tc>
          <w:tcPr>
            <w:tcW w:w="2522" w:type="dxa"/>
          </w:tcPr>
          <w:p w14:paraId="45D3534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433" w:type="dxa"/>
          </w:tcPr>
          <w:p w14:paraId="572E8F0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32D1C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Pareigos:</w:t>
            </w:r>
          </w:p>
        </w:tc>
        <w:tc>
          <w:tcPr>
            <w:tcW w:w="2752" w:type="dxa"/>
          </w:tcPr>
          <w:p w14:paraId="28A6498F"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F187889" w14:textId="77777777" w:rsidTr="000917B9">
        <w:trPr>
          <w:trHeight w:val="253"/>
        </w:trPr>
        <w:tc>
          <w:tcPr>
            <w:tcW w:w="2522" w:type="dxa"/>
          </w:tcPr>
          <w:p w14:paraId="31F39AB0"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433" w:type="dxa"/>
          </w:tcPr>
          <w:p w14:paraId="698211ED"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DF68F9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Adresas:</w:t>
            </w:r>
          </w:p>
        </w:tc>
        <w:tc>
          <w:tcPr>
            <w:tcW w:w="2752" w:type="dxa"/>
          </w:tcPr>
          <w:p w14:paraId="36EF22D8"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19D58454" w14:textId="77777777" w:rsidTr="000917B9">
        <w:trPr>
          <w:trHeight w:val="253"/>
        </w:trPr>
        <w:tc>
          <w:tcPr>
            <w:tcW w:w="2522" w:type="dxa"/>
          </w:tcPr>
          <w:p w14:paraId="38D4DEDC"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433" w:type="dxa"/>
          </w:tcPr>
          <w:p w14:paraId="5976758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30870965"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Įmonės kodas</w:t>
            </w:r>
          </w:p>
        </w:tc>
        <w:tc>
          <w:tcPr>
            <w:tcW w:w="2752" w:type="dxa"/>
          </w:tcPr>
          <w:p w14:paraId="47802342"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6AAC14A1" w14:textId="77777777" w:rsidTr="000917B9">
        <w:trPr>
          <w:trHeight w:val="253"/>
        </w:trPr>
        <w:tc>
          <w:tcPr>
            <w:tcW w:w="2522" w:type="dxa"/>
          </w:tcPr>
          <w:p w14:paraId="2F424CD4"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Finansų įstaiga:</w:t>
            </w:r>
          </w:p>
          <w:p w14:paraId="1D8A3157"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p>
          <w:p w14:paraId="5993A5A7"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Finansų įstaigos kodas:</w:t>
            </w:r>
          </w:p>
        </w:tc>
        <w:tc>
          <w:tcPr>
            <w:tcW w:w="2433" w:type="dxa"/>
          </w:tcPr>
          <w:p w14:paraId="1046E9B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B80B021"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Banko pavadinimas ir kodas:</w:t>
            </w:r>
          </w:p>
        </w:tc>
        <w:tc>
          <w:tcPr>
            <w:tcW w:w="2752" w:type="dxa"/>
            <w:shd w:val="clear" w:color="auto" w:fill="auto"/>
          </w:tcPr>
          <w:p w14:paraId="62F1A0A0"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3CC227E2" w14:textId="77777777" w:rsidTr="000917B9">
        <w:trPr>
          <w:trHeight w:val="253"/>
        </w:trPr>
        <w:tc>
          <w:tcPr>
            <w:tcW w:w="2522" w:type="dxa"/>
          </w:tcPr>
          <w:p w14:paraId="66A06404"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433" w:type="dxa"/>
          </w:tcPr>
          <w:p w14:paraId="3229CD2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08AF8FD6"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Atsiskaitomosios sąskaitos Nr.</w:t>
            </w:r>
          </w:p>
        </w:tc>
        <w:tc>
          <w:tcPr>
            <w:tcW w:w="2752" w:type="dxa"/>
            <w:shd w:val="clear" w:color="auto" w:fill="auto"/>
          </w:tcPr>
          <w:p w14:paraId="522DA93B"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r w:rsidR="00656574" w:rsidRPr="001359C0" w14:paraId="04D966D4" w14:textId="77777777" w:rsidTr="000917B9">
        <w:trPr>
          <w:trHeight w:val="253"/>
        </w:trPr>
        <w:tc>
          <w:tcPr>
            <w:tcW w:w="2522" w:type="dxa"/>
          </w:tcPr>
          <w:p w14:paraId="7F80CEB5"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 xml:space="preserve">Ne PVM mokėtojas </w:t>
            </w:r>
          </w:p>
        </w:tc>
        <w:tc>
          <w:tcPr>
            <w:tcW w:w="2433" w:type="dxa"/>
          </w:tcPr>
          <w:p w14:paraId="0B86EC25" w14:textId="77777777" w:rsidR="00656574" w:rsidRPr="001359C0" w:rsidRDefault="00656574" w:rsidP="000917B9">
            <w:pPr>
              <w:snapToGrid w:val="0"/>
              <w:spacing w:after="0" w:line="240" w:lineRule="auto"/>
              <w:rPr>
                <w:rFonts w:ascii="Times New Roman" w:eastAsia="Times New Roman" w:hAnsi="Times New Roman" w:cs="Times New Roman"/>
                <w:b/>
                <w:color w:val="000000"/>
                <w:sz w:val="24"/>
                <w:szCs w:val="24"/>
              </w:rPr>
            </w:pPr>
          </w:p>
        </w:tc>
        <w:tc>
          <w:tcPr>
            <w:tcW w:w="1984" w:type="dxa"/>
          </w:tcPr>
          <w:p w14:paraId="521DFA9E" w14:textId="77777777" w:rsidR="00656574" w:rsidRPr="001359C0" w:rsidRDefault="00656574" w:rsidP="000917B9">
            <w:pPr>
              <w:snapToGrid w:val="0"/>
              <w:spacing w:after="0" w:line="240" w:lineRule="auto"/>
              <w:rPr>
                <w:rFonts w:ascii="Times New Roman" w:eastAsia="Times New Roman" w:hAnsi="Times New Roman" w:cs="Times New Roman"/>
                <w:color w:val="000000"/>
                <w:sz w:val="24"/>
                <w:szCs w:val="24"/>
              </w:rPr>
            </w:pPr>
            <w:r w:rsidRPr="001359C0">
              <w:rPr>
                <w:rFonts w:ascii="Times New Roman" w:eastAsia="Times New Roman" w:hAnsi="Times New Roman" w:cs="Times New Roman"/>
                <w:color w:val="000000"/>
                <w:sz w:val="24"/>
                <w:szCs w:val="24"/>
                <w:lang w:eastAsia="ar-SA"/>
              </w:rPr>
              <w:t>PVM kodas</w:t>
            </w:r>
          </w:p>
        </w:tc>
        <w:tc>
          <w:tcPr>
            <w:tcW w:w="2752" w:type="dxa"/>
          </w:tcPr>
          <w:p w14:paraId="63245B8F" w14:textId="77777777" w:rsidR="00656574" w:rsidRPr="001359C0" w:rsidRDefault="00656574" w:rsidP="000917B9">
            <w:pPr>
              <w:spacing w:after="0" w:line="240" w:lineRule="auto"/>
              <w:jc w:val="both"/>
              <w:rPr>
                <w:rFonts w:ascii="Times New Roman" w:eastAsia="Times New Roman" w:hAnsi="Times New Roman" w:cs="Times New Roman"/>
                <w:color w:val="000000"/>
                <w:sz w:val="24"/>
                <w:szCs w:val="24"/>
              </w:rPr>
            </w:pPr>
          </w:p>
        </w:tc>
      </w:tr>
      <w:tr w:rsidR="00656574" w:rsidRPr="001359C0" w14:paraId="448639D1" w14:textId="77777777" w:rsidTr="000917B9">
        <w:trPr>
          <w:trHeight w:val="253"/>
        </w:trPr>
        <w:tc>
          <w:tcPr>
            <w:tcW w:w="2522" w:type="dxa"/>
          </w:tcPr>
          <w:p w14:paraId="234A7962"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7B1F5813"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433" w:type="dxa"/>
          </w:tcPr>
          <w:p w14:paraId="7C82C8E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p>
        </w:tc>
        <w:tc>
          <w:tcPr>
            <w:tcW w:w="1984" w:type="dxa"/>
          </w:tcPr>
          <w:p w14:paraId="406378BA" w14:textId="77777777" w:rsidR="00656574" w:rsidRPr="001359C0" w:rsidRDefault="00656574" w:rsidP="000917B9">
            <w:pPr>
              <w:snapToGrid w:val="0"/>
              <w:spacing w:after="0" w:line="240" w:lineRule="auto"/>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Parašas:</w:t>
            </w:r>
          </w:p>
          <w:p w14:paraId="431B53CF" w14:textId="77777777" w:rsidR="00656574" w:rsidRPr="001359C0" w:rsidRDefault="00656574" w:rsidP="000917B9">
            <w:pPr>
              <w:snapToGrid w:val="0"/>
              <w:spacing w:after="0" w:line="240" w:lineRule="auto"/>
              <w:rPr>
                <w:rFonts w:ascii="Times New Roman" w:eastAsia="Times New Roman" w:hAnsi="Times New Roman" w:cs="Times New Roman"/>
                <w:sz w:val="24"/>
                <w:szCs w:val="24"/>
              </w:rPr>
            </w:pPr>
            <w:r w:rsidRPr="001359C0">
              <w:rPr>
                <w:rFonts w:ascii="Times New Roman" w:eastAsia="Times New Roman" w:hAnsi="Times New Roman" w:cs="Times New Roman"/>
                <w:sz w:val="24"/>
                <w:szCs w:val="24"/>
                <w:lang w:eastAsia="ar-SA"/>
              </w:rPr>
              <w:t>Data:</w:t>
            </w:r>
          </w:p>
        </w:tc>
        <w:tc>
          <w:tcPr>
            <w:tcW w:w="2752" w:type="dxa"/>
          </w:tcPr>
          <w:p w14:paraId="0A6AF6AE" w14:textId="77777777" w:rsidR="00656574" w:rsidRPr="001359C0" w:rsidRDefault="00656574" w:rsidP="000917B9">
            <w:pPr>
              <w:spacing w:after="0" w:line="240" w:lineRule="auto"/>
              <w:jc w:val="both"/>
              <w:rPr>
                <w:rFonts w:ascii="Times New Roman" w:eastAsia="Times New Roman" w:hAnsi="Times New Roman" w:cs="Times New Roman"/>
                <w:sz w:val="24"/>
                <w:szCs w:val="24"/>
              </w:rPr>
            </w:pPr>
          </w:p>
        </w:tc>
      </w:tr>
    </w:tbl>
    <w:p w14:paraId="0D5428CD" w14:textId="77777777" w:rsidR="00656574" w:rsidRDefault="00656574" w:rsidP="00656574"/>
    <w:sectPr w:rsidR="006565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3140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9403948">
    <w:abstractNumId w:val="5"/>
  </w:num>
  <w:num w:numId="3" w16cid:durableId="1294406799">
    <w:abstractNumId w:val="6"/>
  </w:num>
  <w:num w:numId="4" w16cid:durableId="1169640383">
    <w:abstractNumId w:val="13"/>
  </w:num>
  <w:num w:numId="5" w16cid:durableId="1380975460">
    <w:abstractNumId w:val="4"/>
  </w:num>
  <w:num w:numId="6" w16cid:durableId="751317047">
    <w:abstractNumId w:val="14"/>
  </w:num>
  <w:num w:numId="7" w16cid:durableId="1644627038">
    <w:abstractNumId w:val="8"/>
  </w:num>
  <w:num w:numId="8" w16cid:durableId="865555777">
    <w:abstractNumId w:val="11"/>
  </w:num>
  <w:num w:numId="9" w16cid:durableId="612789813">
    <w:abstractNumId w:val="2"/>
  </w:num>
  <w:num w:numId="10" w16cid:durableId="1206067795">
    <w:abstractNumId w:val="3"/>
  </w:num>
  <w:num w:numId="11" w16cid:durableId="1777627703">
    <w:abstractNumId w:val="1"/>
  </w:num>
  <w:num w:numId="12" w16cid:durableId="296909334">
    <w:abstractNumId w:val="0"/>
  </w:num>
  <w:num w:numId="13" w16cid:durableId="304242217">
    <w:abstractNumId w:val="9"/>
  </w:num>
  <w:num w:numId="14" w16cid:durableId="952051033">
    <w:abstractNumId w:val="10"/>
  </w:num>
  <w:num w:numId="15" w16cid:durableId="7298279">
    <w:abstractNumId w:val="12"/>
  </w:num>
  <w:num w:numId="16" w16cid:durableId="1130976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36FB5"/>
    <w:rsid w:val="000B7262"/>
    <w:rsid w:val="000C1659"/>
    <w:rsid w:val="00102C81"/>
    <w:rsid w:val="0011647A"/>
    <w:rsid w:val="001332E7"/>
    <w:rsid w:val="001359CF"/>
    <w:rsid w:val="00180CF9"/>
    <w:rsid w:val="001B40FA"/>
    <w:rsid w:val="001B5554"/>
    <w:rsid w:val="001D278D"/>
    <w:rsid w:val="001E26E5"/>
    <w:rsid w:val="001E5397"/>
    <w:rsid w:val="00216CDB"/>
    <w:rsid w:val="002743BF"/>
    <w:rsid w:val="00293F6D"/>
    <w:rsid w:val="002E762D"/>
    <w:rsid w:val="0035100C"/>
    <w:rsid w:val="0038424A"/>
    <w:rsid w:val="00391181"/>
    <w:rsid w:val="003E4EF6"/>
    <w:rsid w:val="004370C4"/>
    <w:rsid w:val="0046143F"/>
    <w:rsid w:val="00477633"/>
    <w:rsid w:val="00513BF1"/>
    <w:rsid w:val="005A03C8"/>
    <w:rsid w:val="00645BA8"/>
    <w:rsid w:val="00656574"/>
    <w:rsid w:val="007245D0"/>
    <w:rsid w:val="0079679F"/>
    <w:rsid w:val="007D6621"/>
    <w:rsid w:val="007E7706"/>
    <w:rsid w:val="00860738"/>
    <w:rsid w:val="00891EE6"/>
    <w:rsid w:val="008A53DD"/>
    <w:rsid w:val="009E1484"/>
    <w:rsid w:val="009E3B52"/>
    <w:rsid w:val="00A053F2"/>
    <w:rsid w:val="00A21F93"/>
    <w:rsid w:val="00AE61A1"/>
    <w:rsid w:val="00B33F0A"/>
    <w:rsid w:val="00B4704E"/>
    <w:rsid w:val="00B55C97"/>
    <w:rsid w:val="00BA4352"/>
    <w:rsid w:val="00BB48EB"/>
    <w:rsid w:val="00BD366E"/>
    <w:rsid w:val="00BD3BB3"/>
    <w:rsid w:val="00BF7543"/>
    <w:rsid w:val="00C127E0"/>
    <w:rsid w:val="00C25F22"/>
    <w:rsid w:val="00C34CBF"/>
    <w:rsid w:val="00CF7F5B"/>
    <w:rsid w:val="00DC4BAB"/>
    <w:rsid w:val="00DC78F9"/>
    <w:rsid w:val="00E811BD"/>
    <w:rsid w:val="00EA41D9"/>
    <w:rsid w:val="00EA6821"/>
    <w:rsid w:val="00EE0F7D"/>
    <w:rsid w:val="00F11A01"/>
    <w:rsid w:val="00F268DA"/>
    <w:rsid w:val="00F37FCE"/>
    <w:rsid w:val="00F56873"/>
    <w:rsid w:val="00F9004A"/>
    <w:rsid w:val="00F90B84"/>
    <w:rsid w:val="0BF4928A"/>
    <w:rsid w:val="4BB04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4775"/>
  <w15:chartTrackingRefBased/>
  <w15:docId w15:val="{7241C509-1EBA-4F5C-B642-BD23B03F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14:ligatures w14:val="none"/>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14:ligatures w14:val="none"/>
    </w:rPr>
  </w:style>
  <w:style w:type="numbering" w:customStyle="1" w:styleId="Stilius1">
    <w:name w:val="Stilius1"/>
    <w:uiPriority w:val="99"/>
    <w:rsid w:val="0065657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19898</Words>
  <Characters>11342</Characters>
  <Application>Microsoft Office Word</Application>
  <DocSecurity>0</DocSecurity>
  <Lines>94</Lines>
  <Paragraphs>62</Paragraphs>
  <ScaleCrop>false</ScaleCrop>
  <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Montvilė</dc:creator>
  <cp:keywords/>
  <dc:description/>
  <cp:lastModifiedBy>Jolanta Gurbanovič</cp:lastModifiedBy>
  <cp:revision>3</cp:revision>
  <dcterms:created xsi:type="dcterms:W3CDTF">2025-05-14T12:45:00Z</dcterms:created>
  <dcterms:modified xsi:type="dcterms:W3CDTF">2025-05-15T08:24:00Z</dcterms:modified>
</cp:coreProperties>
</file>