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C264D" w14:textId="77777777" w:rsidR="004C5249" w:rsidRPr="004C5249" w:rsidRDefault="004C5249" w:rsidP="004C5249">
      <w:pPr>
        <w:spacing w:after="0" w:line="240" w:lineRule="auto"/>
        <w:jc w:val="right"/>
        <w:rPr>
          <w:rFonts w:ascii="Times New Roman" w:eastAsia="Times New Roman" w:hAnsi="Times New Roman" w:cs="Times New Roman"/>
          <w:sz w:val="24"/>
          <w:szCs w:val="24"/>
          <w:lang w:eastAsia="lt-LT"/>
        </w:rPr>
      </w:pPr>
      <w:r w:rsidRPr="004C5249">
        <w:rPr>
          <w:rFonts w:ascii="Times New Roman" w:eastAsia="Times New Roman" w:hAnsi="Times New Roman" w:cs="Times New Roman"/>
          <w:sz w:val="24"/>
          <w:szCs w:val="24"/>
          <w:lang w:eastAsia="lt-LT"/>
        </w:rPr>
        <w:t>Priedas Nr. 2 Techninė specifikacija</w:t>
      </w:r>
    </w:p>
    <w:p w14:paraId="58F61A5C" w14:textId="77777777" w:rsidR="004C5249" w:rsidRPr="004C5249" w:rsidRDefault="004C5249" w:rsidP="004C5249">
      <w:pPr>
        <w:spacing w:after="0" w:line="240" w:lineRule="auto"/>
        <w:rPr>
          <w:rFonts w:ascii="Times New Roman" w:eastAsia="Times New Roman" w:hAnsi="Times New Roman" w:cs="Times New Roman"/>
          <w:sz w:val="24"/>
          <w:szCs w:val="24"/>
          <w:lang w:eastAsia="lt-LT"/>
        </w:rPr>
      </w:pPr>
    </w:p>
    <w:p w14:paraId="745E12B6" w14:textId="77777777" w:rsidR="004C5249" w:rsidRPr="004C5249" w:rsidRDefault="004C5249" w:rsidP="004C5249">
      <w:pPr>
        <w:spacing w:after="0" w:line="240" w:lineRule="auto"/>
        <w:jc w:val="center"/>
        <w:rPr>
          <w:rFonts w:ascii="Times New Roman" w:eastAsia="Times New Roman" w:hAnsi="Times New Roman" w:cs="Times New Roman"/>
          <w:b/>
          <w:bCs/>
          <w:sz w:val="24"/>
          <w:szCs w:val="24"/>
          <w:lang w:eastAsia="lt-LT"/>
        </w:rPr>
      </w:pPr>
      <w:r w:rsidRPr="004C5249">
        <w:rPr>
          <w:rFonts w:ascii="Times New Roman" w:eastAsia="Times New Roman" w:hAnsi="Times New Roman" w:cs="Times New Roman"/>
          <w:b/>
          <w:bCs/>
          <w:sz w:val="24"/>
          <w:szCs w:val="24"/>
          <w:lang w:eastAsia="lt-LT"/>
        </w:rPr>
        <w:t>MOKĖJIMO PRANEŠIMŲ SPAUSDINIMO, VOKAVIMO IR IŠNEŠIOJIMO  PASLAUGŲ PIRKIMAS</w:t>
      </w:r>
    </w:p>
    <w:p w14:paraId="5800C168" w14:textId="77777777" w:rsidR="004C5249" w:rsidRPr="004C5249" w:rsidRDefault="004C5249" w:rsidP="004C5249">
      <w:pPr>
        <w:spacing w:after="0" w:line="240" w:lineRule="auto"/>
        <w:jc w:val="center"/>
        <w:rPr>
          <w:rFonts w:ascii="Times New Roman" w:eastAsia="Times New Roman" w:hAnsi="Times New Roman" w:cs="Times New Roman"/>
          <w:sz w:val="24"/>
          <w:szCs w:val="24"/>
          <w:lang w:eastAsia="lt-LT"/>
        </w:rPr>
      </w:pPr>
    </w:p>
    <w:p w14:paraId="3008A533" w14:textId="77777777" w:rsidR="004C5249" w:rsidRPr="004C5249" w:rsidRDefault="004C5249" w:rsidP="004C5249">
      <w:pPr>
        <w:spacing w:after="0" w:line="240" w:lineRule="auto"/>
        <w:rPr>
          <w:rFonts w:ascii="Times New Roman" w:eastAsia="Times New Roman" w:hAnsi="Times New Roman" w:cs="Times New Roman"/>
          <w:sz w:val="24"/>
          <w:szCs w:val="24"/>
          <w:lang w:eastAsia="lt-LT"/>
        </w:rPr>
      </w:pPr>
    </w:p>
    <w:p w14:paraId="56B65703" w14:textId="5BC96C33" w:rsidR="004C5249" w:rsidRDefault="004C5249" w:rsidP="004B5B9D">
      <w:pPr>
        <w:spacing w:after="0" w:line="240" w:lineRule="auto"/>
        <w:ind w:firstLine="720"/>
        <w:jc w:val="both"/>
        <w:rPr>
          <w:rFonts w:ascii="Times New Roman" w:eastAsia="Times New Roman" w:hAnsi="Times New Roman" w:cs="Times New Roman"/>
          <w:bCs/>
          <w:lang w:eastAsia="lt-LT"/>
        </w:rPr>
      </w:pPr>
      <w:r w:rsidRPr="004C5249">
        <w:rPr>
          <w:rFonts w:ascii="Times New Roman" w:eastAsia="Times New Roman" w:hAnsi="Times New Roman" w:cs="Times New Roman"/>
          <w:sz w:val="24"/>
          <w:szCs w:val="24"/>
          <w:lang w:eastAsia="lt-LT"/>
        </w:rPr>
        <w:t xml:space="preserve">1. Pirkimo objektas –  </w:t>
      </w:r>
      <w:r w:rsidRPr="004C5249">
        <w:rPr>
          <w:rFonts w:ascii="Times New Roman" w:eastAsia="Times New Roman" w:hAnsi="Times New Roman" w:cs="Times New Roman"/>
          <w:bCs/>
          <w:lang w:eastAsia="lt-LT"/>
        </w:rPr>
        <w:t>vietinės rinkliavos už komunalinių atliekų tvarkymą Tauragės regiono teritorijoje mokėjimo pranešimų, fizinių ir juridinių asmenų įspėjimų spausdinimas, vokavimas ir išnešiojimas. Pirkimas į dalis neskaidomas. Paslaugų teikimo terminai: sutartis s</w:t>
      </w:r>
      <w:r w:rsidR="00AB56BD">
        <w:rPr>
          <w:rFonts w:ascii="Times New Roman" w:eastAsia="Times New Roman" w:hAnsi="Times New Roman" w:cs="Times New Roman"/>
          <w:bCs/>
          <w:lang w:eastAsia="lt-LT"/>
        </w:rPr>
        <w:t>udaroma 12 mėnesių laikotarpiui</w:t>
      </w:r>
      <w:r w:rsidR="00E86008">
        <w:rPr>
          <w:rFonts w:ascii="Times New Roman" w:eastAsia="Times New Roman" w:hAnsi="Times New Roman" w:cs="Times New Roman"/>
          <w:bCs/>
          <w:lang w:eastAsia="lt-LT"/>
        </w:rPr>
        <w:t xml:space="preserve"> su galimybe sutartį </w:t>
      </w:r>
      <w:r w:rsidR="00AC51DF">
        <w:rPr>
          <w:rFonts w:ascii="Times New Roman" w:eastAsia="Times New Roman" w:hAnsi="Times New Roman" w:cs="Times New Roman"/>
          <w:bCs/>
          <w:lang w:eastAsia="lt-LT"/>
        </w:rPr>
        <w:t>pratęsti 12 mėnesių laikotarpiui.</w:t>
      </w:r>
    </w:p>
    <w:p w14:paraId="2C3504DA" w14:textId="5D24013C" w:rsidR="00B825FE" w:rsidRPr="00B825FE" w:rsidRDefault="00B825FE" w:rsidP="004B5B9D">
      <w:pPr>
        <w:spacing w:after="0" w:line="240" w:lineRule="auto"/>
        <w:ind w:firstLine="720"/>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2</w:t>
      </w:r>
      <w:r w:rsidRPr="00B825FE">
        <w:rPr>
          <w:rFonts w:ascii="Times New Roman" w:eastAsia="Times New Roman" w:hAnsi="Times New Roman" w:cs="Times New Roman"/>
          <w:bCs/>
          <w:lang w:eastAsia="lt-LT"/>
        </w:rPr>
        <w:t>. Šalys susitaria, kad sudarant Sutartį siekiama įsigyti Paslaugas, kurias teikiant būtų daromas kuo mažesnis poveikis aplinkai, kaip tai numatyta 2011 m. birželio 28 d. Lietuvos Respublikos aplinkos ministro įsakymu Nr. D1-508 patvirtiname Aplinkos apsaugos kriterijų, kuriuos perkančiosios organizacijos turi taikyti pirkdamos prekes, paslaugas ar darbus, taikymo tvarkos apraše (toliau – Aplinkos apsaugos kriterijų tvarkos aprašas).</w:t>
      </w:r>
    </w:p>
    <w:p w14:paraId="0907F537" w14:textId="77777777" w:rsidR="00B825FE" w:rsidRPr="004C5249" w:rsidRDefault="00B825FE" w:rsidP="004B5B9D">
      <w:pPr>
        <w:spacing w:after="0" w:line="240" w:lineRule="auto"/>
        <w:ind w:firstLine="720"/>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3</w:t>
      </w:r>
      <w:r w:rsidRPr="00B825FE">
        <w:rPr>
          <w:rFonts w:ascii="Times New Roman" w:eastAsia="Times New Roman" w:hAnsi="Times New Roman" w:cs="Times New Roman"/>
          <w:bCs/>
          <w:lang w:eastAsia="lt-LT"/>
        </w:rPr>
        <w:t>. Šalys susitaria, kad a</w:t>
      </w:r>
      <w:r>
        <w:rPr>
          <w:rFonts w:ascii="Times New Roman" w:eastAsia="Times New Roman" w:hAnsi="Times New Roman" w:cs="Times New Roman"/>
          <w:bCs/>
          <w:lang w:eastAsia="lt-LT"/>
        </w:rPr>
        <w:t>tsižvelgiant į šios sutarties 2</w:t>
      </w:r>
      <w:r w:rsidRPr="00B825FE">
        <w:rPr>
          <w:rFonts w:ascii="Times New Roman" w:eastAsia="Times New Roman" w:hAnsi="Times New Roman" w:cs="Times New Roman"/>
          <w:bCs/>
          <w:lang w:eastAsia="lt-LT"/>
        </w:rPr>
        <w:t xml:space="preserve"> p., vykdant sutartį visi dokumentai bus sudaromi, teikiami ir (arba) pasirašomi tik elektroniniu būdu, dėl ko būtų sunaudojama mažiau gamtos išteklių. Nesant galimybės sudaryti, teikti ir (arba) pasirašyti dokumentų elektroniniu būdu, jie bus teikiami naudojant popierių, kurio sudėtyje yra pakartotinai panaudotų ir (arba) perdirbtų medžiagų, taip užtikrinant Aplinkos apsaugos kriterijų taikymo tvarkos aprašo 4.4.4.1 p. nustatyto aplinkosauginio principo įgyvendinimą.</w:t>
      </w:r>
    </w:p>
    <w:p w14:paraId="1157068A" w14:textId="77777777" w:rsidR="004C5249" w:rsidRPr="004C5249" w:rsidRDefault="004C5249" w:rsidP="004B5B9D">
      <w:pPr>
        <w:spacing w:after="0" w:line="240" w:lineRule="auto"/>
        <w:ind w:firstLine="720"/>
        <w:jc w:val="both"/>
        <w:rPr>
          <w:rFonts w:ascii="Times New Roman" w:eastAsia="Times New Roman" w:hAnsi="Times New Roman" w:cs="Times New Roman"/>
          <w:sz w:val="24"/>
          <w:szCs w:val="24"/>
          <w:lang w:eastAsia="lt-LT"/>
        </w:rPr>
      </w:pPr>
      <w:r w:rsidRPr="004C5249">
        <w:rPr>
          <w:rFonts w:ascii="Times New Roman" w:eastAsia="Times New Roman" w:hAnsi="Times New Roman" w:cs="Times New Roman"/>
          <w:b/>
          <w:bCs/>
          <w:sz w:val="24"/>
          <w:szCs w:val="24"/>
          <w:lang w:eastAsia="lt-LT"/>
        </w:rPr>
        <w:t>2. Reikalavimai mokėjimo pranešimų spausdinimui, vokavimui ir išnešiojimui:</w:t>
      </w:r>
    </w:p>
    <w:p w14:paraId="52A2A184" w14:textId="77777777" w:rsidR="004C5249" w:rsidRPr="004C5249" w:rsidRDefault="004C5249" w:rsidP="004B5B9D">
      <w:pPr>
        <w:spacing w:after="0" w:line="240" w:lineRule="auto"/>
        <w:ind w:firstLine="720"/>
        <w:jc w:val="both"/>
        <w:rPr>
          <w:rFonts w:ascii="Times New Roman" w:eastAsia="Calibri" w:hAnsi="Times New Roman" w:cs="Times New Roman"/>
          <w:sz w:val="24"/>
          <w:szCs w:val="24"/>
        </w:rPr>
      </w:pPr>
      <w:r w:rsidRPr="004C5249">
        <w:rPr>
          <w:rFonts w:ascii="Times New Roman" w:eastAsia="Calibri" w:hAnsi="Times New Roman" w:cs="Times New Roman"/>
          <w:sz w:val="24"/>
          <w:szCs w:val="24"/>
        </w:rPr>
        <w:t>2.1 Perkančioji organizacija užsakymą ir duomenis užsakymo įvykdymui gali pateikti vieną ar kelis kartus per mėnesį.</w:t>
      </w:r>
    </w:p>
    <w:p w14:paraId="441B266F" w14:textId="77777777" w:rsidR="004C5249" w:rsidRPr="004C5249" w:rsidRDefault="004C5249" w:rsidP="004B5B9D">
      <w:pPr>
        <w:spacing w:after="0" w:line="240" w:lineRule="auto"/>
        <w:ind w:firstLine="720"/>
        <w:jc w:val="both"/>
        <w:rPr>
          <w:rFonts w:ascii="Times New Roman" w:eastAsia="Calibri" w:hAnsi="Times New Roman" w:cs="Times New Roman"/>
          <w:sz w:val="24"/>
          <w:szCs w:val="24"/>
        </w:rPr>
      </w:pPr>
      <w:r w:rsidRPr="004C5249">
        <w:rPr>
          <w:rFonts w:ascii="Times New Roman" w:eastAsia="Calibri" w:hAnsi="Times New Roman" w:cs="Times New Roman"/>
          <w:sz w:val="24"/>
          <w:szCs w:val="24"/>
        </w:rPr>
        <w:t xml:space="preserve">2.2 Duomenys mokėjimo pranešimų spausdinimui pateikiami elektroniniu būdu, „.txt“, „.pdf“  ar kitu Paslaugų gavėjui priimtinu formatu. Paslaugų teikėjas privalo prisiderinti prie Paslaugų gavėjo pateikto mokėjimų pranešimų formato be papildomų mokesčių. Paslaugų teikėjas turi sugebėti nedelsiant, ne vėliau kaip per 3 darbo dienas, atlikti pakeitimus ir pataisymus pagal Paslaugų gavėjo pateiktas pastabas ir pavyzdžius. Mokėjimo pranešimų forma ir joje vaizduojami duomenys sutarties laikotarpiu gali keistis, nekeičiant paslaugų kainos. </w:t>
      </w:r>
    </w:p>
    <w:p w14:paraId="609E563A" w14:textId="77777777" w:rsidR="004C5249" w:rsidRPr="004C5249" w:rsidRDefault="004C5249" w:rsidP="004B5B9D">
      <w:pPr>
        <w:spacing w:after="0" w:line="240" w:lineRule="auto"/>
        <w:ind w:firstLine="720"/>
        <w:jc w:val="both"/>
        <w:rPr>
          <w:rFonts w:ascii="Times New Roman" w:eastAsia="Calibri" w:hAnsi="Times New Roman" w:cs="Times New Roman"/>
          <w:sz w:val="24"/>
          <w:szCs w:val="24"/>
        </w:rPr>
      </w:pPr>
      <w:r w:rsidRPr="004C5249">
        <w:rPr>
          <w:rFonts w:ascii="Times New Roman" w:eastAsia="Calibri" w:hAnsi="Times New Roman" w:cs="Times New Roman"/>
          <w:sz w:val="24"/>
          <w:szCs w:val="24"/>
        </w:rPr>
        <w:t xml:space="preserve"> 2.3. Paslaugų tiekėjas garantuoja, kad turi technines galimybes ir atitinkamą įrangą automatizuotu būdu teikti šias paslaugas:</w:t>
      </w:r>
    </w:p>
    <w:p w14:paraId="355ECA1C" w14:textId="77777777" w:rsidR="004C5249" w:rsidRPr="004C5249" w:rsidRDefault="004C5249" w:rsidP="004B5B9D">
      <w:pPr>
        <w:spacing w:after="0" w:line="240" w:lineRule="auto"/>
        <w:ind w:firstLine="720"/>
        <w:jc w:val="both"/>
        <w:rPr>
          <w:rFonts w:ascii="Times New Roman" w:eastAsia="Calibri" w:hAnsi="Times New Roman" w:cs="Times New Roman"/>
          <w:sz w:val="24"/>
          <w:szCs w:val="24"/>
        </w:rPr>
      </w:pPr>
      <w:r w:rsidRPr="004C5249">
        <w:rPr>
          <w:rFonts w:ascii="Times New Roman" w:eastAsia="Calibri" w:hAnsi="Times New Roman" w:cs="Times New Roman"/>
          <w:sz w:val="24"/>
          <w:szCs w:val="24"/>
        </w:rPr>
        <w:t xml:space="preserve">2.4 Mokėjimo pranešimus spausdina vienpusiu ir dvipusiu </w:t>
      </w:r>
      <w:bookmarkStart w:id="0" w:name="OLE_LINK2"/>
      <w:bookmarkStart w:id="1" w:name="OLE_LINK1"/>
      <w:r w:rsidRPr="004C5249">
        <w:rPr>
          <w:rFonts w:ascii="Times New Roman" w:eastAsia="Calibri" w:hAnsi="Times New Roman" w:cs="Times New Roman"/>
          <w:sz w:val="24"/>
          <w:szCs w:val="24"/>
        </w:rPr>
        <w:t>(pagal pirkėjo reikalavimą)</w:t>
      </w:r>
      <w:bookmarkEnd w:id="0"/>
      <w:bookmarkEnd w:id="1"/>
      <w:r w:rsidRPr="004C5249">
        <w:rPr>
          <w:rFonts w:ascii="Times New Roman" w:eastAsia="Calibri" w:hAnsi="Times New Roman" w:cs="Times New Roman"/>
          <w:sz w:val="24"/>
          <w:szCs w:val="24"/>
        </w:rPr>
        <w:t xml:space="preserve"> spausdinimu juoda spalva ant A4 formato perdirbto popieriaus lakštų.</w:t>
      </w:r>
    </w:p>
    <w:p w14:paraId="107C6240" w14:textId="77777777" w:rsidR="004C5249" w:rsidRPr="004C5249" w:rsidRDefault="004C5249" w:rsidP="004B5B9D">
      <w:pPr>
        <w:spacing w:after="0" w:line="240" w:lineRule="auto"/>
        <w:ind w:firstLine="720"/>
        <w:jc w:val="both"/>
        <w:rPr>
          <w:rFonts w:ascii="Times New Roman" w:eastAsia="Calibri" w:hAnsi="Times New Roman" w:cs="Times New Roman"/>
          <w:sz w:val="24"/>
          <w:szCs w:val="24"/>
        </w:rPr>
      </w:pPr>
      <w:r w:rsidRPr="004C5249">
        <w:rPr>
          <w:rFonts w:ascii="Times New Roman" w:eastAsia="Calibri" w:hAnsi="Times New Roman" w:cs="Times New Roman"/>
          <w:sz w:val="24"/>
          <w:szCs w:val="24"/>
        </w:rPr>
        <w:t>2.5 Kintamą informaciją vienpusiu spausdinimu</w:t>
      </w:r>
      <w:r w:rsidR="004D27B0">
        <w:rPr>
          <w:rFonts w:ascii="Times New Roman" w:eastAsia="Calibri" w:hAnsi="Times New Roman" w:cs="Times New Roman"/>
          <w:sz w:val="24"/>
          <w:szCs w:val="24"/>
        </w:rPr>
        <w:t xml:space="preserve"> juoda spalva</w:t>
      </w:r>
      <w:r w:rsidRPr="004C5249">
        <w:rPr>
          <w:rFonts w:ascii="Times New Roman" w:eastAsia="Calibri" w:hAnsi="Times New Roman" w:cs="Times New Roman"/>
          <w:sz w:val="24"/>
          <w:szCs w:val="24"/>
        </w:rPr>
        <w:t xml:space="preserve"> ant A4 formato balto (perdirbto) popieriaus lakštų.</w:t>
      </w:r>
    </w:p>
    <w:p w14:paraId="0ED1EF12" w14:textId="77777777" w:rsidR="004C5249" w:rsidRPr="004C5249" w:rsidRDefault="004C5249" w:rsidP="004B5B9D">
      <w:pPr>
        <w:spacing w:after="0" w:line="240" w:lineRule="auto"/>
        <w:ind w:firstLine="720"/>
        <w:jc w:val="both"/>
        <w:rPr>
          <w:rFonts w:ascii="Times New Roman" w:eastAsia="Calibri" w:hAnsi="Times New Roman" w:cs="Times New Roman"/>
          <w:sz w:val="24"/>
          <w:szCs w:val="24"/>
        </w:rPr>
      </w:pPr>
      <w:r w:rsidRPr="004C5249">
        <w:rPr>
          <w:rFonts w:ascii="Times New Roman" w:eastAsia="Calibri" w:hAnsi="Times New Roman" w:cs="Times New Roman"/>
          <w:sz w:val="24"/>
          <w:szCs w:val="24"/>
        </w:rPr>
        <w:t>2.6. Atspausdintus Mokėjimo pranešimus automatizuotu būdu suvokuoja (pagal pirkėjo reikalavimą) į C5 formato vokus su langeliu, atlikdamas automatinę dinaminę dokumentų sekos ir eiliškumo kontrolę.</w:t>
      </w:r>
    </w:p>
    <w:p w14:paraId="26CD3366" w14:textId="07E1FA0B" w:rsidR="004C5249" w:rsidRPr="004C5249" w:rsidRDefault="004C5249" w:rsidP="004B5B9D">
      <w:pPr>
        <w:spacing w:after="0" w:line="240" w:lineRule="auto"/>
        <w:ind w:firstLine="720"/>
        <w:jc w:val="both"/>
        <w:rPr>
          <w:rFonts w:ascii="Times New Roman" w:eastAsia="Calibri" w:hAnsi="Times New Roman" w:cs="Times New Roman"/>
          <w:sz w:val="24"/>
          <w:szCs w:val="24"/>
        </w:rPr>
      </w:pPr>
      <w:r w:rsidRPr="004C5249">
        <w:rPr>
          <w:rFonts w:ascii="Times New Roman" w:eastAsia="Calibri" w:hAnsi="Times New Roman" w:cs="Times New Roman"/>
          <w:sz w:val="24"/>
          <w:szCs w:val="24"/>
        </w:rPr>
        <w:t>2.7. Mokėjimo pranešimus spausdinami ant A4 formato 80g/m2 pjaustytų perdirbto popieriaus lakštų.</w:t>
      </w:r>
    </w:p>
    <w:p w14:paraId="293989D3" w14:textId="77777777" w:rsidR="004C5249" w:rsidRPr="00AB56BD" w:rsidRDefault="004C5249" w:rsidP="004B5B9D">
      <w:pPr>
        <w:spacing w:after="0" w:line="240" w:lineRule="auto"/>
        <w:ind w:firstLine="720"/>
        <w:jc w:val="both"/>
        <w:rPr>
          <w:rFonts w:ascii="Times New Roman" w:eastAsia="Calibri" w:hAnsi="Times New Roman" w:cs="Times New Roman"/>
          <w:sz w:val="24"/>
          <w:szCs w:val="24"/>
        </w:rPr>
      </w:pPr>
      <w:r w:rsidRPr="004C5249">
        <w:rPr>
          <w:rFonts w:ascii="Times New Roman" w:eastAsia="Calibri" w:hAnsi="Times New Roman" w:cs="Times New Roman"/>
          <w:sz w:val="24"/>
          <w:szCs w:val="24"/>
        </w:rPr>
        <w:t xml:space="preserve">2.8. Atspausdintas Mokėjimo pranešimas, jeigu jis yra siunčiamas be voko, turi būti lenkiamas į dvi dalis, neuždengiant jo viršuje esančios informacijos su gavėjo duomenimis. Perlenkto  dokumento </w:t>
      </w:r>
      <w:r w:rsidRPr="00AB56BD">
        <w:rPr>
          <w:rFonts w:ascii="Times New Roman" w:eastAsia="Calibri" w:hAnsi="Times New Roman" w:cs="Times New Roman"/>
          <w:sz w:val="24"/>
          <w:szCs w:val="24"/>
        </w:rPr>
        <w:t>kraštai turi būti suklijuoti.</w:t>
      </w:r>
    </w:p>
    <w:p w14:paraId="1F693F38" w14:textId="77777777" w:rsidR="004C5249" w:rsidRPr="00AB56BD" w:rsidRDefault="004C5249" w:rsidP="004B5B9D">
      <w:pPr>
        <w:pStyle w:val="Betarp"/>
        <w:ind w:firstLine="720"/>
        <w:jc w:val="both"/>
        <w:rPr>
          <w:rFonts w:ascii="Times New Roman" w:hAnsi="Times New Roman" w:cs="Times New Roman"/>
          <w:sz w:val="24"/>
          <w:szCs w:val="24"/>
        </w:rPr>
      </w:pPr>
      <w:r w:rsidRPr="00AB56BD">
        <w:rPr>
          <w:rFonts w:ascii="Times New Roman" w:hAnsi="Times New Roman" w:cs="Times New Roman"/>
          <w:sz w:val="24"/>
          <w:szCs w:val="24"/>
        </w:rPr>
        <w:t>2.9. Paslauga (spausdinimo, vokavimo ir išnešiojimo) turi būti atlikta per 7 darbo dienas nuo perkančiosios organizacijos spausdinimo failų išsiuntimo tiekėjui.</w:t>
      </w:r>
    </w:p>
    <w:p w14:paraId="23AAF979" w14:textId="77777777" w:rsidR="00AB56BD" w:rsidRDefault="004C5249" w:rsidP="004B5B9D">
      <w:pPr>
        <w:pStyle w:val="Betarp"/>
        <w:ind w:firstLine="720"/>
        <w:jc w:val="both"/>
        <w:rPr>
          <w:rFonts w:ascii="Times New Roman" w:eastAsia="Times New Roman" w:hAnsi="Times New Roman" w:cs="Times New Roman"/>
          <w:sz w:val="24"/>
          <w:szCs w:val="24"/>
          <w:lang w:eastAsia="lt-LT"/>
        </w:rPr>
      </w:pPr>
      <w:r w:rsidRPr="00AB56BD">
        <w:rPr>
          <w:rFonts w:ascii="Times New Roman" w:eastAsia="Times New Roman" w:hAnsi="Times New Roman" w:cs="Times New Roman"/>
          <w:sz w:val="24"/>
          <w:szCs w:val="24"/>
          <w:lang w:eastAsia="lt-LT"/>
        </w:rPr>
        <w:t xml:space="preserve">2.10. </w:t>
      </w:r>
      <w:r w:rsidRPr="00831DA8">
        <w:rPr>
          <w:rFonts w:ascii="Times New Roman" w:eastAsia="Times New Roman" w:hAnsi="Times New Roman" w:cs="Times New Roman"/>
          <w:sz w:val="24"/>
          <w:szCs w:val="24"/>
          <w:lang w:eastAsia="lt-LT"/>
        </w:rPr>
        <w:t>Pateikti Perkančiajai organizacijai nepristatytų mokėjimo pranešimų ataskaitą elektronine forma ir saugiai sunaikinti nepristatytus mokėjimo pranešimus".</w:t>
      </w:r>
    </w:p>
    <w:p w14:paraId="782B44C8" w14:textId="6DE99F1B" w:rsidR="00006615" w:rsidRDefault="00E13DB0" w:rsidP="00282976">
      <w:pPr>
        <w:spacing w:after="0" w:line="276" w:lineRule="auto"/>
        <w:ind w:firstLine="709"/>
        <w:jc w:val="both"/>
        <w:rPr>
          <w:rFonts w:ascii="Times New Roman" w:eastAsia="Calibri" w:hAnsi="Times New Roman" w:cs="Times New Roman"/>
          <w:i/>
          <w:sz w:val="24"/>
          <w:szCs w:val="24"/>
        </w:rPr>
      </w:pPr>
      <w:r>
        <w:rPr>
          <w:rFonts w:ascii="Times New Roman" w:eastAsia="Times New Roman" w:hAnsi="Times New Roman" w:cs="Times New Roman"/>
          <w:sz w:val="24"/>
          <w:szCs w:val="24"/>
          <w:lang w:eastAsia="lt-LT"/>
        </w:rPr>
        <w:t xml:space="preserve">2.11. </w:t>
      </w:r>
      <w:r w:rsidR="00006615" w:rsidRPr="00006615">
        <w:rPr>
          <w:rFonts w:ascii="Times New Roman" w:eastAsia="Calibri" w:hAnsi="Times New Roman" w:cs="Times New Roman"/>
          <w:sz w:val="24"/>
          <w:szCs w:val="24"/>
        </w:rPr>
        <w:t>Ant siunčiamų mokėjimo pranešimų prie gavėjo adreso turi būti išspausdintas ir gerai matomas pro langelį brūkšninis kodas, jei dokumentai būtų siunčiami voke su langeliu ir tai numato tiekėjo reikalavimai</w:t>
      </w:r>
      <w:r w:rsidR="00006615">
        <w:rPr>
          <w:rFonts w:ascii="Times New Roman" w:eastAsia="Calibri" w:hAnsi="Times New Roman" w:cs="Times New Roman"/>
          <w:i/>
          <w:iCs/>
          <w:sz w:val="24"/>
          <w:szCs w:val="24"/>
        </w:rPr>
        <w:t>.</w:t>
      </w:r>
    </w:p>
    <w:p w14:paraId="4E4AD311" w14:textId="2EFA93FC" w:rsidR="00E13DB0" w:rsidRPr="00831DA8" w:rsidRDefault="00E13DB0" w:rsidP="004B5B9D">
      <w:pPr>
        <w:pStyle w:val="Betarp"/>
        <w:ind w:firstLine="720"/>
        <w:jc w:val="both"/>
        <w:rPr>
          <w:rFonts w:ascii="Times New Roman" w:eastAsia="Times New Roman" w:hAnsi="Times New Roman" w:cs="Times New Roman"/>
          <w:sz w:val="24"/>
          <w:szCs w:val="24"/>
          <w:lang w:eastAsia="lt-LT"/>
        </w:rPr>
      </w:pPr>
    </w:p>
    <w:p w14:paraId="71315E49" w14:textId="77777777" w:rsidR="004C5249" w:rsidRPr="00831DA8" w:rsidRDefault="004C5249" w:rsidP="004B5B9D">
      <w:pPr>
        <w:pStyle w:val="Betarp"/>
        <w:ind w:firstLine="720"/>
        <w:jc w:val="both"/>
        <w:rPr>
          <w:rFonts w:ascii="Times New Roman" w:eastAsia="Times New Roman" w:hAnsi="Times New Roman" w:cs="Times New Roman"/>
          <w:b/>
          <w:sz w:val="24"/>
          <w:szCs w:val="24"/>
          <w:lang w:eastAsia="lt-LT"/>
        </w:rPr>
      </w:pPr>
      <w:r w:rsidRPr="00AB56BD">
        <w:rPr>
          <w:rFonts w:ascii="Times New Roman" w:eastAsia="Times New Roman" w:hAnsi="Times New Roman" w:cs="Times New Roman"/>
          <w:b/>
          <w:sz w:val="24"/>
          <w:szCs w:val="24"/>
          <w:lang w:eastAsia="lt-LT"/>
        </w:rPr>
        <w:t>3. Papildomi reikalavimai tiekėjui:</w:t>
      </w:r>
    </w:p>
    <w:p w14:paraId="0DFB13BA" w14:textId="77777777" w:rsidR="004C5249" w:rsidRPr="00AB56BD" w:rsidRDefault="004C5249" w:rsidP="004B5B9D">
      <w:pPr>
        <w:pStyle w:val="Betarp"/>
        <w:ind w:firstLine="720"/>
        <w:jc w:val="both"/>
        <w:rPr>
          <w:rFonts w:ascii="Times New Roman" w:eastAsia="Times New Roman" w:hAnsi="Times New Roman" w:cs="Times New Roman"/>
          <w:sz w:val="24"/>
          <w:szCs w:val="24"/>
          <w:lang w:eastAsia="lt-LT"/>
        </w:rPr>
      </w:pPr>
      <w:r w:rsidRPr="00AB56BD">
        <w:rPr>
          <w:rFonts w:ascii="Times New Roman" w:eastAsia="Times New Roman" w:hAnsi="Times New Roman" w:cs="Times New Roman"/>
          <w:sz w:val="24"/>
          <w:szCs w:val="24"/>
          <w:lang w:eastAsia="lt-LT"/>
        </w:rPr>
        <w:lastRenderedPageBreak/>
        <w:t>3.1. Informuoti Perkančiąją organizaciją raštu apie nustatytų su pašto siuntomis pateikiamų dokumentų formų pasikeitimą ne vėliau kaip prieš 14 (keturiolika) kalendorinių dienų.</w:t>
      </w:r>
    </w:p>
    <w:p w14:paraId="74308E20" w14:textId="77777777" w:rsidR="004C5249" w:rsidRPr="00AB56BD" w:rsidRDefault="004C5249" w:rsidP="004B5B9D">
      <w:pPr>
        <w:spacing w:after="0" w:line="240" w:lineRule="auto"/>
        <w:ind w:firstLine="720"/>
        <w:jc w:val="both"/>
        <w:rPr>
          <w:rFonts w:ascii="Times New Roman" w:eastAsia="Times New Roman" w:hAnsi="Times New Roman" w:cs="Times New Roman"/>
          <w:sz w:val="24"/>
          <w:szCs w:val="24"/>
          <w:lang w:eastAsia="lt-LT"/>
        </w:rPr>
      </w:pPr>
      <w:r w:rsidRPr="00AB56BD">
        <w:rPr>
          <w:rFonts w:ascii="Times New Roman" w:eastAsia="Times New Roman" w:hAnsi="Times New Roman" w:cs="Times New Roman"/>
          <w:sz w:val="24"/>
          <w:szCs w:val="24"/>
          <w:lang w:eastAsia="lt-LT"/>
        </w:rPr>
        <w:t>3.2. Skirti teikėjo atstovą ryšiams palaikyti. Informuoti Perkančiąją organizaciją raštu apie sutartyje nurodytų teikėjo rekvizitų ir atstovo ryšiams palaikyti bei jo kontaktinių duomenų pakeitimus ne vėliau kaip per 7 (septynias) kalendorines dienas nuo jų pasikeitimo dienos.</w:t>
      </w:r>
    </w:p>
    <w:p w14:paraId="05C94D60" w14:textId="77777777" w:rsidR="004C5249" w:rsidRPr="00AB56BD" w:rsidRDefault="004C5249" w:rsidP="004B5B9D">
      <w:pPr>
        <w:spacing w:after="0" w:line="240" w:lineRule="auto"/>
        <w:ind w:firstLine="720"/>
        <w:jc w:val="both"/>
        <w:rPr>
          <w:rFonts w:ascii="Times New Roman" w:eastAsia="Times New Roman" w:hAnsi="Times New Roman" w:cs="Times New Roman"/>
          <w:sz w:val="24"/>
          <w:szCs w:val="24"/>
          <w:lang w:eastAsia="lt-LT"/>
        </w:rPr>
      </w:pPr>
      <w:r w:rsidRPr="00AB56BD">
        <w:rPr>
          <w:rFonts w:ascii="Times New Roman" w:eastAsia="Times New Roman" w:hAnsi="Times New Roman" w:cs="Times New Roman"/>
          <w:sz w:val="24"/>
          <w:szCs w:val="24"/>
          <w:lang w:eastAsia="lt-LT"/>
        </w:rPr>
        <w:t>3.3. Perkančiajai organizacijai paprašius, teikti sutarties vykdymui reikalingą informaciją.</w:t>
      </w:r>
    </w:p>
    <w:p w14:paraId="16AA1725" w14:textId="77777777" w:rsidR="004C5249" w:rsidRPr="00AB56BD" w:rsidRDefault="004C5249" w:rsidP="004B5B9D">
      <w:pPr>
        <w:spacing w:after="0" w:line="240" w:lineRule="auto"/>
        <w:ind w:firstLine="720"/>
        <w:jc w:val="both"/>
        <w:rPr>
          <w:rFonts w:ascii="Times New Roman" w:eastAsia="Times New Roman" w:hAnsi="Times New Roman" w:cs="Times New Roman"/>
          <w:sz w:val="24"/>
          <w:szCs w:val="24"/>
          <w:lang w:eastAsia="lt-LT"/>
        </w:rPr>
      </w:pPr>
      <w:r w:rsidRPr="00AB56BD">
        <w:rPr>
          <w:rFonts w:ascii="Times New Roman" w:eastAsia="Times New Roman" w:hAnsi="Times New Roman" w:cs="Times New Roman"/>
          <w:sz w:val="24"/>
          <w:szCs w:val="24"/>
          <w:lang w:eastAsia="lt-LT"/>
        </w:rPr>
        <w:t xml:space="preserve"> 3.4. Paslaugų teikėjas teikdamas paslaugas, tą pačią dieną elektroniniu paštu arba telefonu   (nurodytu sutartyje) informuoja Paslaugų gavėją apie užsakymo vykdymą: atspausdinęs, suvokavęs ir paruošęs išnešiojimui mokėjimo pranešimus ar įspėjimus.</w:t>
      </w:r>
    </w:p>
    <w:p w14:paraId="1646B3EC" w14:textId="77777777" w:rsidR="004C5249" w:rsidRPr="00AB56BD" w:rsidRDefault="004C5249" w:rsidP="004B5B9D">
      <w:pPr>
        <w:spacing w:after="0" w:line="240" w:lineRule="auto"/>
        <w:ind w:firstLine="720"/>
        <w:jc w:val="both"/>
        <w:rPr>
          <w:rFonts w:ascii="Times New Roman" w:eastAsia="Times New Roman" w:hAnsi="Times New Roman" w:cs="Times New Roman"/>
          <w:b/>
          <w:sz w:val="24"/>
          <w:szCs w:val="24"/>
          <w:lang w:eastAsia="lt-LT"/>
        </w:rPr>
      </w:pPr>
      <w:r w:rsidRPr="00AB56BD">
        <w:rPr>
          <w:rFonts w:ascii="Times New Roman" w:eastAsia="Times New Roman" w:hAnsi="Times New Roman" w:cs="Times New Roman"/>
          <w:sz w:val="24"/>
          <w:szCs w:val="24"/>
          <w:lang w:eastAsia="lt-LT"/>
        </w:rPr>
        <w:t>3.5. Paslaugų teikėjas turi sudaryti galimybę kontroliuoti spausdinimui reikalingus duomenis ir pagal Paslaugų gavėjo prašymą sustabdyti spausdinimą arba papildyti duomenis</w:t>
      </w:r>
      <w:r w:rsidRPr="00AB56BD">
        <w:rPr>
          <w:rFonts w:ascii="Times New Roman" w:eastAsia="Times New Roman" w:hAnsi="Times New Roman" w:cs="Times New Roman"/>
          <w:b/>
          <w:sz w:val="24"/>
          <w:szCs w:val="24"/>
          <w:lang w:eastAsia="lt-LT"/>
        </w:rPr>
        <w:t xml:space="preserve">.  </w:t>
      </w:r>
    </w:p>
    <w:p w14:paraId="3171112B" w14:textId="77777777" w:rsidR="004C5249" w:rsidRPr="004C5249" w:rsidRDefault="004C5249" w:rsidP="004B5B9D">
      <w:pPr>
        <w:spacing w:after="0" w:line="240" w:lineRule="auto"/>
        <w:ind w:firstLine="720"/>
        <w:jc w:val="both"/>
        <w:rPr>
          <w:rFonts w:ascii="Times New Roman" w:eastAsia="Times New Roman" w:hAnsi="Times New Roman" w:cs="Times New Roman"/>
          <w:sz w:val="24"/>
          <w:szCs w:val="24"/>
          <w:lang w:eastAsia="lt-LT"/>
        </w:rPr>
      </w:pPr>
      <w:r w:rsidRPr="00AB56BD">
        <w:rPr>
          <w:rFonts w:ascii="Times New Roman" w:eastAsia="Times New Roman" w:hAnsi="Times New Roman" w:cs="Times New Roman"/>
          <w:sz w:val="24"/>
          <w:szCs w:val="24"/>
          <w:lang w:eastAsia="lt-LT"/>
        </w:rPr>
        <w:t>3.6. Vietinės rinkliavos mokėtojui (-ams) informavus Paslaugų gavėją apie mokėjimo</w:t>
      </w:r>
      <w:r w:rsidRPr="004C5249">
        <w:rPr>
          <w:rFonts w:ascii="Times New Roman" w:eastAsia="Times New Roman" w:hAnsi="Times New Roman" w:cs="Times New Roman"/>
          <w:sz w:val="24"/>
          <w:szCs w:val="24"/>
          <w:lang w:eastAsia="lt-LT"/>
        </w:rPr>
        <w:t xml:space="preserve"> pranešimo (-ų) negavimą, Paslaugų teikėjas privalo ne vėliau kaip per 3-5 darbo dienas po informacijos gavimo iš paslaugų gavėjo neatlygintinai atspausdinti mokėjimo pranešimą (-us) ir pateikti jį (juos) vietinės rinkliavos mokėtojui (-ams).</w:t>
      </w:r>
    </w:p>
    <w:p w14:paraId="59AC6D72" w14:textId="77777777" w:rsidR="004C5249" w:rsidRPr="004C5249" w:rsidRDefault="004C5249" w:rsidP="004B5B9D">
      <w:pPr>
        <w:spacing w:after="0" w:line="240" w:lineRule="auto"/>
        <w:ind w:firstLine="720"/>
        <w:jc w:val="both"/>
        <w:rPr>
          <w:rFonts w:ascii="Times New Roman" w:eastAsia="Times New Roman" w:hAnsi="Times New Roman" w:cs="Times New Roman"/>
          <w:sz w:val="24"/>
          <w:szCs w:val="24"/>
          <w:lang w:eastAsia="lt-LT"/>
        </w:rPr>
      </w:pPr>
      <w:r w:rsidRPr="004C5249">
        <w:rPr>
          <w:rFonts w:ascii="Times New Roman" w:eastAsia="Times New Roman" w:hAnsi="Times New Roman" w:cs="Times New Roman"/>
          <w:sz w:val="24"/>
          <w:szCs w:val="24"/>
          <w:lang w:eastAsia="lt-LT"/>
        </w:rPr>
        <w:t xml:space="preserve">3.7. Apie pastebėtus netikslumus gautuose duomenyse iki pradedant vykdyti užsakymą, Paslaugų teikėjas turi informuoti Paslaugų gavėją tą pačią dieną. </w:t>
      </w:r>
    </w:p>
    <w:p w14:paraId="46EF8B8D" w14:textId="77777777" w:rsidR="004C5249" w:rsidRPr="004C5249" w:rsidRDefault="004C5249" w:rsidP="004B5B9D">
      <w:pPr>
        <w:spacing w:after="0" w:line="240" w:lineRule="auto"/>
        <w:ind w:firstLine="720"/>
        <w:jc w:val="both"/>
        <w:rPr>
          <w:rFonts w:ascii="Times New Roman" w:eastAsia="Times New Roman" w:hAnsi="Times New Roman" w:cs="Times New Roman"/>
          <w:sz w:val="24"/>
          <w:szCs w:val="24"/>
          <w:lang w:eastAsia="lt-LT"/>
        </w:rPr>
      </w:pPr>
      <w:r w:rsidRPr="004C5249">
        <w:rPr>
          <w:rFonts w:ascii="Times New Roman" w:eastAsia="Times New Roman" w:hAnsi="Times New Roman" w:cs="Times New Roman"/>
          <w:sz w:val="24"/>
          <w:szCs w:val="24"/>
          <w:lang w:eastAsia="lt-LT"/>
        </w:rPr>
        <w:t>3.8. Paslaugų teikėjas turi užtikrinti vietinės rinkliavos mokėtojų teisę į privatų gyvenimą ir jo slaptumą, tai yra garantuoti gaunamų vietinės rinkliavos mokėtojo asmens duomenų apsaugą (vadovaujantis LR Asmens duomenų teisinės apsaugos įstatymu).</w:t>
      </w:r>
    </w:p>
    <w:p w14:paraId="6EC97198" w14:textId="77777777" w:rsidR="004C5249" w:rsidRPr="004C5249" w:rsidRDefault="004C5249" w:rsidP="004B5B9D">
      <w:pPr>
        <w:spacing w:after="0" w:line="240" w:lineRule="auto"/>
        <w:ind w:firstLine="720"/>
        <w:jc w:val="both"/>
        <w:rPr>
          <w:rFonts w:ascii="Times New Roman" w:eastAsia="Times New Roman" w:hAnsi="Times New Roman" w:cs="Times New Roman"/>
          <w:b/>
          <w:bCs/>
          <w:sz w:val="24"/>
          <w:szCs w:val="24"/>
          <w:lang w:eastAsia="lt-LT"/>
        </w:rPr>
      </w:pPr>
      <w:r w:rsidRPr="004C5249">
        <w:rPr>
          <w:rFonts w:ascii="Times New Roman" w:eastAsia="Times New Roman" w:hAnsi="Times New Roman" w:cs="Times New Roman"/>
          <w:sz w:val="24"/>
          <w:szCs w:val="24"/>
          <w:lang w:eastAsia="lt-LT"/>
        </w:rPr>
        <w:t xml:space="preserve">3. 9. Paslaugų teikėjas turi teikti paslaugas be išankstinio (avansinio) apmokėjimo. </w:t>
      </w:r>
    </w:p>
    <w:p w14:paraId="4117B819" w14:textId="7EE5A65A" w:rsidR="004C5249" w:rsidRPr="004C5249" w:rsidRDefault="004C5249" w:rsidP="004B5B9D">
      <w:pPr>
        <w:spacing w:after="0" w:line="240" w:lineRule="auto"/>
        <w:ind w:firstLine="720"/>
        <w:jc w:val="both"/>
        <w:rPr>
          <w:rFonts w:ascii="Times New Roman" w:eastAsia="Times New Roman" w:hAnsi="Times New Roman" w:cs="Times New Roman"/>
          <w:b/>
          <w:bCs/>
          <w:sz w:val="24"/>
          <w:szCs w:val="24"/>
          <w:lang w:eastAsia="lt-LT"/>
        </w:rPr>
      </w:pPr>
      <w:bookmarkStart w:id="2" w:name="_Hlk505776894"/>
      <w:r w:rsidRPr="004C5249">
        <w:rPr>
          <w:rFonts w:ascii="Times New Roman" w:eastAsia="Times New Roman" w:hAnsi="Times New Roman" w:cs="Times New Roman"/>
          <w:sz w:val="24"/>
          <w:szCs w:val="24"/>
          <w:lang w:eastAsia="lt-LT"/>
        </w:rPr>
        <w:t>3.10. Paslaugų teikėjas privalo Užsakovui per „</w:t>
      </w:r>
      <w:r w:rsidR="0002730C">
        <w:rPr>
          <w:rFonts w:ascii="Times New Roman" w:eastAsia="Times New Roman" w:hAnsi="Times New Roman" w:cs="Times New Roman"/>
          <w:sz w:val="24"/>
          <w:szCs w:val="24"/>
          <w:lang w:eastAsia="lt-LT"/>
        </w:rPr>
        <w:t>SABIS</w:t>
      </w:r>
      <w:r w:rsidRPr="004C5249">
        <w:rPr>
          <w:rFonts w:ascii="Times New Roman" w:eastAsia="Times New Roman" w:hAnsi="Times New Roman" w:cs="Times New Roman"/>
          <w:sz w:val="24"/>
          <w:szCs w:val="24"/>
          <w:lang w:eastAsia="lt-LT"/>
        </w:rPr>
        <w:t>“ sistemą pateikti PVM sąskaitą – faktūrą už faktiškai suteiktas paslaugas. Apmokėjimas už suteiktas paslaugas teikėjui įvykdomas per 30 kalendorinių dienų nuo PVM sąskaitos – faktūros pateikimo elektroniniu būdu per „</w:t>
      </w:r>
      <w:r w:rsidR="00422A36">
        <w:rPr>
          <w:rFonts w:ascii="Times New Roman" w:eastAsia="Times New Roman" w:hAnsi="Times New Roman" w:cs="Times New Roman"/>
          <w:sz w:val="24"/>
          <w:szCs w:val="24"/>
          <w:lang w:eastAsia="lt-LT"/>
        </w:rPr>
        <w:t>SABIS</w:t>
      </w:r>
      <w:r w:rsidRPr="004C5249">
        <w:rPr>
          <w:rFonts w:ascii="Times New Roman" w:eastAsia="Times New Roman" w:hAnsi="Times New Roman" w:cs="Times New Roman"/>
          <w:sz w:val="24"/>
          <w:szCs w:val="24"/>
          <w:lang w:eastAsia="lt-LT"/>
        </w:rPr>
        <w:t>“ sistemą (elektroninės paslaugos „</w:t>
      </w:r>
      <w:r w:rsidR="005D3643">
        <w:rPr>
          <w:rFonts w:ascii="Times New Roman" w:eastAsia="Times New Roman" w:hAnsi="Times New Roman" w:cs="Times New Roman"/>
          <w:sz w:val="24"/>
          <w:szCs w:val="24"/>
          <w:lang w:eastAsia="lt-LT"/>
        </w:rPr>
        <w:t>SABIS</w:t>
      </w:r>
      <w:r w:rsidRPr="004C5249">
        <w:rPr>
          <w:rFonts w:ascii="Times New Roman" w:eastAsia="Times New Roman" w:hAnsi="Times New Roman" w:cs="Times New Roman"/>
          <w:sz w:val="24"/>
          <w:szCs w:val="24"/>
          <w:lang w:eastAsia="lt-LT"/>
        </w:rPr>
        <w:t>“ svetainė pasiekiama adresu</w:t>
      </w:r>
      <w:r w:rsidR="005D3643">
        <w:rPr>
          <w:rFonts w:ascii="Times New Roman" w:eastAsia="Times New Roman" w:hAnsi="Times New Roman" w:cs="Times New Roman"/>
          <w:sz w:val="24"/>
          <w:szCs w:val="24"/>
          <w:lang w:eastAsia="lt-LT"/>
        </w:rPr>
        <w:t xml:space="preserve"> </w:t>
      </w:r>
      <w:r w:rsidR="005D3643" w:rsidRPr="005D3643">
        <w:rPr>
          <w:rFonts w:ascii="Times New Roman" w:eastAsia="Times New Roman" w:hAnsi="Times New Roman" w:cs="Times New Roman"/>
          <w:sz w:val="24"/>
          <w:szCs w:val="24"/>
          <w:lang w:eastAsia="lt-LT"/>
        </w:rPr>
        <w:t>https://sabis.nbfc.lt/</w:t>
      </w:r>
      <w:r w:rsidRPr="004C5249">
        <w:rPr>
          <w:rFonts w:ascii="Times New Roman" w:eastAsia="Times New Roman" w:hAnsi="Times New Roman" w:cs="Times New Roman"/>
          <w:sz w:val="24"/>
          <w:szCs w:val="24"/>
          <w:lang w:eastAsia="lt-LT"/>
        </w:rPr>
        <w:t>).  ,,</w:t>
      </w:r>
      <w:r w:rsidR="005D3643">
        <w:rPr>
          <w:rFonts w:ascii="Times New Roman" w:eastAsia="Times New Roman" w:hAnsi="Times New Roman" w:cs="Times New Roman"/>
          <w:sz w:val="24"/>
          <w:szCs w:val="24"/>
          <w:lang w:eastAsia="lt-LT"/>
        </w:rPr>
        <w:t>SABIS</w:t>
      </w:r>
      <w:r w:rsidRPr="004C5249">
        <w:rPr>
          <w:rFonts w:ascii="Times New Roman" w:eastAsia="Times New Roman" w:hAnsi="Times New Roman" w:cs="Times New Roman"/>
          <w:sz w:val="24"/>
          <w:szCs w:val="24"/>
          <w:lang w:eastAsia="lt-LT"/>
        </w:rPr>
        <w:t>“ siuntimo kaštus apmoka tiekėjas.</w:t>
      </w:r>
    </w:p>
    <w:bookmarkEnd w:id="2"/>
    <w:p w14:paraId="45FE75DE" w14:textId="77777777" w:rsidR="004C5249" w:rsidRPr="004C5249" w:rsidRDefault="004C5249" w:rsidP="004B5B9D">
      <w:pPr>
        <w:spacing w:after="0" w:line="240" w:lineRule="auto"/>
        <w:ind w:firstLine="720"/>
        <w:jc w:val="both"/>
        <w:rPr>
          <w:rFonts w:ascii="Times New Roman" w:eastAsia="Times New Roman" w:hAnsi="Times New Roman" w:cs="Times New Roman"/>
          <w:b/>
          <w:bCs/>
          <w:sz w:val="24"/>
          <w:szCs w:val="24"/>
          <w:lang w:eastAsia="lt-LT"/>
        </w:rPr>
      </w:pPr>
      <w:r w:rsidRPr="004C5249">
        <w:rPr>
          <w:rFonts w:ascii="Times New Roman" w:eastAsia="Times New Roman" w:hAnsi="Times New Roman" w:cs="Times New Roman"/>
          <w:sz w:val="24"/>
          <w:szCs w:val="24"/>
          <w:lang w:eastAsia="lt-LT"/>
        </w:rPr>
        <w:t xml:space="preserve">3.11. Pasiūlyme pateiktos kainos nekeičiamos visą sutarties galiojimo laikotarpį. </w:t>
      </w:r>
    </w:p>
    <w:p w14:paraId="4DFC96DF" w14:textId="77777777" w:rsidR="004C5249" w:rsidRPr="004C5249" w:rsidRDefault="004C5249" w:rsidP="004B5B9D">
      <w:pPr>
        <w:spacing w:after="0" w:line="240" w:lineRule="auto"/>
        <w:ind w:firstLine="720"/>
        <w:jc w:val="both"/>
        <w:rPr>
          <w:rFonts w:ascii="Times New Roman" w:eastAsia="Times New Roman" w:hAnsi="Times New Roman" w:cs="Times New Roman"/>
          <w:sz w:val="24"/>
          <w:szCs w:val="24"/>
          <w:lang w:eastAsia="lt-LT"/>
        </w:rPr>
      </w:pPr>
      <w:r w:rsidRPr="004C5249">
        <w:rPr>
          <w:rFonts w:ascii="Times New Roman" w:eastAsia="Times New Roman" w:hAnsi="Times New Roman" w:cs="Times New Roman"/>
          <w:sz w:val="24"/>
          <w:szCs w:val="24"/>
          <w:lang w:eastAsia="lt-LT"/>
        </w:rPr>
        <w:t>3.12. Pasikeitus PVM dydžiui, sutarties kaina keičiama proporcingai PVM pasikeitimo dydžiui (paslaugų kaina be PVM nekeičiama, keičiama tik PVM suma). Kaina perskaičiuojama raštišku šalių susitarimu.</w:t>
      </w:r>
    </w:p>
    <w:p w14:paraId="6E34BEF4" w14:textId="77777777" w:rsidR="004C5249" w:rsidRDefault="004C5249" w:rsidP="004B5B9D">
      <w:pPr>
        <w:spacing w:after="0" w:line="240" w:lineRule="auto"/>
        <w:ind w:firstLine="720"/>
        <w:jc w:val="both"/>
        <w:rPr>
          <w:rFonts w:ascii="Times New Roman" w:eastAsia="Times New Roman" w:hAnsi="Times New Roman" w:cs="Times New Roman"/>
          <w:sz w:val="24"/>
          <w:szCs w:val="24"/>
          <w:lang w:eastAsia="lt-LT"/>
        </w:rPr>
      </w:pPr>
      <w:r w:rsidRPr="004C5249">
        <w:rPr>
          <w:rFonts w:ascii="Times New Roman" w:eastAsia="Times New Roman" w:hAnsi="Times New Roman" w:cs="Times New Roman"/>
          <w:sz w:val="24"/>
          <w:szCs w:val="24"/>
          <w:lang w:eastAsia="lt-LT"/>
        </w:rPr>
        <w:t>3.13. Paslaugų teikėjas įsipareigoja struktūrizuoti Užsakovo adresus, priskirti pašto kodus, jei jų trūks.</w:t>
      </w:r>
    </w:p>
    <w:p w14:paraId="0D74F9E0" w14:textId="77777777" w:rsidR="004C5249" w:rsidRPr="004C5249" w:rsidRDefault="004C5249" w:rsidP="004B5B9D">
      <w:pPr>
        <w:spacing w:after="0" w:line="240" w:lineRule="auto"/>
        <w:ind w:firstLine="720"/>
        <w:jc w:val="both"/>
        <w:rPr>
          <w:rFonts w:ascii="Times New Roman" w:eastAsia="Times New Roman" w:hAnsi="Times New Roman" w:cs="Times New Roman"/>
          <w:b/>
          <w:sz w:val="24"/>
          <w:szCs w:val="24"/>
          <w:lang w:eastAsia="lt-LT"/>
        </w:rPr>
      </w:pPr>
      <w:r w:rsidRPr="004C5249">
        <w:rPr>
          <w:rFonts w:ascii="Times New Roman" w:eastAsia="Times New Roman" w:hAnsi="Times New Roman" w:cs="Times New Roman"/>
          <w:b/>
          <w:sz w:val="24"/>
          <w:szCs w:val="24"/>
          <w:lang w:eastAsia="lt-LT"/>
        </w:rPr>
        <w:t>4. Numatomų įsigyti paslaugų apimtys</w:t>
      </w:r>
    </w:p>
    <w:p w14:paraId="5BA2CF21" w14:textId="39A63657" w:rsidR="004C5249" w:rsidRPr="005E2ECC" w:rsidRDefault="004C5249" w:rsidP="004B5B9D">
      <w:pPr>
        <w:spacing w:after="0" w:line="240" w:lineRule="auto"/>
        <w:ind w:firstLine="720"/>
        <w:jc w:val="both"/>
        <w:rPr>
          <w:rFonts w:ascii="Times New Roman" w:eastAsia="Times New Roman" w:hAnsi="Times New Roman" w:cs="Times New Roman"/>
          <w:b/>
          <w:bCs/>
          <w:color w:val="FF0000"/>
          <w:sz w:val="28"/>
          <w:szCs w:val="28"/>
          <w:lang w:eastAsia="lt-LT"/>
        </w:rPr>
      </w:pPr>
      <w:r w:rsidRPr="005E2ECC">
        <w:rPr>
          <w:rFonts w:ascii="Times New Roman" w:eastAsia="Times New Roman" w:hAnsi="Times New Roman" w:cs="Times New Roman"/>
          <w:sz w:val="24"/>
          <w:szCs w:val="24"/>
          <w:lang w:eastAsia="lt-LT"/>
        </w:rPr>
        <w:t>Paslaugos ir preliminarūs kiekiai pateikti lentelėje. Perkančioji organizacija neįsipareigoja įsigyti viso Paslaugų kiekio (apimties) per metus, kadangi skaičius gali keistis priklausomai nuo Užsakovo poreikių. Apmokėjimas bus vykdomas už faktiškai suteiktas paslaugas.</w:t>
      </w:r>
      <w:r w:rsidR="003519E8" w:rsidRPr="005E2ECC">
        <w:rPr>
          <w:rFonts w:ascii="Times New Roman" w:eastAsia="Times New Roman" w:hAnsi="Times New Roman" w:cs="Times New Roman"/>
          <w:sz w:val="24"/>
          <w:szCs w:val="24"/>
          <w:lang w:eastAsia="lt-LT"/>
        </w:rPr>
        <w:t xml:space="preserve"> </w:t>
      </w:r>
    </w:p>
    <w:p w14:paraId="0FF10D24" w14:textId="77777777" w:rsidR="004C5249" w:rsidRPr="004C5249" w:rsidRDefault="004C5249" w:rsidP="004C5249">
      <w:pPr>
        <w:spacing w:after="0" w:line="240" w:lineRule="auto"/>
        <w:jc w:val="both"/>
        <w:rPr>
          <w:rFonts w:ascii="Times New Roman" w:eastAsia="Times New Roman" w:hAnsi="Times New Roman" w:cs="Times New Roman"/>
          <w:sz w:val="24"/>
          <w:szCs w:val="24"/>
          <w:lang w:eastAsia="lt-LT"/>
        </w:rPr>
      </w:pPr>
    </w:p>
    <w:p w14:paraId="2D91E3FD" w14:textId="77777777" w:rsidR="004C5249" w:rsidRPr="00B43085" w:rsidRDefault="004C5249" w:rsidP="004C5249">
      <w:pPr>
        <w:spacing w:after="0" w:line="240" w:lineRule="auto"/>
        <w:rPr>
          <w:rFonts w:ascii="Times New Roman" w:eastAsia="Times New Roman" w:hAnsi="Times New Roman" w:cs="Times New Roman"/>
          <w:sz w:val="24"/>
          <w:szCs w:val="24"/>
          <w:lang w:eastAsia="lt-LT"/>
        </w:rPr>
      </w:pPr>
      <w:r w:rsidRPr="00B43085">
        <w:rPr>
          <w:rFonts w:ascii="Times New Roman" w:eastAsia="Times New Roman" w:hAnsi="Times New Roman" w:cs="Times New Roman"/>
          <w:sz w:val="24"/>
          <w:szCs w:val="24"/>
          <w:lang w:eastAsia="lt-LT"/>
        </w:rPr>
        <w:t>1 lentelė. Numatomų pirkti metinių  paslaugų sąrašas (preliminarus kiekis)</w:t>
      </w:r>
    </w:p>
    <w:p w14:paraId="50E42671" w14:textId="77777777" w:rsidR="004C5249" w:rsidRDefault="004C5249" w:rsidP="004C5249">
      <w:pPr>
        <w:spacing w:after="0" w:line="240" w:lineRule="auto"/>
        <w:rPr>
          <w:rFonts w:ascii="Times New Roman" w:eastAsia="Times New Roman" w:hAnsi="Times New Roman" w:cs="Times New Roman"/>
          <w:sz w:val="24"/>
          <w:szCs w:val="24"/>
          <w:lang w:eastAsia="lt-LT"/>
        </w:rPr>
      </w:pPr>
    </w:p>
    <w:tbl>
      <w:tblPr>
        <w:tblW w:w="667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115"/>
        <w:gridCol w:w="994"/>
        <w:gridCol w:w="11"/>
        <w:gridCol w:w="1838"/>
      </w:tblGrid>
      <w:tr w:rsidR="00AB56BD" w:rsidRPr="007278C6" w14:paraId="3CA15B23" w14:textId="77777777" w:rsidTr="00A16817">
        <w:trPr>
          <w:trHeight w:val="1153"/>
        </w:trPr>
        <w:tc>
          <w:tcPr>
            <w:tcW w:w="718" w:type="dxa"/>
            <w:shd w:val="clear" w:color="auto" w:fill="auto"/>
            <w:vAlign w:val="center"/>
            <w:hideMark/>
          </w:tcPr>
          <w:p w14:paraId="5BA3AC78" w14:textId="77777777" w:rsidR="00AB56BD" w:rsidRPr="007278C6" w:rsidRDefault="00AB56BD" w:rsidP="00A16817">
            <w:r w:rsidRPr="007278C6">
              <w:t>Eil. Nr.</w:t>
            </w:r>
          </w:p>
        </w:tc>
        <w:tc>
          <w:tcPr>
            <w:tcW w:w="3115" w:type="dxa"/>
            <w:shd w:val="clear" w:color="auto" w:fill="auto"/>
            <w:vAlign w:val="center"/>
            <w:hideMark/>
          </w:tcPr>
          <w:p w14:paraId="311C5541" w14:textId="77777777" w:rsidR="00AB56BD" w:rsidRPr="007278C6" w:rsidRDefault="00AB56BD" w:rsidP="00A16817">
            <w:r w:rsidRPr="007278C6">
              <w:t>Paslaugos pavadinimas</w:t>
            </w:r>
          </w:p>
        </w:tc>
        <w:tc>
          <w:tcPr>
            <w:tcW w:w="994" w:type="dxa"/>
            <w:shd w:val="clear" w:color="auto" w:fill="auto"/>
            <w:vAlign w:val="center"/>
            <w:hideMark/>
          </w:tcPr>
          <w:p w14:paraId="26FF7A67" w14:textId="77777777" w:rsidR="00AB56BD" w:rsidRPr="007278C6" w:rsidRDefault="00AB56BD" w:rsidP="00A16817">
            <w:r w:rsidRPr="007278C6">
              <w:t>Mato vnt.</w:t>
            </w:r>
          </w:p>
        </w:tc>
        <w:tc>
          <w:tcPr>
            <w:tcW w:w="1849" w:type="dxa"/>
            <w:gridSpan w:val="2"/>
            <w:shd w:val="clear" w:color="auto" w:fill="auto"/>
            <w:vAlign w:val="center"/>
            <w:hideMark/>
          </w:tcPr>
          <w:p w14:paraId="32078873" w14:textId="77777777" w:rsidR="00AB56BD" w:rsidRPr="007278C6" w:rsidRDefault="00AB56BD" w:rsidP="00A16817">
            <w:r w:rsidRPr="007278C6">
              <w:t>Preliminarus siuntų kiekis*</w:t>
            </w:r>
          </w:p>
          <w:p w14:paraId="660A851B" w14:textId="77777777" w:rsidR="00AB56BD" w:rsidRPr="007278C6" w:rsidRDefault="00AB56BD" w:rsidP="00A16817">
            <w:r w:rsidRPr="007278C6">
              <w:t>per metus</w:t>
            </w:r>
          </w:p>
        </w:tc>
      </w:tr>
      <w:tr w:rsidR="00AB56BD" w:rsidRPr="007278C6" w14:paraId="681ABC1E" w14:textId="77777777" w:rsidTr="00A16817">
        <w:trPr>
          <w:trHeight w:val="315"/>
        </w:trPr>
        <w:tc>
          <w:tcPr>
            <w:tcW w:w="718" w:type="dxa"/>
            <w:shd w:val="clear" w:color="auto" w:fill="auto"/>
            <w:vAlign w:val="center"/>
            <w:hideMark/>
          </w:tcPr>
          <w:p w14:paraId="153230FF" w14:textId="77777777" w:rsidR="00AB56BD" w:rsidRPr="007278C6" w:rsidRDefault="00AB56BD" w:rsidP="005A3F4B">
            <w:pPr>
              <w:jc w:val="center"/>
              <w:rPr>
                <w:i/>
              </w:rPr>
            </w:pPr>
            <w:r w:rsidRPr="007278C6">
              <w:rPr>
                <w:i/>
              </w:rPr>
              <w:t>1</w:t>
            </w:r>
          </w:p>
        </w:tc>
        <w:tc>
          <w:tcPr>
            <w:tcW w:w="3115" w:type="dxa"/>
            <w:shd w:val="clear" w:color="auto" w:fill="auto"/>
            <w:vAlign w:val="center"/>
            <w:hideMark/>
          </w:tcPr>
          <w:p w14:paraId="418E73F7" w14:textId="77777777" w:rsidR="00AB56BD" w:rsidRPr="007278C6" w:rsidRDefault="00AB56BD" w:rsidP="005A3F4B">
            <w:pPr>
              <w:jc w:val="center"/>
              <w:rPr>
                <w:i/>
              </w:rPr>
            </w:pPr>
            <w:r w:rsidRPr="007278C6">
              <w:rPr>
                <w:i/>
              </w:rPr>
              <w:t>2</w:t>
            </w:r>
          </w:p>
        </w:tc>
        <w:tc>
          <w:tcPr>
            <w:tcW w:w="994" w:type="dxa"/>
            <w:shd w:val="clear" w:color="auto" w:fill="auto"/>
            <w:vAlign w:val="center"/>
            <w:hideMark/>
          </w:tcPr>
          <w:p w14:paraId="11038F98" w14:textId="77777777" w:rsidR="00AB56BD" w:rsidRPr="007278C6" w:rsidRDefault="00AB56BD" w:rsidP="005A3F4B">
            <w:pPr>
              <w:jc w:val="center"/>
              <w:rPr>
                <w:i/>
              </w:rPr>
            </w:pPr>
            <w:r w:rsidRPr="007278C6">
              <w:rPr>
                <w:i/>
              </w:rPr>
              <w:t>3</w:t>
            </w:r>
          </w:p>
        </w:tc>
        <w:tc>
          <w:tcPr>
            <w:tcW w:w="1849" w:type="dxa"/>
            <w:gridSpan w:val="2"/>
            <w:shd w:val="clear" w:color="auto" w:fill="auto"/>
            <w:vAlign w:val="center"/>
            <w:hideMark/>
          </w:tcPr>
          <w:p w14:paraId="50A86AEC" w14:textId="77777777" w:rsidR="00AB56BD" w:rsidRPr="007278C6" w:rsidRDefault="00AB56BD" w:rsidP="005A3F4B">
            <w:pPr>
              <w:jc w:val="center"/>
              <w:rPr>
                <w:i/>
              </w:rPr>
            </w:pPr>
            <w:r w:rsidRPr="007278C6">
              <w:rPr>
                <w:i/>
              </w:rPr>
              <w:t>4</w:t>
            </w:r>
          </w:p>
        </w:tc>
      </w:tr>
      <w:tr w:rsidR="00AB56BD" w:rsidRPr="007278C6" w14:paraId="70E098E9" w14:textId="77777777" w:rsidTr="00A16817">
        <w:trPr>
          <w:trHeight w:val="315"/>
        </w:trPr>
        <w:tc>
          <w:tcPr>
            <w:tcW w:w="718" w:type="dxa"/>
            <w:shd w:val="clear" w:color="auto" w:fill="auto"/>
            <w:vAlign w:val="center"/>
          </w:tcPr>
          <w:p w14:paraId="64AFC9AD" w14:textId="77777777" w:rsidR="00AB56BD" w:rsidRPr="007278C6" w:rsidRDefault="00AB56BD" w:rsidP="00A16817">
            <w:pPr>
              <w:rPr>
                <w:i/>
              </w:rPr>
            </w:pPr>
          </w:p>
        </w:tc>
        <w:tc>
          <w:tcPr>
            <w:tcW w:w="3115" w:type="dxa"/>
            <w:shd w:val="clear" w:color="auto" w:fill="auto"/>
            <w:vAlign w:val="center"/>
          </w:tcPr>
          <w:p w14:paraId="46D8D893" w14:textId="77777777" w:rsidR="00AB56BD" w:rsidRPr="007278C6" w:rsidRDefault="00AB56BD" w:rsidP="00A16817">
            <w:pPr>
              <w:rPr>
                <w:i/>
              </w:rPr>
            </w:pPr>
          </w:p>
        </w:tc>
        <w:tc>
          <w:tcPr>
            <w:tcW w:w="994" w:type="dxa"/>
            <w:shd w:val="clear" w:color="auto" w:fill="auto"/>
            <w:vAlign w:val="center"/>
          </w:tcPr>
          <w:p w14:paraId="07F95A5E" w14:textId="77777777" w:rsidR="00AB56BD" w:rsidRPr="007278C6" w:rsidRDefault="00AB56BD" w:rsidP="00A16817"/>
        </w:tc>
        <w:tc>
          <w:tcPr>
            <w:tcW w:w="1849" w:type="dxa"/>
            <w:gridSpan w:val="2"/>
            <w:shd w:val="clear" w:color="auto" w:fill="auto"/>
            <w:vAlign w:val="center"/>
          </w:tcPr>
          <w:p w14:paraId="040C8F42" w14:textId="77777777" w:rsidR="00AB56BD" w:rsidRPr="007278C6" w:rsidRDefault="00AB56BD" w:rsidP="00A16817"/>
        </w:tc>
      </w:tr>
      <w:tr w:rsidR="00AB56BD" w:rsidRPr="007278C6" w14:paraId="435B4863" w14:textId="77777777" w:rsidTr="00A16817">
        <w:trPr>
          <w:trHeight w:val="1932"/>
        </w:trPr>
        <w:tc>
          <w:tcPr>
            <w:tcW w:w="718" w:type="dxa"/>
            <w:shd w:val="clear" w:color="auto" w:fill="auto"/>
            <w:vAlign w:val="center"/>
          </w:tcPr>
          <w:p w14:paraId="73571CDA" w14:textId="77777777" w:rsidR="00AB56BD" w:rsidRPr="007278C6" w:rsidRDefault="00AB56BD" w:rsidP="00A16817">
            <w:pPr>
              <w:rPr>
                <w:i/>
              </w:rPr>
            </w:pPr>
            <w:r w:rsidRPr="007278C6">
              <w:rPr>
                <w:i/>
              </w:rPr>
              <w:lastRenderedPageBreak/>
              <w:t>1.1.</w:t>
            </w:r>
          </w:p>
        </w:tc>
        <w:tc>
          <w:tcPr>
            <w:tcW w:w="3115" w:type="dxa"/>
            <w:shd w:val="clear" w:color="auto" w:fill="auto"/>
            <w:vAlign w:val="center"/>
          </w:tcPr>
          <w:p w14:paraId="6FFABAEC" w14:textId="77777777" w:rsidR="00AB56BD" w:rsidRPr="007278C6" w:rsidRDefault="00AB56BD" w:rsidP="00A16817">
            <w:r w:rsidRPr="007278C6">
              <w:t>Mokėjimo pranešimų, skolų suderinimo aktų, skolų įspėjimų lapų pirmo lapo vienpusis spausdinimas ir automatizuotas dėjimas į C5 voką (papildoma informacija ant voko)</w:t>
            </w:r>
          </w:p>
          <w:p w14:paraId="00E1E6F3" w14:textId="77777777" w:rsidR="00AB56BD" w:rsidRPr="007278C6" w:rsidRDefault="00AB56BD" w:rsidP="00A16817">
            <w:pPr>
              <w:rPr>
                <w:i/>
              </w:rPr>
            </w:pPr>
          </w:p>
        </w:tc>
        <w:tc>
          <w:tcPr>
            <w:tcW w:w="994" w:type="dxa"/>
            <w:shd w:val="clear" w:color="auto" w:fill="auto"/>
            <w:vAlign w:val="center"/>
          </w:tcPr>
          <w:p w14:paraId="7565AB73" w14:textId="77777777" w:rsidR="00AB56BD" w:rsidRPr="007278C6" w:rsidRDefault="00AB56BD" w:rsidP="00A16817">
            <w:r w:rsidRPr="007278C6">
              <w:t>Vnt.</w:t>
            </w:r>
          </w:p>
        </w:tc>
        <w:tc>
          <w:tcPr>
            <w:tcW w:w="1849" w:type="dxa"/>
            <w:gridSpan w:val="2"/>
            <w:shd w:val="clear" w:color="auto" w:fill="auto"/>
            <w:vAlign w:val="center"/>
          </w:tcPr>
          <w:p w14:paraId="586F5D4D" w14:textId="6EA772FE" w:rsidR="00AB56BD" w:rsidRPr="004E7C06" w:rsidRDefault="00831DA8" w:rsidP="00A16817">
            <w:r w:rsidRPr="004E7C06">
              <w:t>5</w:t>
            </w:r>
            <w:r w:rsidR="00AB56BD" w:rsidRPr="004E7C06">
              <w:t>1000</w:t>
            </w:r>
          </w:p>
        </w:tc>
      </w:tr>
      <w:tr w:rsidR="00AB56BD" w:rsidRPr="007278C6" w14:paraId="4A07A166" w14:textId="77777777" w:rsidTr="00A16817">
        <w:trPr>
          <w:trHeight w:val="1426"/>
        </w:trPr>
        <w:tc>
          <w:tcPr>
            <w:tcW w:w="718" w:type="dxa"/>
            <w:shd w:val="clear" w:color="auto" w:fill="auto"/>
            <w:vAlign w:val="center"/>
          </w:tcPr>
          <w:p w14:paraId="1FF4C9A5" w14:textId="77777777" w:rsidR="00AB56BD" w:rsidRPr="007278C6" w:rsidRDefault="00AB56BD" w:rsidP="00A16817">
            <w:pPr>
              <w:rPr>
                <w:i/>
              </w:rPr>
            </w:pPr>
            <w:r w:rsidRPr="007278C6">
              <w:rPr>
                <w:i/>
              </w:rPr>
              <w:t>1.2.</w:t>
            </w:r>
          </w:p>
        </w:tc>
        <w:tc>
          <w:tcPr>
            <w:tcW w:w="3115" w:type="dxa"/>
            <w:shd w:val="clear" w:color="auto" w:fill="auto"/>
            <w:vAlign w:val="center"/>
          </w:tcPr>
          <w:p w14:paraId="0CE883F4" w14:textId="77777777" w:rsidR="00AB56BD" w:rsidRPr="007278C6" w:rsidRDefault="00AB56BD" w:rsidP="00A16817">
            <w:r w:rsidRPr="007278C6">
              <w:t>Papildomų lapų vienpusis spausdinimas ir automatizuotas vokavimas (papildoma informacija išorėje)</w:t>
            </w:r>
          </w:p>
          <w:p w14:paraId="4F1AE648" w14:textId="77777777" w:rsidR="00AB56BD" w:rsidRPr="007278C6" w:rsidRDefault="00AB56BD" w:rsidP="00A16817">
            <w:pPr>
              <w:rPr>
                <w:i/>
              </w:rPr>
            </w:pPr>
          </w:p>
        </w:tc>
        <w:tc>
          <w:tcPr>
            <w:tcW w:w="994" w:type="dxa"/>
            <w:shd w:val="clear" w:color="auto" w:fill="auto"/>
            <w:vAlign w:val="center"/>
          </w:tcPr>
          <w:p w14:paraId="56012C4D" w14:textId="77777777" w:rsidR="00AB56BD" w:rsidRPr="007278C6" w:rsidRDefault="00AB56BD" w:rsidP="00A16817">
            <w:r w:rsidRPr="007278C6">
              <w:t>Vnt.</w:t>
            </w:r>
          </w:p>
        </w:tc>
        <w:tc>
          <w:tcPr>
            <w:tcW w:w="1849" w:type="dxa"/>
            <w:gridSpan w:val="2"/>
            <w:shd w:val="clear" w:color="auto" w:fill="auto"/>
            <w:vAlign w:val="center"/>
          </w:tcPr>
          <w:p w14:paraId="060D5F24" w14:textId="694A597F" w:rsidR="00AB56BD" w:rsidRPr="004E7C06" w:rsidRDefault="00CC3EF8" w:rsidP="00A16817">
            <w:r w:rsidRPr="004E7C06">
              <w:t>50000</w:t>
            </w:r>
          </w:p>
        </w:tc>
      </w:tr>
      <w:tr w:rsidR="003519E8" w:rsidRPr="007278C6" w14:paraId="2308E9C6" w14:textId="77777777" w:rsidTr="00A16817">
        <w:trPr>
          <w:trHeight w:val="1426"/>
        </w:trPr>
        <w:tc>
          <w:tcPr>
            <w:tcW w:w="718" w:type="dxa"/>
            <w:shd w:val="clear" w:color="auto" w:fill="auto"/>
            <w:vAlign w:val="center"/>
          </w:tcPr>
          <w:p w14:paraId="1233AE9D" w14:textId="0D41FCA8" w:rsidR="003519E8" w:rsidRPr="007278C6" w:rsidRDefault="003519E8" w:rsidP="00A16817">
            <w:pPr>
              <w:rPr>
                <w:i/>
              </w:rPr>
            </w:pPr>
            <w:r>
              <w:rPr>
                <w:i/>
              </w:rPr>
              <w:t xml:space="preserve">1.3. </w:t>
            </w:r>
          </w:p>
        </w:tc>
        <w:tc>
          <w:tcPr>
            <w:tcW w:w="3115" w:type="dxa"/>
            <w:shd w:val="clear" w:color="auto" w:fill="auto"/>
            <w:vAlign w:val="center"/>
          </w:tcPr>
          <w:p w14:paraId="63BE6605" w14:textId="1CCDF484" w:rsidR="003519E8" w:rsidRPr="007278C6" w:rsidRDefault="003519E8" w:rsidP="00A16817">
            <w:r w:rsidRPr="003519E8">
              <w:t>Spauda ant voko (spalvota)</w:t>
            </w:r>
          </w:p>
        </w:tc>
        <w:tc>
          <w:tcPr>
            <w:tcW w:w="994" w:type="dxa"/>
            <w:shd w:val="clear" w:color="auto" w:fill="auto"/>
            <w:vAlign w:val="center"/>
          </w:tcPr>
          <w:p w14:paraId="1A5CB55F" w14:textId="3023BBD9" w:rsidR="003519E8" w:rsidRPr="007278C6" w:rsidRDefault="003519E8" w:rsidP="00A16817">
            <w:r>
              <w:t>Vnt.</w:t>
            </w:r>
          </w:p>
        </w:tc>
        <w:tc>
          <w:tcPr>
            <w:tcW w:w="1849" w:type="dxa"/>
            <w:gridSpan w:val="2"/>
            <w:shd w:val="clear" w:color="auto" w:fill="auto"/>
            <w:vAlign w:val="center"/>
          </w:tcPr>
          <w:p w14:paraId="71A6B209" w14:textId="27782874" w:rsidR="003519E8" w:rsidRPr="004E7C06" w:rsidRDefault="003519E8" w:rsidP="00A16817">
            <w:r w:rsidRPr="004E7C06">
              <w:t>51000</w:t>
            </w:r>
          </w:p>
        </w:tc>
      </w:tr>
      <w:tr w:rsidR="00CC3EF8" w:rsidRPr="007278C6" w14:paraId="46764DAA" w14:textId="77777777" w:rsidTr="00A16817">
        <w:trPr>
          <w:trHeight w:val="1426"/>
        </w:trPr>
        <w:tc>
          <w:tcPr>
            <w:tcW w:w="718" w:type="dxa"/>
            <w:shd w:val="clear" w:color="auto" w:fill="auto"/>
            <w:vAlign w:val="center"/>
          </w:tcPr>
          <w:p w14:paraId="03319B7E" w14:textId="7749057B" w:rsidR="00CC3EF8" w:rsidRPr="007278C6" w:rsidRDefault="00CC3EF8" w:rsidP="00A16817">
            <w:pPr>
              <w:rPr>
                <w:i/>
              </w:rPr>
            </w:pPr>
            <w:r>
              <w:rPr>
                <w:i/>
              </w:rPr>
              <w:t>1.</w:t>
            </w:r>
            <w:r w:rsidR="003519E8">
              <w:rPr>
                <w:i/>
              </w:rPr>
              <w:t>4</w:t>
            </w:r>
            <w:r>
              <w:rPr>
                <w:i/>
              </w:rPr>
              <w:t>.</w:t>
            </w:r>
          </w:p>
        </w:tc>
        <w:tc>
          <w:tcPr>
            <w:tcW w:w="3115" w:type="dxa"/>
            <w:shd w:val="clear" w:color="auto" w:fill="auto"/>
            <w:vAlign w:val="center"/>
          </w:tcPr>
          <w:p w14:paraId="2126DFFB" w14:textId="7A81AE4E" w:rsidR="00CC3EF8" w:rsidRPr="007278C6" w:rsidRDefault="00CC3EF8" w:rsidP="00A16817">
            <w:r>
              <w:t>C5 vokai su spauda ant voko</w:t>
            </w:r>
          </w:p>
        </w:tc>
        <w:tc>
          <w:tcPr>
            <w:tcW w:w="994" w:type="dxa"/>
            <w:shd w:val="clear" w:color="auto" w:fill="auto"/>
            <w:vAlign w:val="center"/>
          </w:tcPr>
          <w:p w14:paraId="6B6B644B" w14:textId="04667E4D" w:rsidR="00CC3EF8" w:rsidRPr="007278C6" w:rsidRDefault="00CC3EF8" w:rsidP="00A16817">
            <w:r>
              <w:t>Vnt.</w:t>
            </w:r>
          </w:p>
        </w:tc>
        <w:tc>
          <w:tcPr>
            <w:tcW w:w="1849" w:type="dxa"/>
            <w:gridSpan w:val="2"/>
            <w:shd w:val="clear" w:color="auto" w:fill="auto"/>
            <w:vAlign w:val="center"/>
          </w:tcPr>
          <w:p w14:paraId="11F3865D" w14:textId="3A5A51AD" w:rsidR="00CC3EF8" w:rsidRPr="004E7C06" w:rsidRDefault="00CC3EF8" w:rsidP="00A16817">
            <w:r w:rsidRPr="004E7C06">
              <w:t>2000</w:t>
            </w:r>
          </w:p>
        </w:tc>
      </w:tr>
      <w:tr w:rsidR="00AB56BD" w:rsidRPr="007278C6" w14:paraId="6B87AF09" w14:textId="77777777" w:rsidTr="00A16817">
        <w:trPr>
          <w:trHeight w:val="1656"/>
        </w:trPr>
        <w:tc>
          <w:tcPr>
            <w:tcW w:w="718" w:type="dxa"/>
            <w:shd w:val="clear" w:color="auto" w:fill="auto"/>
            <w:vAlign w:val="center"/>
            <w:hideMark/>
          </w:tcPr>
          <w:p w14:paraId="67C86E7D" w14:textId="77777777" w:rsidR="00AB56BD" w:rsidRPr="007278C6" w:rsidRDefault="00AB56BD" w:rsidP="00A16817">
            <w:pPr>
              <w:rPr>
                <w:b/>
              </w:rPr>
            </w:pPr>
            <w:r w:rsidRPr="007278C6">
              <w:rPr>
                <w:b/>
              </w:rPr>
              <w:t>2.</w:t>
            </w:r>
          </w:p>
        </w:tc>
        <w:tc>
          <w:tcPr>
            <w:tcW w:w="4109" w:type="dxa"/>
            <w:gridSpan w:val="2"/>
            <w:shd w:val="clear" w:color="auto" w:fill="auto"/>
            <w:vAlign w:val="center"/>
            <w:hideMark/>
          </w:tcPr>
          <w:p w14:paraId="0F439B36" w14:textId="77777777" w:rsidR="00AB56BD" w:rsidRPr="007278C6" w:rsidRDefault="00AB56BD" w:rsidP="00A16817">
            <w:pPr>
              <w:rPr>
                <w:b/>
                <w:iCs/>
              </w:rPr>
            </w:pPr>
            <w:r w:rsidRPr="007278C6">
              <w:rPr>
                <w:b/>
              </w:rPr>
              <w:t xml:space="preserve">Mokėjimo pranešimų, skolų suderinimo ir skolos   įspėjimų išnešiojimas laiškas be sekimo iki 50 </w:t>
            </w:r>
            <w:r w:rsidRPr="007278C6">
              <w:rPr>
                <w:b/>
                <w:iCs/>
              </w:rPr>
              <w:t>(vienu metu 1/2/3 kartus per metus, kas ketvirtį)</w:t>
            </w:r>
          </w:p>
          <w:p w14:paraId="2FA62C60" w14:textId="77777777" w:rsidR="00AB56BD" w:rsidRPr="007278C6" w:rsidRDefault="00AB56BD" w:rsidP="00A16817">
            <w:pPr>
              <w:rPr>
                <w:b/>
              </w:rPr>
            </w:pPr>
            <w:r w:rsidRPr="007278C6">
              <w:rPr>
                <w:b/>
              </w:rPr>
              <w:t xml:space="preserve">                                                         </w:t>
            </w:r>
            <w:r w:rsidRPr="007278C6">
              <w:rPr>
                <w:b/>
              </w:rPr>
              <w:tab/>
            </w:r>
            <w:r w:rsidRPr="007278C6">
              <w:rPr>
                <w:b/>
              </w:rPr>
              <w:tab/>
            </w:r>
          </w:p>
        </w:tc>
        <w:tc>
          <w:tcPr>
            <w:tcW w:w="1849" w:type="dxa"/>
            <w:gridSpan w:val="2"/>
            <w:shd w:val="clear" w:color="auto" w:fill="auto"/>
            <w:vAlign w:val="center"/>
          </w:tcPr>
          <w:p w14:paraId="15013CD7" w14:textId="43C88526" w:rsidR="00AB56BD" w:rsidRPr="004E7C06" w:rsidRDefault="003519E8" w:rsidP="00A16817">
            <w:pPr>
              <w:rPr>
                <w:b/>
              </w:rPr>
            </w:pPr>
            <w:r w:rsidRPr="004E7C06">
              <w:rPr>
                <w:b/>
              </w:rPr>
              <w:t>31040</w:t>
            </w:r>
          </w:p>
        </w:tc>
      </w:tr>
      <w:tr w:rsidR="00AB56BD" w:rsidRPr="007278C6" w14:paraId="738E8A9C" w14:textId="77777777" w:rsidTr="00A16817">
        <w:trPr>
          <w:trHeight w:val="548"/>
        </w:trPr>
        <w:tc>
          <w:tcPr>
            <w:tcW w:w="718" w:type="dxa"/>
            <w:shd w:val="clear" w:color="auto" w:fill="auto"/>
            <w:vAlign w:val="center"/>
          </w:tcPr>
          <w:p w14:paraId="4F52EF8B" w14:textId="77777777" w:rsidR="00AB56BD" w:rsidRPr="007278C6" w:rsidRDefault="00AB56BD" w:rsidP="00A16817">
            <w:r w:rsidRPr="007278C6">
              <w:t>2.1</w:t>
            </w:r>
          </w:p>
        </w:tc>
        <w:tc>
          <w:tcPr>
            <w:tcW w:w="3115" w:type="dxa"/>
            <w:shd w:val="clear" w:color="auto" w:fill="auto"/>
            <w:vAlign w:val="center"/>
          </w:tcPr>
          <w:p w14:paraId="3BBC8A54" w14:textId="77777777" w:rsidR="00AB56BD" w:rsidRPr="007278C6" w:rsidRDefault="00AB56BD" w:rsidP="00A16817">
            <w:r w:rsidRPr="007278C6">
              <w:t>I zona</w:t>
            </w:r>
          </w:p>
        </w:tc>
        <w:tc>
          <w:tcPr>
            <w:tcW w:w="994" w:type="dxa"/>
            <w:shd w:val="clear" w:color="auto" w:fill="auto"/>
            <w:vAlign w:val="center"/>
          </w:tcPr>
          <w:p w14:paraId="4B138265" w14:textId="77777777" w:rsidR="00AB56BD" w:rsidRPr="007278C6" w:rsidRDefault="00AB56BD" w:rsidP="00A16817">
            <w:r w:rsidRPr="007278C6">
              <w:t>vnt.</w:t>
            </w:r>
          </w:p>
        </w:tc>
        <w:tc>
          <w:tcPr>
            <w:tcW w:w="1849" w:type="dxa"/>
            <w:gridSpan w:val="2"/>
            <w:shd w:val="clear" w:color="auto" w:fill="auto"/>
            <w:vAlign w:val="center"/>
          </w:tcPr>
          <w:p w14:paraId="467E3A47" w14:textId="793F3732" w:rsidR="00AB56BD" w:rsidRPr="004E7C06" w:rsidRDefault="003519E8" w:rsidP="00A16817">
            <w:r w:rsidRPr="004E7C06">
              <w:t>740</w:t>
            </w:r>
          </w:p>
        </w:tc>
      </w:tr>
      <w:tr w:rsidR="00AB56BD" w:rsidRPr="007278C6" w14:paraId="5C76B373" w14:textId="77777777" w:rsidTr="00A16817">
        <w:trPr>
          <w:trHeight w:val="315"/>
        </w:trPr>
        <w:tc>
          <w:tcPr>
            <w:tcW w:w="718" w:type="dxa"/>
            <w:shd w:val="clear" w:color="auto" w:fill="auto"/>
            <w:vAlign w:val="center"/>
          </w:tcPr>
          <w:p w14:paraId="3E687430" w14:textId="77777777" w:rsidR="00AB56BD" w:rsidRPr="007278C6" w:rsidRDefault="00AB56BD" w:rsidP="00A16817">
            <w:r w:rsidRPr="007278C6">
              <w:t>2.2</w:t>
            </w:r>
          </w:p>
        </w:tc>
        <w:tc>
          <w:tcPr>
            <w:tcW w:w="3115" w:type="dxa"/>
            <w:shd w:val="clear" w:color="auto" w:fill="auto"/>
            <w:vAlign w:val="center"/>
          </w:tcPr>
          <w:p w14:paraId="483E3678" w14:textId="77777777" w:rsidR="00AB56BD" w:rsidRPr="007278C6" w:rsidRDefault="00AB56BD" w:rsidP="00A16817">
            <w:r w:rsidRPr="007278C6">
              <w:t>II zona</w:t>
            </w:r>
          </w:p>
        </w:tc>
        <w:tc>
          <w:tcPr>
            <w:tcW w:w="994" w:type="dxa"/>
            <w:shd w:val="clear" w:color="auto" w:fill="auto"/>
            <w:vAlign w:val="center"/>
            <w:hideMark/>
          </w:tcPr>
          <w:p w14:paraId="15BC7C0D" w14:textId="77777777" w:rsidR="00AB56BD" w:rsidRPr="007278C6" w:rsidRDefault="00AB56BD" w:rsidP="00A16817">
            <w:r w:rsidRPr="007278C6">
              <w:t>vnt.</w:t>
            </w:r>
          </w:p>
        </w:tc>
        <w:tc>
          <w:tcPr>
            <w:tcW w:w="1849" w:type="dxa"/>
            <w:gridSpan w:val="2"/>
            <w:shd w:val="clear" w:color="auto" w:fill="auto"/>
            <w:vAlign w:val="center"/>
            <w:hideMark/>
          </w:tcPr>
          <w:p w14:paraId="7AEFCC1F" w14:textId="3105A23C" w:rsidR="00AB56BD" w:rsidRPr="004E7C06" w:rsidRDefault="00CC3EF8" w:rsidP="00A16817">
            <w:r w:rsidRPr="004E7C06">
              <w:t>2300</w:t>
            </w:r>
          </w:p>
        </w:tc>
      </w:tr>
      <w:tr w:rsidR="00AB56BD" w:rsidRPr="007278C6" w14:paraId="008F94AC" w14:textId="77777777" w:rsidTr="00A16817">
        <w:trPr>
          <w:trHeight w:val="315"/>
        </w:trPr>
        <w:tc>
          <w:tcPr>
            <w:tcW w:w="718" w:type="dxa"/>
            <w:shd w:val="clear" w:color="auto" w:fill="auto"/>
            <w:vAlign w:val="center"/>
          </w:tcPr>
          <w:p w14:paraId="50CF3C16" w14:textId="77777777" w:rsidR="00AB56BD" w:rsidRPr="007278C6" w:rsidRDefault="00AB56BD" w:rsidP="00A16817">
            <w:r w:rsidRPr="007278C6">
              <w:t>2.2</w:t>
            </w:r>
          </w:p>
        </w:tc>
        <w:tc>
          <w:tcPr>
            <w:tcW w:w="3115" w:type="dxa"/>
            <w:shd w:val="clear" w:color="auto" w:fill="auto"/>
            <w:vAlign w:val="center"/>
          </w:tcPr>
          <w:p w14:paraId="3940F4C1" w14:textId="77777777" w:rsidR="00AB56BD" w:rsidRPr="007278C6" w:rsidRDefault="00AB56BD" w:rsidP="00A16817">
            <w:r w:rsidRPr="007278C6">
              <w:t>III zona</w:t>
            </w:r>
          </w:p>
        </w:tc>
        <w:tc>
          <w:tcPr>
            <w:tcW w:w="994" w:type="dxa"/>
            <w:shd w:val="clear" w:color="auto" w:fill="auto"/>
            <w:vAlign w:val="center"/>
            <w:hideMark/>
          </w:tcPr>
          <w:p w14:paraId="0BFA6503" w14:textId="77777777" w:rsidR="00AB56BD" w:rsidRPr="007278C6" w:rsidRDefault="00AB56BD" w:rsidP="00A16817">
            <w:r w:rsidRPr="007278C6">
              <w:t>vnt.</w:t>
            </w:r>
          </w:p>
        </w:tc>
        <w:tc>
          <w:tcPr>
            <w:tcW w:w="1849" w:type="dxa"/>
            <w:gridSpan w:val="2"/>
            <w:shd w:val="clear" w:color="auto" w:fill="auto"/>
            <w:vAlign w:val="center"/>
            <w:hideMark/>
          </w:tcPr>
          <w:p w14:paraId="2001CFDA" w14:textId="1C876C49" w:rsidR="00AB56BD" w:rsidRPr="004E7C06" w:rsidRDefault="00CC3EF8" w:rsidP="00A16817">
            <w:r w:rsidRPr="004E7C06">
              <w:t>28000</w:t>
            </w:r>
          </w:p>
        </w:tc>
      </w:tr>
      <w:tr w:rsidR="00AB56BD" w:rsidRPr="007278C6" w14:paraId="6F5B13B6" w14:textId="77777777" w:rsidTr="00A16817">
        <w:trPr>
          <w:trHeight w:val="315"/>
        </w:trPr>
        <w:tc>
          <w:tcPr>
            <w:tcW w:w="718" w:type="dxa"/>
            <w:shd w:val="clear" w:color="auto" w:fill="auto"/>
            <w:vAlign w:val="center"/>
            <w:hideMark/>
          </w:tcPr>
          <w:p w14:paraId="1F473FFC" w14:textId="77777777" w:rsidR="00AB56BD" w:rsidRPr="007278C6" w:rsidRDefault="00AB56BD" w:rsidP="00A16817">
            <w:pPr>
              <w:rPr>
                <w:b/>
              </w:rPr>
            </w:pPr>
            <w:r w:rsidRPr="007278C6">
              <w:rPr>
                <w:b/>
              </w:rPr>
              <w:t>3.</w:t>
            </w:r>
          </w:p>
        </w:tc>
        <w:tc>
          <w:tcPr>
            <w:tcW w:w="4109" w:type="dxa"/>
            <w:gridSpan w:val="2"/>
            <w:shd w:val="clear" w:color="auto" w:fill="auto"/>
            <w:vAlign w:val="center"/>
            <w:hideMark/>
          </w:tcPr>
          <w:p w14:paraId="0B6E748D" w14:textId="77777777" w:rsidR="00AB56BD" w:rsidRPr="007278C6" w:rsidRDefault="00AB56BD" w:rsidP="00A16817">
            <w:pPr>
              <w:rPr>
                <w:b/>
              </w:rPr>
            </w:pPr>
            <w:r w:rsidRPr="007278C6">
              <w:rPr>
                <w:b/>
              </w:rPr>
              <w:t xml:space="preserve">Mokėjimo pranešimų, skolų suderinimo ir skolos   įspėjimų išnešiojimas </w:t>
            </w:r>
            <w:r w:rsidRPr="007278C6">
              <w:rPr>
                <w:b/>
                <w:i/>
              </w:rPr>
              <w:t>siunta be sekimo S</w:t>
            </w:r>
            <w:r w:rsidRPr="007278C6">
              <w:rPr>
                <w:b/>
              </w:rPr>
              <w:t xml:space="preserve">   iki 500 gramu (g) (vienu metu 1/2/3 kartus per metus, kas ketvirtį)</w:t>
            </w:r>
          </w:p>
          <w:p w14:paraId="277A0793" w14:textId="77777777" w:rsidR="00AB56BD" w:rsidRPr="007278C6" w:rsidRDefault="00AB56BD" w:rsidP="00A16817">
            <w:pPr>
              <w:rPr>
                <w:b/>
              </w:rPr>
            </w:pPr>
          </w:p>
        </w:tc>
        <w:tc>
          <w:tcPr>
            <w:tcW w:w="1849" w:type="dxa"/>
            <w:gridSpan w:val="2"/>
            <w:shd w:val="clear" w:color="auto" w:fill="auto"/>
            <w:vAlign w:val="center"/>
            <w:hideMark/>
          </w:tcPr>
          <w:p w14:paraId="0F815308" w14:textId="52B293AC" w:rsidR="00AB56BD" w:rsidRPr="004E7C06" w:rsidRDefault="00AB56BD" w:rsidP="00A16817">
            <w:pPr>
              <w:rPr>
                <w:b/>
              </w:rPr>
            </w:pPr>
            <w:r w:rsidRPr="004E7C06">
              <w:rPr>
                <w:b/>
              </w:rPr>
              <w:t>30</w:t>
            </w:r>
          </w:p>
        </w:tc>
      </w:tr>
      <w:tr w:rsidR="00AB56BD" w:rsidRPr="007278C6" w14:paraId="77CADEA0" w14:textId="77777777" w:rsidTr="00A16817">
        <w:trPr>
          <w:trHeight w:val="315"/>
        </w:trPr>
        <w:tc>
          <w:tcPr>
            <w:tcW w:w="718" w:type="dxa"/>
            <w:shd w:val="clear" w:color="auto" w:fill="auto"/>
            <w:vAlign w:val="center"/>
            <w:hideMark/>
          </w:tcPr>
          <w:p w14:paraId="14101F59" w14:textId="77777777" w:rsidR="00AB56BD" w:rsidRPr="007278C6" w:rsidRDefault="00AB56BD" w:rsidP="00A16817">
            <w:r w:rsidRPr="007278C6">
              <w:t>3.1</w:t>
            </w:r>
          </w:p>
        </w:tc>
        <w:tc>
          <w:tcPr>
            <w:tcW w:w="3115" w:type="dxa"/>
            <w:shd w:val="clear" w:color="auto" w:fill="auto"/>
            <w:vAlign w:val="center"/>
            <w:hideMark/>
          </w:tcPr>
          <w:p w14:paraId="498F5CB1" w14:textId="77777777" w:rsidR="00AB56BD" w:rsidRPr="007278C6" w:rsidRDefault="00AB56BD" w:rsidP="00A16817">
            <w:r w:rsidRPr="007278C6">
              <w:t>I zona</w:t>
            </w:r>
          </w:p>
        </w:tc>
        <w:tc>
          <w:tcPr>
            <w:tcW w:w="1005" w:type="dxa"/>
            <w:gridSpan w:val="2"/>
            <w:shd w:val="clear" w:color="auto" w:fill="auto"/>
            <w:vAlign w:val="center"/>
          </w:tcPr>
          <w:p w14:paraId="1BE3D775" w14:textId="77777777" w:rsidR="00AB56BD" w:rsidRPr="004E7C06" w:rsidRDefault="00AB56BD" w:rsidP="00A16817">
            <w:r w:rsidRPr="004E7C06">
              <w:t>Vnt.</w:t>
            </w:r>
          </w:p>
        </w:tc>
        <w:tc>
          <w:tcPr>
            <w:tcW w:w="1838" w:type="dxa"/>
            <w:shd w:val="clear" w:color="auto" w:fill="auto"/>
            <w:vAlign w:val="center"/>
          </w:tcPr>
          <w:p w14:paraId="0ECD5F3A" w14:textId="6696FF0C" w:rsidR="00AB56BD" w:rsidRPr="004E7C06" w:rsidRDefault="00AB56BD" w:rsidP="00A16817">
            <w:r w:rsidRPr="004E7C06">
              <w:t>15</w:t>
            </w:r>
          </w:p>
        </w:tc>
      </w:tr>
      <w:tr w:rsidR="00AB56BD" w:rsidRPr="007278C6" w14:paraId="0F3017B2" w14:textId="77777777" w:rsidTr="00A16817">
        <w:trPr>
          <w:trHeight w:val="315"/>
        </w:trPr>
        <w:tc>
          <w:tcPr>
            <w:tcW w:w="718" w:type="dxa"/>
            <w:shd w:val="clear" w:color="auto" w:fill="auto"/>
            <w:vAlign w:val="center"/>
          </w:tcPr>
          <w:p w14:paraId="3CCBA6EC" w14:textId="77777777" w:rsidR="00AB56BD" w:rsidRPr="007278C6" w:rsidRDefault="00AB56BD" w:rsidP="00A16817">
            <w:r w:rsidRPr="007278C6">
              <w:t>3.2</w:t>
            </w:r>
          </w:p>
        </w:tc>
        <w:tc>
          <w:tcPr>
            <w:tcW w:w="3115" w:type="dxa"/>
            <w:shd w:val="clear" w:color="auto" w:fill="auto"/>
            <w:vAlign w:val="center"/>
          </w:tcPr>
          <w:p w14:paraId="6BCF7CE1" w14:textId="77777777" w:rsidR="00AB56BD" w:rsidRPr="007278C6" w:rsidRDefault="00AB56BD" w:rsidP="00A16817">
            <w:r w:rsidRPr="007278C6">
              <w:t>II zona</w:t>
            </w:r>
          </w:p>
        </w:tc>
        <w:tc>
          <w:tcPr>
            <w:tcW w:w="994" w:type="dxa"/>
            <w:shd w:val="clear" w:color="auto" w:fill="auto"/>
            <w:vAlign w:val="center"/>
            <w:hideMark/>
          </w:tcPr>
          <w:p w14:paraId="11F6B914" w14:textId="77777777" w:rsidR="00AB56BD" w:rsidRPr="007278C6" w:rsidRDefault="00AB56BD" w:rsidP="00A16817">
            <w:r w:rsidRPr="007278C6">
              <w:t>vnt.</w:t>
            </w:r>
          </w:p>
        </w:tc>
        <w:tc>
          <w:tcPr>
            <w:tcW w:w="1849" w:type="dxa"/>
            <w:gridSpan w:val="2"/>
            <w:shd w:val="clear" w:color="auto" w:fill="auto"/>
            <w:vAlign w:val="center"/>
            <w:hideMark/>
          </w:tcPr>
          <w:p w14:paraId="4126F920" w14:textId="3FD7DEE2" w:rsidR="00AB56BD" w:rsidRPr="004E7C06" w:rsidRDefault="00AB56BD" w:rsidP="00A16817">
            <w:r w:rsidRPr="004E7C06">
              <w:t>10</w:t>
            </w:r>
          </w:p>
        </w:tc>
      </w:tr>
      <w:tr w:rsidR="00AB56BD" w:rsidRPr="007278C6" w14:paraId="7D6E2DA2" w14:textId="77777777" w:rsidTr="00A16817">
        <w:trPr>
          <w:trHeight w:val="315"/>
        </w:trPr>
        <w:tc>
          <w:tcPr>
            <w:tcW w:w="718" w:type="dxa"/>
            <w:shd w:val="clear" w:color="auto" w:fill="auto"/>
            <w:vAlign w:val="center"/>
          </w:tcPr>
          <w:p w14:paraId="4309BDB0" w14:textId="77777777" w:rsidR="00AB56BD" w:rsidRPr="007278C6" w:rsidRDefault="00AB56BD" w:rsidP="00A16817">
            <w:r w:rsidRPr="007278C6">
              <w:t>3.3</w:t>
            </w:r>
          </w:p>
        </w:tc>
        <w:tc>
          <w:tcPr>
            <w:tcW w:w="3115" w:type="dxa"/>
            <w:shd w:val="clear" w:color="auto" w:fill="auto"/>
            <w:vAlign w:val="center"/>
          </w:tcPr>
          <w:p w14:paraId="67BEE15A" w14:textId="77777777" w:rsidR="00AB56BD" w:rsidRPr="007278C6" w:rsidRDefault="00AB56BD" w:rsidP="00A16817">
            <w:r w:rsidRPr="007278C6">
              <w:t>III zona</w:t>
            </w:r>
          </w:p>
        </w:tc>
        <w:tc>
          <w:tcPr>
            <w:tcW w:w="994" w:type="dxa"/>
            <w:shd w:val="clear" w:color="auto" w:fill="auto"/>
            <w:vAlign w:val="center"/>
            <w:hideMark/>
          </w:tcPr>
          <w:p w14:paraId="20D8206D" w14:textId="77777777" w:rsidR="00AB56BD" w:rsidRPr="007278C6" w:rsidRDefault="00AB56BD" w:rsidP="00A16817">
            <w:r w:rsidRPr="007278C6">
              <w:t>vnt.</w:t>
            </w:r>
          </w:p>
        </w:tc>
        <w:tc>
          <w:tcPr>
            <w:tcW w:w="1849" w:type="dxa"/>
            <w:gridSpan w:val="2"/>
            <w:shd w:val="clear" w:color="auto" w:fill="auto"/>
            <w:vAlign w:val="center"/>
            <w:hideMark/>
          </w:tcPr>
          <w:p w14:paraId="1E60AA33" w14:textId="159D8B7C" w:rsidR="00AB56BD" w:rsidRPr="004E7C06" w:rsidRDefault="00AB56BD" w:rsidP="00A16817">
            <w:r w:rsidRPr="004E7C06">
              <w:t>5</w:t>
            </w:r>
          </w:p>
        </w:tc>
      </w:tr>
    </w:tbl>
    <w:p w14:paraId="06D98828" w14:textId="77777777" w:rsidR="004E096A" w:rsidRPr="004E096A" w:rsidRDefault="004E096A" w:rsidP="004E096A">
      <w:pPr>
        <w:spacing w:after="0" w:line="240" w:lineRule="auto"/>
        <w:rPr>
          <w:rFonts w:ascii="Times New Roman" w:eastAsia="Times New Roman" w:hAnsi="Times New Roman" w:cs="Times New Roman"/>
          <w:sz w:val="24"/>
          <w:szCs w:val="24"/>
          <w:lang w:eastAsia="lt-LT"/>
        </w:rPr>
      </w:pPr>
    </w:p>
    <w:p w14:paraId="62491403" w14:textId="77777777" w:rsidR="00AB56BD" w:rsidRDefault="00AB56BD" w:rsidP="004C5249">
      <w:pPr>
        <w:spacing w:after="0" w:line="240" w:lineRule="auto"/>
        <w:jc w:val="both"/>
        <w:rPr>
          <w:rFonts w:ascii="Times New Roman" w:eastAsia="Times New Roman" w:hAnsi="Times New Roman" w:cs="Times New Roman"/>
          <w:sz w:val="24"/>
          <w:szCs w:val="24"/>
          <w:lang w:eastAsia="lt-LT"/>
        </w:rPr>
      </w:pPr>
    </w:p>
    <w:p w14:paraId="28919ABF" w14:textId="77777777" w:rsidR="004C5249" w:rsidRPr="00B43085" w:rsidRDefault="004C5249" w:rsidP="004C5249">
      <w:pPr>
        <w:spacing w:after="0" w:line="240" w:lineRule="auto"/>
        <w:jc w:val="both"/>
        <w:rPr>
          <w:rFonts w:ascii="Times New Roman" w:eastAsia="Calibri" w:hAnsi="Times New Roman" w:cs="Times New Roman"/>
          <w:b/>
          <w:bCs/>
          <w:sz w:val="24"/>
          <w:szCs w:val="24"/>
        </w:rPr>
      </w:pPr>
      <w:r w:rsidRPr="00B43085">
        <w:rPr>
          <w:rFonts w:ascii="Times New Roman" w:eastAsia="Calibri" w:hAnsi="Times New Roman" w:cs="Times New Roman"/>
          <w:b/>
          <w:bCs/>
          <w:sz w:val="24"/>
          <w:szCs w:val="24"/>
        </w:rPr>
        <w:t xml:space="preserve">Nurodyti kiekiai yra preliminarūs. </w:t>
      </w:r>
    </w:p>
    <w:p w14:paraId="74EA5B30" w14:textId="77777777" w:rsidR="004C5249" w:rsidRPr="004C5249" w:rsidRDefault="004C5249" w:rsidP="004C5249">
      <w:pPr>
        <w:spacing w:after="0" w:line="240" w:lineRule="auto"/>
        <w:rPr>
          <w:rFonts w:ascii="Times New Roman" w:eastAsia="Times New Roman" w:hAnsi="Times New Roman" w:cs="Times New Roman"/>
          <w:sz w:val="24"/>
          <w:szCs w:val="24"/>
          <w:lang w:eastAsia="lt-LT"/>
        </w:rPr>
      </w:pPr>
    </w:p>
    <w:p w14:paraId="5DB93D6B" w14:textId="77777777" w:rsidR="004C5249" w:rsidRPr="004C5249" w:rsidRDefault="004C5249" w:rsidP="004C5249">
      <w:pPr>
        <w:spacing w:after="0" w:line="240" w:lineRule="auto"/>
        <w:rPr>
          <w:rFonts w:ascii="Times New Roman" w:eastAsia="Times New Roman" w:hAnsi="Times New Roman" w:cs="Times New Roman"/>
          <w:sz w:val="24"/>
          <w:szCs w:val="24"/>
          <w:lang w:eastAsia="lt-LT"/>
        </w:rPr>
      </w:pPr>
    </w:p>
    <w:p w14:paraId="09F23632" w14:textId="16468581" w:rsidR="00E65B71" w:rsidRPr="00135032" w:rsidRDefault="004C5249" w:rsidP="00E65B71">
      <w:pPr>
        <w:spacing w:line="276" w:lineRule="auto"/>
        <w:ind w:left="284"/>
        <w:jc w:val="both"/>
        <w:rPr>
          <w:rFonts w:ascii="Times New Roman" w:hAnsi="Times New Roman" w:cs="Times New Roman"/>
          <w:sz w:val="24"/>
          <w:szCs w:val="24"/>
          <w:lang w:eastAsia="lt-LT"/>
        </w:rPr>
      </w:pPr>
      <w:r w:rsidRPr="004C5249">
        <w:rPr>
          <w:rFonts w:ascii="Times New Roman" w:eastAsia="Times New Roman" w:hAnsi="Times New Roman" w:cs="Times New Roman"/>
          <w:i/>
          <w:sz w:val="24"/>
          <w:szCs w:val="24"/>
          <w:vertAlign w:val="superscript"/>
          <w:lang w:eastAsia="lt-LT"/>
        </w:rPr>
        <w:t>1</w:t>
      </w:r>
      <w:r w:rsidRPr="004C5249">
        <w:rPr>
          <w:rFonts w:ascii="Times New Roman" w:eastAsia="Times New Roman" w:hAnsi="Times New Roman" w:cs="Times New Roman"/>
          <w:i/>
          <w:sz w:val="24"/>
          <w:szCs w:val="24"/>
          <w:lang w:eastAsia="lt-LT"/>
        </w:rPr>
        <w:t xml:space="preserve"> </w:t>
      </w:r>
      <w:r w:rsidR="00E65B71">
        <w:rPr>
          <w:rFonts w:ascii="Times New Roman" w:eastAsia="Times New Roman" w:hAnsi="Times New Roman" w:cs="Times New Roman"/>
          <w:i/>
          <w:sz w:val="24"/>
          <w:szCs w:val="24"/>
          <w:lang w:eastAsia="lt-LT"/>
        </w:rPr>
        <w:t xml:space="preserve">Laiškas - </w:t>
      </w:r>
      <w:r w:rsidR="00E65B71">
        <w:rPr>
          <w:rFonts w:ascii="Times New Roman" w:hAnsi="Times New Roman" w:cs="Times New Roman"/>
          <w:sz w:val="24"/>
          <w:szCs w:val="24"/>
          <w:lang w:eastAsia="lt-LT"/>
        </w:rPr>
        <w:t>d</w:t>
      </w:r>
      <w:r w:rsidR="00E65B71" w:rsidRPr="00135032">
        <w:rPr>
          <w:rFonts w:ascii="Times New Roman" w:hAnsi="Times New Roman" w:cs="Times New Roman"/>
          <w:sz w:val="24"/>
          <w:szCs w:val="24"/>
          <w:lang w:eastAsia="lt-LT"/>
        </w:rPr>
        <w:t>idžiausi galimi matmenys: ilgis – 22,9 cm, plotis – 16,2 cm (C5 formatas), aukštis – 0,5 cm. Paklaida 2 mm</w:t>
      </w:r>
    </w:p>
    <w:p w14:paraId="26760AD0" w14:textId="2C15D3EA" w:rsidR="004C5249" w:rsidRPr="004C5249" w:rsidRDefault="004C5249" w:rsidP="004C5249">
      <w:pPr>
        <w:spacing w:after="0" w:line="240" w:lineRule="auto"/>
        <w:rPr>
          <w:rFonts w:ascii="Times New Roman" w:eastAsia="Times New Roman" w:hAnsi="Times New Roman" w:cs="Times New Roman"/>
          <w:i/>
          <w:sz w:val="24"/>
          <w:szCs w:val="24"/>
          <w:lang w:eastAsia="lt-LT"/>
        </w:rPr>
      </w:pPr>
    </w:p>
    <w:p w14:paraId="4EA62615" w14:textId="77777777" w:rsidR="00F14A10" w:rsidRPr="004C5249" w:rsidRDefault="00F14A10" w:rsidP="004C5249">
      <w:pPr>
        <w:rPr>
          <w:rFonts w:ascii="Times New Roman" w:hAnsi="Times New Roman" w:cs="Times New Roman"/>
          <w:sz w:val="24"/>
          <w:szCs w:val="24"/>
        </w:rPr>
      </w:pPr>
    </w:p>
    <w:sectPr w:rsidR="00F14A10" w:rsidRPr="004C5249" w:rsidSect="005A3F4B">
      <w:footerReference w:type="default" r:id="rId7"/>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56F55" w14:textId="77777777" w:rsidR="009C4FB5" w:rsidRDefault="009C4FB5" w:rsidP="004C5249">
      <w:pPr>
        <w:spacing w:after="0" w:line="240" w:lineRule="auto"/>
      </w:pPr>
      <w:r>
        <w:separator/>
      </w:r>
    </w:p>
  </w:endnote>
  <w:endnote w:type="continuationSeparator" w:id="0">
    <w:p w14:paraId="42EE8D23" w14:textId="77777777" w:rsidR="009C4FB5" w:rsidRDefault="009C4FB5" w:rsidP="004C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528188"/>
      <w:docPartObj>
        <w:docPartGallery w:val="Page Numbers (Bottom of Page)"/>
        <w:docPartUnique/>
      </w:docPartObj>
    </w:sdtPr>
    <w:sdtEndPr/>
    <w:sdtContent>
      <w:p w14:paraId="1B636473" w14:textId="77777777" w:rsidR="004C5249" w:rsidRDefault="004C5249">
        <w:pPr>
          <w:pStyle w:val="Porat"/>
          <w:jc w:val="center"/>
        </w:pPr>
        <w:r>
          <w:fldChar w:fldCharType="begin"/>
        </w:r>
        <w:r>
          <w:instrText>PAGE   \* MERGEFORMAT</w:instrText>
        </w:r>
        <w:r>
          <w:fldChar w:fldCharType="separate"/>
        </w:r>
        <w:r w:rsidR="004B5B9D">
          <w:rPr>
            <w:noProof/>
          </w:rPr>
          <w:t>1</w:t>
        </w:r>
        <w:r>
          <w:fldChar w:fldCharType="end"/>
        </w:r>
      </w:p>
    </w:sdtContent>
  </w:sdt>
  <w:p w14:paraId="4F115BE7" w14:textId="77777777" w:rsidR="004C5249" w:rsidRDefault="004C52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00568" w14:textId="77777777" w:rsidR="009C4FB5" w:rsidRDefault="009C4FB5" w:rsidP="004C5249">
      <w:pPr>
        <w:spacing w:after="0" w:line="240" w:lineRule="auto"/>
      </w:pPr>
      <w:r>
        <w:separator/>
      </w:r>
    </w:p>
  </w:footnote>
  <w:footnote w:type="continuationSeparator" w:id="0">
    <w:p w14:paraId="287412F5" w14:textId="77777777" w:rsidR="009C4FB5" w:rsidRDefault="009C4FB5" w:rsidP="004C52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49"/>
    <w:rsid w:val="00006615"/>
    <w:rsid w:val="0002730C"/>
    <w:rsid w:val="000778D2"/>
    <w:rsid w:val="00157A7D"/>
    <w:rsid w:val="001A5A82"/>
    <w:rsid w:val="001E280A"/>
    <w:rsid w:val="00276CE6"/>
    <w:rsid w:val="00282976"/>
    <w:rsid w:val="003519E8"/>
    <w:rsid w:val="00403753"/>
    <w:rsid w:val="00422A36"/>
    <w:rsid w:val="00446628"/>
    <w:rsid w:val="004B5B9D"/>
    <w:rsid w:val="004C5249"/>
    <w:rsid w:val="004D27B0"/>
    <w:rsid w:val="004E096A"/>
    <w:rsid w:val="004E7C06"/>
    <w:rsid w:val="005A3F4B"/>
    <w:rsid w:val="005D3643"/>
    <w:rsid w:val="005E2ECC"/>
    <w:rsid w:val="0072456F"/>
    <w:rsid w:val="00811F90"/>
    <w:rsid w:val="00831DA8"/>
    <w:rsid w:val="00852D05"/>
    <w:rsid w:val="008F1655"/>
    <w:rsid w:val="009C4FB5"/>
    <w:rsid w:val="009D770F"/>
    <w:rsid w:val="009E0E1F"/>
    <w:rsid w:val="00AB56BD"/>
    <w:rsid w:val="00AC51DF"/>
    <w:rsid w:val="00B825FE"/>
    <w:rsid w:val="00C00CB9"/>
    <w:rsid w:val="00C35F86"/>
    <w:rsid w:val="00C95A93"/>
    <w:rsid w:val="00CC3EF8"/>
    <w:rsid w:val="00DD041D"/>
    <w:rsid w:val="00E13DB0"/>
    <w:rsid w:val="00E65B71"/>
    <w:rsid w:val="00E86008"/>
    <w:rsid w:val="00E94D18"/>
    <w:rsid w:val="00F11746"/>
    <w:rsid w:val="00F14189"/>
    <w:rsid w:val="00F1469E"/>
    <w:rsid w:val="00F14A10"/>
    <w:rsid w:val="00FF4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262A"/>
  <w15:chartTrackingRefBased/>
  <w15:docId w15:val="{929AFC81-3960-4D19-B2CD-9AF1731C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C52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5249"/>
  </w:style>
  <w:style w:type="paragraph" w:styleId="Porat">
    <w:name w:val="footer"/>
    <w:basedOn w:val="prastasis"/>
    <w:link w:val="PoratDiagrama"/>
    <w:uiPriority w:val="99"/>
    <w:unhideWhenUsed/>
    <w:rsid w:val="004C52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5249"/>
  </w:style>
  <w:style w:type="paragraph" w:styleId="Betarp">
    <w:name w:val="No Spacing"/>
    <w:uiPriority w:val="1"/>
    <w:qFormat/>
    <w:rsid w:val="00AB56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78F3-B74B-48B5-8C80-A7965DEB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1162</Words>
  <Characters>6627</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Milda Laurinaitienė</cp:lastModifiedBy>
  <cp:revision>25</cp:revision>
  <dcterms:created xsi:type="dcterms:W3CDTF">2021-11-17T09:39:00Z</dcterms:created>
  <dcterms:modified xsi:type="dcterms:W3CDTF">2024-12-05T12:51:00Z</dcterms:modified>
</cp:coreProperties>
</file>