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65E43625"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CB2C26">
        <w:rPr>
          <w:rFonts w:asciiTheme="minorHAnsi" w:eastAsia="Calibri" w:hAnsiTheme="minorHAnsi" w:cstheme="minorHAnsi"/>
          <w:b/>
        </w:rPr>
        <w:t>.</w:t>
      </w:r>
      <w:r w:rsidR="001C38FF">
        <w:rPr>
          <w:rFonts w:asciiTheme="minorHAnsi" w:eastAsia="Calibri" w:hAnsiTheme="minorHAnsi" w:cstheme="minorHAnsi"/>
          <w:b/>
        </w:rPr>
        <w:t>2</w:t>
      </w:r>
      <w:r w:rsidRPr="006E3DFF">
        <w:rPr>
          <w:rFonts w:asciiTheme="minorHAnsi" w:eastAsia="Calibri" w:hAnsiTheme="minorHAnsi" w:cstheme="minorHAnsi"/>
          <w:b/>
        </w:rPr>
        <w:t xml:space="preserve"> priedas „Pasiūlymo forma</w:t>
      </w:r>
      <w:r w:rsidR="00CB2C26">
        <w:rPr>
          <w:rFonts w:asciiTheme="minorHAnsi" w:eastAsia="Calibri" w:hAnsiTheme="minorHAnsi" w:cstheme="minorHAnsi"/>
          <w:b/>
        </w:rPr>
        <w:t xml:space="preserve"> </w:t>
      </w:r>
      <w:r w:rsidR="001C38FF">
        <w:rPr>
          <w:rFonts w:asciiTheme="minorHAnsi" w:eastAsia="Calibri" w:hAnsiTheme="minorHAnsi" w:cstheme="minorHAnsi"/>
          <w:b/>
        </w:rPr>
        <w:t>I</w:t>
      </w:r>
      <w:r w:rsidR="00CB2C26">
        <w:rPr>
          <w:rFonts w:asciiTheme="minorHAnsi" w:eastAsia="Calibri" w:hAnsiTheme="minorHAnsi" w:cstheme="minorHAnsi"/>
          <w:b/>
        </w:rPr>
        <w:t>I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DAE5CFE" w14:textId="77777777" w:rsidR="00CB2C26" w:rsidRPr="002624CF" w:rsidRDefault="008B6454" w:rsidP="00CB2C26">
      <w:pPr>
        <w:shd w:val="clear" w:color="auto" w:fill="FFFFFF"/>
        <w:jc w:val="center"/>
        <w:rPr>
          <w:color w:val="000000"/>
        </w:rPr>
      </w:pPr>
      <w:r w:rsidRPr="00FA29F0">
        <w:rPr>
          <w:rFonts w:cstheme="minorHAnsi"/>
          <w:b/>
          <w:bCs/>
          <w:sz w:val="28"/>
          <w:szCs w:val="28"/>
        </w:rPr>
        <w:t>„</w:t>
      </w:r>
      <w:r w:rsidR="00CB2C26" w:rsidRPr="0075743C">
        <w:rPr>
          <w:color w:val="000000"/>
        </w:rPr>
        <w:t>PIRKIMO „</w:t>
      </w:r>
      <w:r w:rsidR="00CB2C26" w:rsidRPr="00BC0AF8">
        <w:rPr>
          <w:color w:val="000000"/>
        </w:rPr>
        <w:t xml:space="preserve">Baldai </w:t>
      </w:r>
      <w:r w:rsidR="00CB2C26">
        <w:rPr>
          <w:color w:val="000000"/>
        </w:rPr>
        <w:t>bendrabučiams</w:t>
      </w:r>
      <w:r w:rsidR="00CB2C26" w:rsidRPr="0075743C">
        <w:rPr>
          <w:color w:val="000000"/>
        </w:rPr>
        <w:t xml:space="preserve">“  </w:t>
      </w:r>
    </w:p>
    <w:p w14:paraId="05327669" w14:textId="7EFE1449" w:rsidR="00CB2C26" w:rsidRPr="00B3153E" w:rsidRDefault="00CB2C26" w:rsidP="00CB2C26">
      <w:pPr>
        <w:shd w:val="clear" w:color="auto" w:fill="FFFFFF"/>
        <w:jc w:val="center"/>
        <w:rPr>
          <w:b/>
          <w:color w:val="000000"/>
          <w:u w:val="single"/>
        </w:rPr>
      </w:pPr>
      <w:r w:rsidRPr="00B3153E">
        <w:rPr>
          <w:b/>
          <w:color w:val="000000"/>
          <w:u w:val="single"/>
        </w:rPr>
        <w:t>I</w:t>
      </w:r>
      <w:r w:rsidR="001C38FF">
        <w:rPr>
          <w:b/>
          <w:color w:val="000000"/>
          <w:u w:val="single"/>
        </w:rPr>
        <w:t>I</w:t>
      </w:r>
      <w:r w:rsidRPr="00B3153E">
        <w:rPr>
          <w:b/>
          <w:color w:val="000000"/>
          <w:u w:val="single"/>
        </w:rPr>
        <w:t xml:space="preserve"> PIRKIMO DALIS</w:t>
      </w:r>
    </w:p>
    <w:p w14:paraId="781BD809" w14:textId="4DF189F6" w:rsidR="008B6454" w:rsidRPr="00280938" w:rsidRDefault="00CB2C26" w:rsidP="00A362ED">
      <w:pPr>
        <w:jc w:val="center"/>
        <w:rPr>
          <w:rFonts w:cstheme="minorHAnsi"/>
          <w:b/>
          <w:sz w:val="28"/>
          <w:szCs w:val="28"/>
        </w:rPr>
      </w:pPr>
      <w:r>
        <w:rPr>
          <w:b/>
          <w:u w:val="single"/>
        </w:rPr>
        <w:t xml:space="preserve">„ </w:t>
      </w:r>
      <w:r w:rsidR="001C38FF">
        <w:rPr>
          <w:b/>
          <w:u w:val="single"/>
        </w:rPr>
        <w:t>SĖDIMIEJI BALDAI</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15A16796" w:rsidR="00AF2FDD" w:rsidRPr="0045180C"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ipersaitas"/>
            <w:sz w:val="22"/>
            <w:szCs w:val="22"/>
          </w:rPr>
          <w:t>lentel</w:t>
        </w:r>
      </w:hyperlink>
      <w:r w:rsidR="00EC3336">
        <w:rPr>
          <w:rStyle w:val="Hipersaitas"/>
          <w:sz w:val="22"/>
          <w:szCs w:val="22"/>
        </w:rPr>
        <w:t>ę</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689"/>
        <w:gridCol w:w="3974"/>
        <w:gridCol w:w="1042"/>
        <w:gridCol w:w="1410"/>
        <w:gridCol w:w="1353"/>
        <w:gridCol w:w="1161"/>
      </w:tblGrid>
      <w:tr w:rsidR="001C38FF" w:rsidRPr="00445037" w14:paraId="34605629" w14:textId="7A21685C" w:rsidTr="001C38FF">
        <w:tc>
          <w:tcPr>
            <w:tcW w:w="689" w:type="dxa"/>
          </w:tcPr>
          <w:p w14:paraId="6C0FAFBE" w14:textId="77777777" w:rsidR="001C38FF" w:rsidRPr="00B02141" w:rsidRDefault="001C38FF"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3974" w:type="dxa"/>
          </w:tcPr>
          <w:p w14:paraId="30D60C74" w14:textId="77777777" w:rsidR="001C38FF" w:rsidRPr="00445037" w:rsidRDefault="001C38FF"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042" w:type="dxa"/>
          </w:tcPr>
          <w:p w14:paraId="4109F5D4" w14:textId="0F2060B9" w:rsidR="001C38FF" w:rsidRPr="004D76E4" w:rsidRDefault="001C38FF"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410" w:type="dxa"/>
          </w:tcPr>
          <w:p w14:paraId="5F11BD0D" w14:textId="77777777" w:rsidR="001C38FF" w:rsidRPr="004D76E4" w:rsidRDefault="001C38FF"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1C38FF" w:rsidRPr="004D76E4" w:rsidRDefault="001C38FF" w:rsidP="00EC3336">
            <w:pPr>
              <w:tabs>
                <w:tab w:val="left" w:pos="567"/>
              </w:tabs>
              <w:spacing w:before="60" w:after="60"/>
              <w:contextualSpacing/>
              <w:rPr>
                <w:rFonts w:eastAsia="Calibri"/>
                <w:b/>
                <w:sz w:val="22"/>
                <w:szCs w:val="22"/>
                <w:lang w:eastAsia="en-US"/>
              </w:rPr>
            </w:pPr>
          </w:p>
        </w:tc>
        <w:tc>
          <w:tcPr>
            <w:tcW w:w="1353" w:type="dxa"/>
          </w:tcPr>
          <w:p w14:paraId="08B1E6E4" w14:textId="4BCA707D" w:rsidR="001C38FF" w:rsidRPr="004D76E4" w:rsidRDefault="001C38FF" w:rsidP="00EC3336">
            <w:pPr>
              <w:tabs>
                <w:tab w:val="left" w:pos="567"/>
              </w:tabs>
              <w:spacing w:before="60" w:after="60"/>
              <w:contextualSpacing/>
              <w:rPr>
                <w:rFonts w:eastAsia="Calibri"/>
                <w:b/>
                <w:sz w:val="22"/>
                <w:szCs w:val="22"/>
                <w:lang w:eastAsia="en-US"/>
              </w:rPr>
            </w:pPr>
            <w:r w:rsidRPr="00710432">
              <w:rPr>
                <w:b/>
                <w:bCs/>
                <w:i/>
                <w:iCs/>
                <w:color w:val="000000"/>
              </w:rPr>
              <w:t>Vieneto kaina (įkainis) EUR (be PVM)</w:t>
            </w:r>
          </w:p>
        </w:tc>
        <w:tc>
          <w:tcPr>
            <w:tcW w:w="1161" w:type="dxa"/>
          </w:tcPr>
          <w:p w14:paraId="6EAD7A18" w14:textId="78F26E99" w:rsidR="001C38FF" w:rsidRPr="00710432" w:rsidRDefault="001C38FF" w:rsidP="00EC3336">
            <w:pPr>
              <w:tabs>
                <w:tab w:val="left" w:pos="567"/>
              </w:tabs>
              <w:spacing w:before="60" w:after="60"/>
              <w:contextualSpacing/>
              <w:rPr>
                <w:b/>
                <w:bCs/>
                <w:i/>
                <w:iCs/>
                <w:color w:val="000000"/>
              </w:rPr>
            </w:pPr>
            <w:r>
              <w:rPr>
                <w:b/>
                <w:bCs/>
                <w:i/>
                <w:iCs/>
                <w:color w:val="000000"/>
              </w:rPr>
              <w:t xml:space="preserve">Viso kaina </w:t>
            </w:r>
            <w:r w:rsidRPr="00710432">
              <w:rPr>
                <w:b/>
                <w:bCs/>
                <w:i/>
                <w:iCs/>
                <w:color w:val="000000"/>
              </w:rPr>
              <w:t>EUR (be PVM)</w:t>
            </w:r>
          </w:p>
        </w:tc>
      </w:tr>
      <w:tr w:rsidR="001C38FF" w:rsidRPr="00445037" w14:paraId="197B6314" w14:textId="02E4FDD2" w:rsidTr="001C38FF">
        <w:trPr>
          <w:trHeight w:val="310"/>
        </w:trPr>
        <w:tc>
          <w:tcPr>
            <w:tcW w:w="689" w:type="dxa"/>
            <w:vAlign w:val="center"/>
          </w:tcPr>
          <w:p w14:paraId="1A58D3C7" w14:textId="77777777" w:rsidR="001C38FF" w:rsidRPr="00964B05" w:rsidRDefault="001C38FF" w:rsidP="00EC3336">
            <w:pPr>
              <w:tabs>
                <w:tab w:val="left" w:pos="567"/>
              </w:tabs>
              <w:spacing w:before="60" w:after="60"/>
              <w:contextualSpacing/>
              <w:rPr>
                <w:bCs/>
                <w:sz w:val="22"/>
                <w:szCs w:val="22"/>
              </w:rPr>
            </w:pPr>
            <w:r w:rsidRPr="00964B05">
              <w:rPr>
                <w:bCs/>
                <w:sz w:val="22"/>
                <w:szCs w:val="22"/>
              </w:rPr>
              <w:t>1</w:t>
            </w:r>
          </w:p>
        </w:tc>
        <w:tc>
          <w:tcPr>
            <w:tcW w:w="3974" w:type="dxa"/>
            <w:tcBorders>
              <w:top w:val="single" w:sz="4" w:space="0" w:color="auto"/>
              <w:left w:val="single" w:sz="4" w:space="0" w:color="auto"/>
              <w:bottom w:val="single" w:sz="4" w:space="0" w:color="auto"/>
            </w:tcBorders>
            <w:vAlign w:val="center"/>
          </w:tcPr>
          <w:p w14:paraId="5CC1299F" w14:textId="43809C86" w:rsidR="001C38FF" w:rsidRPr="00B04A85" w:rsidRDefault="001C38FF" w:rsidP="00E910DB">
            <w:r>
              <w:t>„Minkšta kėdė“</w:t>
            </w:r>
          </w:p>
        </w:tc>
        <w:tc>
          <w:tcPr>
            <w:tcW w:w="1042" w:type="dxa"/>
          </w:tcPr>
          <w:p w14:paraId="6FFBC524" w14:textId="4B71B2C0" w:rsidR="001C38FF" w:rsidRPr="004D76E4" w:rsidRDefault="001C38FF" w:rsidP="00EC3336">
            <w:pPr>
              <w:tabs>
                <w:tab w:val="left" w:pos="567"/>
              </w:tabs>
              <w:spacing w:before="60" w:after="60"/>
              <w:contextualSpacing/>
              <w:rPr>
                <w:bCs/>
                <w:sz w:val="22"/>
                <w:szCs w:val="22"/>
              </w:rPr>
            </w:pPr>
            <w:r>
              <w:rPr>
                <w:bCs/>
                <w:sz w:val="22"/>
                <w:szCs w:val="22"/>
              </w:rPr>
              <w:t>Vnt.</w:t>
            </w:r>
          </w:p>
        </w:tc>
        <w:tc>
          <w:tcPr>
            <w:tcW w:w="1410" w:type="dxa"/>
          </w:tcPr>
          <w:p w14:paraId="6FCCA8FA" w14:textId="45968A9A" w:rsidR="001C38FF" w:rsidRPr="004D76E4" w:rsidRDefault="001C38FF" w:rsidP="00EC3336">
            <w:pPr>
              <w:tabs>
                <w:tab w:val="left" w:pos="567"/>
              </w:tabs>
              <w:spacing w:before="60" w:after="60"/>
              <w:contextualSpacing/>
              <w:rPr>
                <w:bCs/>
                <w:sz w:val="22"/>
                <w:szCs w:val="22"/>
              </w:rPr>
            </w:pPr>
            <w:r w:rsidRPr="004D76E4">
              <w:rPr>
                <w:bCs/>
                <w:sz w:val="22"/>
                <w:szCs w:val="22"/>
              </w:rPr>
              <w:t xml:space="preserve"> </w:t>
            </w:r>
            <w:r>
              <w:rPr>
                <w:bCs/>
                <w:sz w:val="22"/>
                <w:szCs w:val="22"/>
              </w:rPr>
              <w:t>1000</w:t>
            </w:r>
          </w:p>
        </w:tc>
        <w:tc>
          <w:tcPr>
            <w:tcW w:w="1353" w:type="dxa"/>
          </w:tcPr>
          <w:p w14:paraId="1AC83E90" w14:textId="77777777" w:rsidR="001C38FF" w:rsidRPr="004D76E4" w:rsidRDefault="001C38FF" w:rsidP="00EC3336">
            <w:pPr>
              <w:tabs>
                <w:tab w:val="left" w:pos="567"/>
              </w:tabs>
              <w:spacing w:before="60" w:after="60"/>
              <w:contextualSpacing/>
              <w:rPr>
                <w:bCs/>
                <w:sz w:val="22"/>
                <w:szCs w:val="22"/>
              </w:rPr>
            </w:pPr>
          </w:p>
        </w:tc>
        <w:tc>
          <w:tcPr>
            <w:tcW w:w="1161" w:type="dxa"/>
          </w:tcPr>
          <w:p w14:paraId="25EA228E" w14:textId="77777777" w:rsidR="001C38FF" w:rsidRPr="004D76E4" w:rsidRDefault="001C38FF" w:rsidP="00EC3336">
            <w:pPr>
              <w:tabs>
                <w:tab w:val="left" w:pos="567"/>
              </w:tabs>
              <w:spacing w:before="60" w:after="60"/>
              <w:contextualSpacing/>
              <w:rPr>
                <w:bCs/>
                <w:sz w:val="22"/>
                <w:szCs w:val="22"/>
              </w:rPr>
            </w:pPr>
          </w:p>
        </w:tc>
      </w:tr>
      <w:tr w:rsidR="001C38FF" w:rsidRPr="00445037" w14:paraId="59215EDE" w14:textId="5DAB61CA" w:rsidTr="00CC7B23">
        <w:trPr>
          <w:trHeight w:val="310"/>
        </w:trPr>
        <w:tc>
          <w:tcPr>
            <w:tcW w:w="8468" w:type="dxa"/>
            <w:gridSpan w:val="5"/>
          </w:tcPr>
          <w:p w14:paraId="529AF514" w14:textId="7EA1D02E" w:rsidR="001C38FF" w:rsidRPr="00445037" w:rsidRDefault="001C38FF" w:rsidP="001C38FF">
            <w:pPr>
              <w:tabs>
                <w:tab w:val="left" w:pos="567"/>
              </w:tabs>
              <w:spacing w:before="60" w:after="60"/>
              <w:contextualSpacing/>
              <w:jc w:val="right"/>
              <w:rPr>
                <w:sz w:val="22"/>
                <w:szCs w:val="22"/>
              </w:rPr>
            </w:pPr>
            <w:bookmarkStart w:id="8" w:name="_GoBack"/>
            <w:bookmarkEnd w:id="8"/>
            <w:r>
              <w:rPr>
                <w:sz w:val="22"/>
                <w:szCs w:val="22"/>
              </w:rPr>
              <w:t>Iš viso p</w:t>
            </w:r>
            <w:r w:rsidRPr="00445037">
              <w:rPr>
                <w:sz w:val="22"/>
                <w:szCs w:val="22"/>
              </w:rPr>
              <w:t xml:space="preserve">asiūlymo kaina Eur </w:t>
            </w:r>
            <w:r>
              <w:rPr>
                <w:sz w:val="22"/>
                <w:szCs w:val="22"/>
              </w:rPr>
              <w:t>be</w:t>
            </w:r>
            <w:r w:rsidRPr="00445037">
              <w:rPr>
                <w:sz w:val="22"/>
                <w:szCs w:val="22"/>
              </w:rPr>
              <w:t xml:space="preserve"> PVM</w:t>
            </w:r>
          </w:p>
        </w:tc>
        <w:tc>
          <w:tcPr>
            <w:tcW w:w="1161" w:type="dxa"/>
          </w:tcPr>
          <w:p w14:paraId="12D3751A" w14:textId="77777777" w:rsidR="001C38FF" w:rsidRPr="00445037" w:rsidRDefault="001C38FF" w:rsidP="00EC3336">
            <w:pPr>
              <w:tabs>
                <w:tab w:val="left" w:pos="567"/>
              </w:tabs>
              <w:spacing w:before="60" w:after="60"/>
              <w:contextualSpacing/>
              <w:rPr>
                <w:sz w:val="22"/>
                <w:szCs w:val="22"/>
              </w:rPr>
            </w:pPr>
          </w:p>
        </w:tc>
      </w:tr>
      <w:tr w:rsidR="001C38FF" w:rsidRPr="00445037" w14:paraId="01C5DC1C" w14:textId="4A4D9408" w:rsidTr="00B50596">
        <w:trPr>
          <w:trHeight w:val="310"/>
        </w:trPr>
        <w:tc>
          <w:tcPr>
            <w:tcW w:w="8468" w:type="dxa"/>
            <w:gridSpan w:val="5"/>
          </w:tcPr>
          <w:p w14:paraId="5BD8B4FC" w14:textId="23CA4C89" w:rsidR="001C38FF" w:rsidRPr="00964B05" w:rsidRDefault="001C38FF" w:rsidP="001C38FF">
            <w:pPr>
              <w:tabs>
                <w:tab w:val="left" w:pos="567"/>
              </w:tabs>
              <w:spacing w:before="60" w:after="60"/>
              <w:contextualSpacing/>
              <w:jc w:val="right"/>
              <w:rPr>
                <w:b/>
                <w:sz w:val="20"/>
                <w:szCs w:val="20"/>
              </w:rPr>
            </w:pPr>
            <w:r w:rsidRPr="00964B05">
              <w:t>PVM* dydis, %</w:t>
            </w:r>
          </w:p>
        </w:tc>
        <w:tc>
          <w:tcPr>
            <w:tcW w:w="1161" w:type="dxa"/>
          </w:tcPr>
          <w:p w14:paraId="1D34D6BE" w14:textId="77777777" w:rsidR="001C38FF" w:rsidRPr="00964B05" w:rsidRDefault="001C38FF" w:rsidP="00EC3336">
            <w:pPr>
              <w:tabs>
                <w:tab w:val="left" w:pos="567"/>
              </w:tabs>
              <w:spacing w:before="60" w:after="60"/>
              <w:contextualSpacing/>
              <w:rPr>
                <w:b/>
                <w:sz w:val="20"/>
                <w:szCs w:val="20"/>
              </w:rPr>
            </w:pPr>
          </w:p>
        </w:tc>
      </w:tr>
      <w:tr w:rsidR="001C38FF" w:rsidRPr="00445037" w14:paraId="775E3013" w14:textId="3490978E" w:rsidTr="005958B7">
        <w:trPr>
          <w:trHeight w:val="310"/>
        </w:trPr>
        <w:tc>
          <w:tcPr>
            <w:tcW w:w="8468" w:type="dxa"/>
            <w:gridSpan w:val="5"/>
          </w:tcPr>
          <w:p w14:paraId="217C6D31" w14:textId="647E28F8" w:rsidR="001C38FF" w:rsidRPr="00445037" w:rsidRDefault="001C38FF" w:rsidP="001C38FF">
            <w:pPr>
              <w:tabs>
                <w:tab w:val="left" w:pos="567"/>
              </w:tabs>
              <w:spacing w:before="60" w:after="60"/>
              <w:contextualSpacing/>
              <w:jc w:val="right"/>
              <w:rPr>
                <w:sz w:val="22"/>
                <w:szCs w:val="22"/>
              </w:rPr>
            </w:pPr>
            <w:r>
              <w:rPr>
                <w:sz w:val="22"/>
                <w:szCs w:val="22"/>
              </w:rPr>
              <w:t>PVM suma, Eur</w:t>
            </w:r>
          </w:p>
        </w:tc>
        <w:tc>
          <w:tcPr>
            <w:tcW w:w="1161" w:type="dxa"/>
          </w:tcPr>
          <w:p w14:paraId="2A12E127" w14:textId="77777777" w:rsidR="001C38FF" w:rsidRPr="00445037" w:rsidRDefault="001C38FF" w:rsidP="00EC3336">
            <w:pPr>
              <w:tabs>
                <w:tab w:val="left" w:pos="567"/>
              </w:tabs>
              <w:spacing w:before="60" w:after="60"/>
              <w:contextualSpacing/>
              <w:rPr>
                <w:sz w:val="22"/>
                <w:szCs w:val="22"/>
              </w:rPr>
            </w:pPr>
          </w:p>
        </w:tc>
      </w:tr>
      <w:tr w:rsidR="001C38FF" w:rsidRPr="00445037" w14:paraId="3EFE9E61" w14:textId="771647EB" w:rsidTr="005C7889">
        <w:trPr>
          <w:trHeight w:val="310"/>
        </w:trPr>
        <w:tc>
          <w:tcPr>
            <w:tcW w:w="8468" w:type="dxa"/>
            <w:gridSpan w:val="5"/>
          </w:tcPr>
          <w:p w14:paraId="68F3FC73" w14:textId="08D2F289" w:rsidR="001C38FF" w:rsidRPr="00445037" w:rsidRDefault="001C38FF" w:rsidP="001C38FF">
            <w:pPr>
              <w:tabs>
                <w:tab w:val="left" w:pos="567"/>
              </w:tabs>
              <w:spacing w:before="60" w:after="60"/>
              <w:contextualSpacing/>
              <w:jc w:val="right"/>
              <w:rPr>
                <w:sz w:val="22"/>
                <w:szCs w:val="22"/>
              </w:rPr>
            </w:pPr>
            <w:r>
              <w:rPr>
                <w:sz w:val="22"/>
                <w:szCs w:val="22"/>
              </w:rPr>
              <w:t>Iš viso p</w:t>
            </w:r>
            <w:r w:rsidRPr="00445037">
              <w:rPr>
                <w:sz w:val="22"/>
                <w:szCs w:val="22"/>
              </w:rPr>
              <w:t xml:space="preserve">asiūlymo kaina Eur </w:t>
            </w:r>
            <w:r>
              <w:rPr>
                <w:sz w:val="22"/>
                <w:szCs w:val="22"/>
              </w:rPr>
              <w:t>su</w:t>
            </w:r>
            <w:r w:rsidRPr="00445037">
              <w:rPr>
                <w:sz w:val="22"/>
                <w:szCs w:val="22"/>
              </w:rPr>
              <w:t xml:space="preserve"> PVM</w:t>
            </w:r>
          </w:p>
        </w:tc>
        <w:tc>
          <w:tcPr>
            <w:tcW w:w="1161" w:type="dxa"/>
          </w:tcPr>
          <w:p w14:paraId="2CD20460" w14:textId="77777777" w:rsidR="001C38FF" w:rsidRPr="00445037" w:rsidRDefault="001C38FF"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7777777" w:rsidR="008E3570" w:rsidRDefault="008E3570" w:rsidP="008E3570">
      <w:pPr>
        <w:jc w:val="both"/>
        <w:rPr>
          <w:sz w:val="22"/>
          <w:szCs w:val="22"/>
        </w:rPr>
      </w:pPr>
      <w:r w:rsidRPr="0045180C">
        <w:rPr>
          <w:sz w:val="22"/>
          <w:szCs w:val="22"/>
        </w:rPr>
        <w:lastRenderedPageBreak/>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58B79734" w14:textId="77777777" w:rsidR="008E3570" w:rsidRDefault="008E3570" w:rsidP="006E3DFF">
      <w:pPr>
        <w:ind w:firstLine="567"/>
        <w:jc w:val="both"/>
        <w:rPr>
          <w:b/>
          <w:i/>
          <w:color w:val="FF0000"/>
          <w:sz w:val="22"/>
          <w:szCs w:val="22"/>
        </w:rPr>
      </w:pPr>
    </w:p>
    <w:p w14:paraId="13641DF3" w14:textId="19068FB4"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pried</w:t>
      </w:r>
      <w:r w:rsidR="006316C1">
        <w:rPr>
          <w:b/>
          <w:i/>
          <w:color w:val="FF0000"/>
          <w:sz w:val="22"/>
          <w:szCs w:val="22"/>
        </w:rPr>
        <w:t>o</w:t>
      </w:r>
      <w:r w:rsidR="00CB2C26">
        <w:rPr>
          <w:b/>
          <w:i/>
          <w:color w:val="FF0000"/>
          <w:sz w:val="22"/>
          <w:szCs w:val="22"/>
        </w:rPr>
        <w:t xml:space="preserve"> 2.</w:t>
      </w:r>
      <w:r w:rsidR="001C38FF">
        <w:rPr>
          <w:b/>
          <w:i/>
          <w:color w:val="FF0000"/>
          <w:sz w:val="22"/>
          <w:szCs w:val="22"/>
        </w:rPr>
        <w:t>2</w:t>
      </w:r>
      <w:r w:rsidR="00CB2C26">
        <w:rPr>
          <w:b/>
          <w:i/>
          <w:color w:val="FF0000"/>
          <w:sz w:val="22"/>
          <w:szCs w:val="22"/>
        </w:rPr>
        <w:t xml:space="preserve"> priedas</w:t>
      </w:r>
      <w:r w:rsidRPr="006E3DFF">
        <w:rPr>
          <w:b/>
          <w:i/>
          <w:color w:val="FF0000"/>
          <w:sz w:val="22"/>
          <w:szCs w:val="22"/>
        </w:rPr>
        <w:t xml:space="preserve">) nurodyta detalizuota lentelė privalo būti </w:t>
      </w:r>
      <w:r w:rsidR="00FA29F0">
        <w:rPr>
          <w:b/>
          <w:i/>
          <w:color w:val="FF0000"/>
          <w:sz w:val="22"/>
          <w:szCs w:val="22"/>
        </w:rPr>
        <w:t xml:space="preserve">užpildyta ir </w:t>
      </w:r>
      <w:r w:rsidRPr="006E3DFF">
        <w:rPr>
          <w:b/>
          <w:i/>
          <w:color w:val="FF0000"/>
          <w:sz w:val="22"/>
          <w:szCs w:val="22"/>
        </w:rPr>
        <w:t>pateikta kartu su pasiūlym</w:t>
      </w:r>
      <w:r w:rsidR="004B1A7D">
        <w:rPr>
          <w:b/>
          <w:i/>
          <w:color w:val="FF0000"/>
          <w:sz w:val="22"/>
          <w:szCs w:val="22"/>
        </w:rPr>
        <w:t>u, ir su įrodančiais dokumentais jei reikalaujama</w:t>
      </w:r>
      <w:r w:rsidRPr="006E3DFF">
        <w:rPr>
          <w:b/>
          <w:i/>
          <w:color w:val="FF0000"/>
          <w:sz w:val="22"/>
          <w:szCs w:val="22"/>
        </w:rPr>
        <w:t>.</w:t>
      </w:r>
    </w:p>
    <w:p w14:paraId="1DAD10A4" w14:textId="77777777" w:rsidR="006E3DFF" w:rsidRPr="004B1A7D" w:rsidRDefault="006E3DFF" w:rsidP="00AF2FDD">
      <w:pPr>
        <w:jc w:val="both"/>
        <w:rPr>
          <w:sz w:val="22"/>
          <w:szCs w:val="22"/>
        </w:rPr>
      </w:pPr>
    </w:p>
    <w:p w14:paraId="1E14C9C6" w14:textId="0DA072A2" w:rsidR="00017E6B" w:rsidRDefault="00017E6B" w:rsidP="00AF2FDD">
      <w:pPr>
        <w:jc w:val="both"/>
        <w:rPr>
          <w:sz w:val="22"/>
          <w:szCs w:val="22"/>
        </w:rPr>
      </w:pPr>
    </w:p>
    <w:p w14:paraId="18B57730" w14:textId="77777777" w:rsidR="006201CD" w:rsidRDefault="006201CD"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0E7C2F6C" w:rsidR="00AD0963" w:rsidRPr="00690010"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w:t>
      </w:r>
      <w:r w:rsidR="00CB2C26">
        <w:rPr>
          <w:sz w:val="22"/>
          <w:szCs w:val="22"/>
        </w:rPr>
        <w:t xml:space="preserve"> ir jos 2.</w:t>
      </w:r>
      <w:r w:rsidR="001C38FF">
        <w:rPr>
          <w:sz w:val="22"/>
          <w:szCs w:val="22"/>
        </w:rPr>
        <w:t>2</w:t>
      </w:r>
      <w:r w:rsidR="00CB2C26">
        <w:rPr>
          <w:sz w:val="22"/>
          <w:szCs w:val="22"/>
        </w:rPr>
        <w:t xml:space="preserve"> priedui, </w:t>
      </w:r>
      <w:r w:rsidRPr="0045180C">
        <w:rPr>
          <w:sz w:val="22"/>
          <w:szCs w:val="22"/>
        </w:rPr>
        <w:t xml:space="preserve">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a kain</w:t>
      </w:r>
      <w:r w:rsidR="00690010" w:rsidRPr="00690010">
        <w:rPr>
          <w:sz w:val="22"/>
          <w:szCs w:val="22"/>
        </w:rPr>
        <w:t>a</w:t>
      </w:r>
      <w:r w:rsidRPr="00690010">
        <w:rPr>
          <w:sz w:val="22"/>
          <w:szCs w:val="22"/>
        </w:rPr>
        <w:t xml:space="preserve">. </w:t>
      </w:r>
    </w:p>
    <w:p w14:paraId="3CEE7DDF" w14:textId="1E76A7C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EE1252">
        <w:rPr>
          <w:sz w:val="22"/>
          <w:szCs w:val="22"/>
        </w:rPr>
        <w:t>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A1A11" w14:textId="77777777" w:rsidR="009234FB" w:rsidRDefault="009234FB" w:rsidP="00D5620E">
      <w:r>
        <w:separator/>
      </w:r>
    </w:p>
  </w:endnote>
  <w:endnote w:type="continuationSeparator" w:id="0">
    <w:p w14:paraId="4B4F5C66" w14:textId="77777777" w:rsidR="009234FB" w:rsidRDefault="009234F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B413" w14:textId="77777777" w:rsidR="009234FB" w:rsidRDefault="009234FB" w:rsidP="00D5620E">
      <w:r>
        <w:separator/>
      </w:r>
    </w:p>
  </w:footnote>
  <w:footnote w:type="continuationSeparator" w:id="0">
    <w:p w14:paraId="3DC24AC4" w14:textId="77777777" w:rsidR="009234FB" w:rsidRDefault="009234F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0380"/>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416D"/>
    <w:rsid w:val="000A710E"/>
    <w:rsid w:val="000A7848"/>
    <w:rsid w:val="000B0349"/>
    <w:rsid w:val="000B04F6"/>
    <w:rsid w:val="000B719A"/>
    <w:rsid w:val="000C0B9F"/>
    <w:rsid w:val="000C17DB"/>
    <w:rsid w:val="000C5A1B"/>
    <w:rsid w:val="000C5D56"/>
    <w:rsid w:val="000D2D10"/>
    <w:rsid w:val="000D3260"/>
    <w:rsid w:val="000D4322"/>
    <w:rsid w:val="000D47AC"/>
    <w:rsid w:val="000F05DD"/>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38FF"/>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A5415"/>
    <w:rsid w:val="002B1EAE"/>
    <w:rsid w:val="002B1FAF"/>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1A7D"/>
    <w:rsid w:val="004B5331"/>
    <w:rsid w:val="004D2A66"/>
    <w:rsid w:val="004D76E4"/>
    <w:rsid w:val="004E0BCB"/>
    <w:rsid w:val="004E6D36"/>
    <w:rsid w:val="00507D8B"/>
    <w:rsid w:val="00517A39"/>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33CB"/>
    <w:rsid w:val="005E55D2"/>
    <w:rsid w:val="005F09C4"/>
    <w:rsid w:val="005F1230"/>
    <w:rsid w:val="005F6440"/>
    <w:rsid w:val="00600CBF"/>
    <w:rsid w:val="00610BC1"/>
    <w:rsid w:val="00611F16"/>
    <w:rsid w:val="006201CD"/>
    <w:rsid w:val="00624F5D"/>
    <w:rsid w:val="00626AC2"/>
    <w:rsid w:val="006316C1"/>
    <w:rsid w:val="0064305E"/>
    <w:rsid w:val="00656C02"/>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095F"/>
    <w:rsid w:val="00733D58"/>
    <w:rsid w:val="00735E5B"/>
    <w:rsid w:val="00757D21"/>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379EB"/>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234FB"/>
    <w:rsid w:val="00937EE6"/>
    <w:rsid w:val="00940552"/>
    <w:rsid w:val="00954DB7"/>
    <w:rsid w:val="00964B05"/>
    <w:rsid w:val="00966EEB"/>
    <w:rsid w:val="009709C1"/>
    <w:rsid w:val="009757CC"/>
    <w:rsid w:val="0098587F"/>
    <w:rsid w:val="00994681"/>
    <w:rsid w:val="0099755E"/>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233B"/>
    <w:rsid w:val="00A5495D"/>
    <w:rsid w:val="00A55776"/>
    <w:rsid w:val="00A568E3"/>
    <w:rsid w:val="00A707EB"/>
    <w:rsid w:val="00A7397D"/>
    <w:rsid w:val="00A74FF1"/>
    <w:rsid w:val="00A75685"/>
    <w:rsid w:val="00A80AD4"/>
    <w:rsid w:val="00A8575A"/>
    <w:rsid w:val="00A9671B"/>
    <w:rsid w:val="00AA173E"/>
    <w:rsid w:val="00AA623E"/>
    <w:rsid w:val="00AA6B9A"/>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63F74"/>
    <w:rsid w:val="00B739CC"/>
    <w:rsid w:val="00B74F37"/>
    <w:rsid w:val="00B942C6"/>
    <w:rsid w:val="00BB663A"/>
    <w:rsid w:val="00BC3820"/>
    <w:rsid w:val="00BC6C2E"/>
    <w:rsid w:val="00BD1AB2"/>
    <w:rsid w:val="00BD1EB4"/>
    <w:rsid w:val="00BD6C0B"/>
    <w:rsid w:val="00BE096C"/>
    <w:rsid w:val="00BE3C11"/>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8508D"/>
    <w:rsid w:val="00C903A6"/>
    <w:rsid w:val="00C92F6D"/>
    <w:rsid w:val="00CA555F"/>
    <w:rsid w:val="00CB2C08"/>
    <w:rsid w:val="00CB2C26"/>
    <w:rsid w:val="00CC42F3"/>
    <w:rsid w:val="00CC4689"/>
    <w:rsid w:val="00CD582E"/>
    <w:rsid w:val="00CE4142"/>
    <w:rsid w:val="00CF0EED"/>
    <w:rsid w:val="00CF2275"/>
    <w:rsid w:val="00CF2329"/>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28D2"/>
    <w:rsid w:val="00E43B3E"/>
    <w:rsid w:val="00E507D6"/>
    <w:rsid w:val="00E6380C"/>
    <w:rsid w:val="00E67E35"/>
    <w:rsid w:val="00E75179"/>
    <w:rsid w:val="00E76E44"/>
    <w:rsid w:val="00E77A50"/>
    <w:rsid w:val="00E80682"/>
    <w:rsid w:val="00E819D4"/>
    <w:rsid w:val="00E821C2"/>
    <w:rsid w:val="00E85179"/>
    <w:rsid w:val="00E910DB"/>
    <w:rsid w:val="00E933ED"/>
    <w:rsid w:val="00E95531"/>
    <w:rsid w:val="00EB4DB8"/>
    <w:rsid w:val="00EB603D"/>
    <w:rsid w:val="00EC3336"/>
    <w:rsid w:val="00ED1D0A"/>
    <w:rsid w:val="00ED7FA9"/>
    <w:rsid w:val="00EE1252"/>
    <w:rsid w:val="00EF1E19"/>
    <w:rsid w:val="00EF722D"/>
    <w:rsid w:val="00F001F6"/>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D6BFA"/>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styleId="Betarp">
    <w:name w:val="No Spacing"/>
    <w:link w:val="BetarpDiagrama"/>
    <w:uiPriority w:val="1"/>
    <w:qFormat/>
    <w:rsid w:val="00A523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523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2.xml><?xml version="1.0" encoding="utf-8"?>
<ds:datastoreItem xmlns:ds="http://schemas.openxmlformats.org/officeDocument/2006/customXml" ds:itemID="{9FB2E079-254A-4203-881D-7C1B0378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2CE2A-5A74-410C-9950-39D28531980C}">
  <ds:schemaRefs>
    <ds:schemaRef ds:uri="http://www.w3.org/XML/1998/namespace"/>
    <ds:schemaRef ds:uri="86f409af-114f-4ebd-bf8d-f5c36e6ac518"/>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40aab85e-c62c-4b67-8b73-7e58678d677a"/>
    <ds:schemaRef ds:uri="http://purl.org/dc/elements/1.1/"/>
  </ds:schemaRefs>
</ds:datastoreItem>
</file>

<file path=customXml/itemProps4.xml><?xml version="1.0" encoding="utf-8"?>
<ds:datastoreItem xmlns:ds="http://schemas.openxmlformats.org/officeDocument/2006/customXml" ds:itemID="{3D08A1E3-4953-474A-9BB9-22298EFA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5166</Words>
  <Characters>2945</Characters>
  <Application>Microsoft Office Word</Application>
  <DocSecurity>0</DocSecurity>
  <Lines>24</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Pirkimo sąlygų 6 priedas „Pasiūlymo forma“</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4</cp:revision>
  <cp:lastPrinted>2024-01-05T13:07:00Z</cp:lastPrinted>
  <dcterms:created xsi:type="dcterms:W3CDTF">2025-04-25T08:21:00Z</dcterms:created>
  <dcterms:modified xsi:type="dcterms:W3CDTF">2025-05-12T12:37:00Z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