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18"/>
        <w:gridCol w:w="1371"/>
        <w:gridCol w:w="1371"/>
        <w:gridCol w:w="1924"/>
        <w:gridCol w:w="236"/>
      </w:tblGrid>
      <w:tr w:rsidR="00664072" w:rsidRPr="00D90C1D" w14:paraId="07759F08" w14:textId="77777777" w:rsidTr="00A86C0E">
        <w:trPr>
          <w:cantSplit/>
          <w:trHeight w:val="284"/>
        </w:trPr>
        <w:tc>
          <w:tcPr>
            <w:tcW w:w="3708" w:type="dxa"/>
            <w:vMerge w:val="restart"/>
            <w:tcBorders>
              <w:top w:val="nil"/>
              <w:left w:val="nil"/>
              <w:bottom w:val="nil"/>
              <w:right w:val="nil"/>
            </w:tcBorders>
            <w:shd w:val="clear" w:color="auto" w:fill="auto"/>
          </w:tcPr>
          <w:p w14:paraId="728D12A4" w14:textId="77777777" w:rsidR="00664072" w:rsidRPr="00D90C1D" w:rsidRDefault="00DA6A87" w:rsidP="00597AAD">
            <w:pPr>
              <w:pStyle w:val="Antrats"/>
              <w:tabs>
                <w:tab w:val="left" w:pos="1296"/>
              </w:tabs>
            </w:pPr>
            <w:r w:rsidRPr="00D90C1D">
              <w:t>Tiekėjams</w:t>
            </w:r>
          </w:p>
        </w:tc>
        <w:tc>
          <w:tcPr>
            <w:tcW w:w="1218" w:type="dxa"/>
            <w:tcBorders>
              <w:top w:val="nil"/>
              <w:left w:val="nil"/>
              <w:bottom w:val="nil"/>
              <w:right w:val="nil"/>
            </w:tcBorders>
            <w:shd w:val="clear" w:color="auto" w:fill="auto"/>
          </w:tcPr>
          <w:p w14:paraId="291109DA" w14:textId="77777777" w:rsidR="00664072" w:rsidRPr="00D90C1D" w:rsidRDefault="00664072" w:rsidP="00597AAD">
            <w:pPr>
              <w:jc w:val="center"/>
            </w:pPr>
          </w:p>
        </w:tc>
        <w:tc>
          <w:tcPr>
            <w:tcW w:w="2742" w:type="dxa"/>
            <w:gridSpan w:val="2"/>
            <w:tcBorders>
              <w:top w:val="nil"/>
              <w:left w:val="nil"/>
              <w:bottom w:val="nil"/>
              <w:right w:val="nil"/>
            </w:tcBorders>
            <w:shd w:val="clear" w:color="auto" w:fill="auto"/>
          </w:tcPr>
          <w:p w14:paraId="0DB3B5CF" w14:textId="77777777" w:rsidR="00664072" w:rsidRPr="00D90C1D" w:rsidRDefault="00664072" w:rsidP="00E26393">
            <w:pPr>
              <w:jc w:val="right"/>
            </w:pPr>
            <w:r w:rsidRPr="00D90C1D">
              <w:t xml:space="preserve">        </w:t>
            </w:r>
          </w:p>
        </w:tc>
        <w:tc>
          <w:tcPr>
            <w:tcW w:w="1924" w:type="dxa"/>
            <w:tcBorders>
              <w:top w:val="nil"/>
              <w:left w:val="nil"/>
              <w:bottom w:val="nil"/>
              <w:right w:val="nil"/>
            </w:tcBorders>
            <w:shd w:val="clear" w:color="auto" w:fill="auto"/>
          </w:tcPr>
          <w:p w14:paraId="42526FDC" w14:textId="09907C13" w:rsidR="00664072" w:rsidRPr="00D90C1D" w:rsidRDefault="00E26393" w:rsidP="00E26393">
            <w:pPr>
              <w:jc w:val="right"/>
            </w:pPr>
            <w:r w:rsidRPr="000570A9">
              <w:t>202</w:t>
            </w:r>
            <w:r w:rsidR="00BE1A17" w:rsidRPr="000570A9">
              <w:t>5</w:t>
            </w:r>
            <w:r w:rsidR="00FA3681" w:rsidRPr="000570A9">
              <w:t>-0</w:t>
            </w:r>
            <w:r w:rsidR="0015018F">
              <w:t>5</w:t>
            </w:r>
            <w:r w:rsidR="00FA3681" w:rsidRPr="000570A9">
              <w:t>-</w:t>
            </w:r>
            <w:r w:rsidR="00821E9E">
              <w:t>1</w:t>
            </w:r>
            <w:r w:rsidR="006369F7">
              <w:t>9</w:t>
            </w:r>
          </w:p>
        </w:tc>
        <w:tc>
          <w:tcPr>
            <w:tcW w:w="236" w:type="dxa"/>
            <w:tcBorders>
              <w:top w:val="nil"/>
              <w:left w:val="nil"/>
              <w:bottom w:val="nil"/>
              <w:right w:val="nil"/>
            </w:tcBorders>
            <w:shd w:val="clear" w:color="auto" w:fill="auto"/>
          </w:tcPr>
          <w:p w14:paraId="6F9A2475" w14:textId="77777777" w:rsidR="00664072" w:rsidRPr="00D90C1D" w:rsidRDefault="00664072" w:rsidP="00597AAD"/>
        </w:tc>
      </w:tr>
      <w:tr w:rsidR="00664072" w:rsidRPr="00D90C1D" w14:paraId="26815455" w14:textId="77777777" w:rsidTr="00A86C0E">
        <w:trPr>
          <w:cantSplit/>
          <w:trHeight w:val="283"/>
        </w:trPr>
        <w:tc>
          <w:tcPr>
            <w:tcW w:w="3708" w:type="dxa"/>
            <w:vMerge/>
            <w:tcBorders>
              <w:top w:val="nil"/>
              <w:left w:val="nil"/>
              <w:bottom w:val="nil"/>
              <w:right w:val="nil"/>
            </w:tcBorders>
            <w:shd w:val="clear" w:color="auto" w:fill="auto"/>
            <w:vAlign w:val="center"/>
          </w:tcPr>
          <w:p w14:paraId="4662B991" w14:textId="77777777" w:rsidR="00664072" w:rsidRPr="00D90C1D" w:rsidRDefault="00664072" w:rsidP="00597AAD"/>
        </w:tc>
        <w:tc>
          <w:tcPr>
            <w:tcW w:w="1218" w:type="dxa"/>
            <w:tcBorders>
              <w:top w:val="nil"/>
              <w:left w:val="nil"/>
              <w:bottom w:val="nil"/>
              <w:right w:val="nil"/>
            </w:tcBorders>
            <w:shd w:val="clear" w:color="auto" w:fill="auto"/>
          </w:tcPr>
          <w:p w14:paraId="5475CA57" w14:textId="77777777" w:rsidR="00664072" w:rsidRPr="00D90C1D" w:rsidRDefault="00664072" w:rsidP="00597AAD">
            <w:pPr>
              <w:jc w:val="center"/>
            </w:pPr>
          </w:p>
        </w:tc>
        <w:tc>
          <w:tcPr>
            <w:tcW w:w="1371" w:type="dxa"/>
            <w:tcBorders>
              <w:top w:val="nil"/>
              <w:left w:val="nil"/>
              <w:bottom w:val="nil"/>
              <w:right w:val="nil"/>
            </w:tcBorders>
            <w:shd w:val="clear" w:color="auto" w:fill="auto"/>
          </w:tcPr>
          <w:p w14:paraId="45E03D34" w14:textId="77777777" w:rsidR="00664072" w:rsidRPr="00D90C1D" w:rsidRDefault="00664072" w:rsidP="00597AAD">
            <w:pPr>
              <w:jc w:val="right"/>
            </w:pPr>
          </w:p>
        </w:tc>
        <w:tc>
          <w:tcPr>
            <w:tcW w:w="1371" w:type="dxa"/>
            <w:tcBorders>
              <w:top w:val="nil"/>
              <w:left w:val="nil"/>
              <w:bottom w:val="nil"/>
              <w:right w:val="nil"/>
            </w:tcBorders>
            <w:shd w:val="clear" w:color="auto" w:fill="auto"/>
          </w:tcPr>
          <w:p w14:paraId="4698C650" w14:textId="77777777" w:rsidR="00664072" w:rsidRPr="00D90C1D" w:rsidRDefault="00664072" w:rsidP="00597AAD">
            <w:pPr>
              <w:jc w:val="center"/>
            </w:pPr>
          </w:p>
        </w:tc>
        <w:tc>
          <w:tcPr>
            <w:tcW w:w="1924" w:type="dxa"/>
            <w:tcBorders>
              <w:top w:val="nil"/>
              <w:left w:val="nil"/>
              <w:bottom w:val="nil"/>
              <w:right w:val="nil"/>
            </w:tcBorders>
            <w:shd w:val="clear" w:color="auto" w:fill="auto"/>
          </w:tcPr>
          <w:p w14:paraId="6DFCBD68" w14:textId="77777777" w:rsidR="00664072" w:rsidRPr="00D90C1D" w:rsidRDefault="00664072" w:rsidP="00597AAD"/>
        </w:tc>
        <w:tc>
          <w:tcPr>
            <w:tcW w:w="236" w:type="dxa"/>
            <w:tcBorders>
              <w:top w:val="nil"/>
              <w:left w:val="nil"/>
              <w:bottom w:val="nil"/>
              <w:right w:val="nil"/>
            </w:tcBorders>
            <w:shd w:val="clear" w:color="auto" w:fill="auto"/>
          </w:tcPr>
          <w:p w14:paraId="13FB3087" w14:textId="77777777" w:rsidR="00664072" w:rsidRPr="00D90C1D" w:rsidRDefault="00664072" w:rsidP="00597AAD"/>
        </w:tc>
      </w:tr>
      <w:tr w:rsidR="00664072" w:rsidRPr="00D90C1D" w14:paraId="3F543E3A" w14:textId="77777777" w:rsidTr="006369F7">
        <w:trPr>
          <w:cantSplit/>
          <w:trHeight w:val="565"/>
        </w:trPr>
        <w:tc>
          <w:tcPr>
            <w:tcW w:w="3708" w:type="dxa"/>
            <w:vMerge/>
            <w:tcBorders>
              <w:top w:val="nil"/>
              <w:left w:val="nil"/>
              <w:bottom w:val="nil"/>
              <w:right w:val="nil"/>
            </w:tcBorders>
            <w:shd w:val="clear" w:color="auto" w:fill="auto"/>
            <w:vAlign w:val="center"/>
          </w:tcPr>
          <w:p w14:paraId="4A8CF794" w14:textId="77777777" w:rsidR="00664072" w:rsidRPr="00D90C1D" w:rsidRDefault="00664072" w:rsidP="00597AAD"/>
        </w:tc>
        <w:tc>
          <w:tcPr>
            <w:tcW w:w="1218" w:type="dxa"/>
            <w:tcBorders>
              <w:top w:val="nil"/>
              <w:left w:val="nil"/>
              <w:bottom w:val="nil"/>
              <w:right w:val="nil"/>
            </w:tcBorders>
            <w:shd w:val="clear" w:color="auto" w:fill="auto"/>
          </w:tcPr>
          <w:p w14:paraId="1D02B32C" w14:textId="77777777" w:rsidR="00664072" w:rsidRPr="00D90C1D" w:rsidRDefault="00664072" w:rsidP="00597AAD">
            <w:pPr>
              <w:jc w:val="center"/>
            </w:pPr>
          </w:p>
        </w:tc>
        <w:tc>
          <w:tcPr>
            <w:tcW w:w="2742" w:type="dxa"/>
            <w:gridSpan w:val="2"/>
            <w:tcBorders>
              <w:top w:val="nil"/>
              <w:left w:val="nil"/>
              <w:bottom w:val="nil"/>
              <w:right w:val="nil"/>
            </w:tcBorders>
            <w:shd w:val="clear" w:color="auto" w:fill="auto"/>
          </w:tcPr>
          <w:p w14:paraId="0BA060A0" w14:textId="77777777" w:rsidR="00664072" w:rsidRPr="00D90C1D" w:rsidRDefault="00664072" w:rsidP="00597AAD">
            <w:pPr>
              <w:jc w:val="center"/>
            </w:pPr>
          </w:p>
        </w:tc>
        <w:tc>
          <w:tcPr>
            <w:tcW w:w="1924" w:type="dxa"/>
            <w:tcBorders>
              <w:top w:val="nil"/>
              <w:left w:val="nil"/>
              <w:bottom w:val="nil"/>
              <w:right w:val="nil"/>
            </w:tcBorders>
            <w:shd w:val="clear" w:color="auto" w:fill="auto"/>
          </w:tcPr>
          <w:p w14:paraId="22A79219" w14:textId="77777777" w:rsidR="00664072" w:rsidRPr="00D90C1D" w:rsidRDefault="00664072" w:rsidP="00597AAD">
            <w:pPr>
              <w:jc w:val="center"/>
            </w:pPr>
          </w:p>
        </w:tc>
        <w:tc>
          <w:tcPr>
            <w:tcW w:w="236" w:type="dxa"/>
            <w:tcBorders>
              <w:top w:val="nil"/>
              <w:left w:val="nil"/>
              <w:bottom w:val="nil"/>
              <w:right w:val="nil"/>
            </w:tcBorders>
            <w:shd w:val="clear" w:color="auto" w:fill="auto"/>
          </w:tcPr>
          <w:p w14:paraId="119C96DC" w14:textId="77777777" w:rsidR="00664072" w:rsidRPr="00D90C1D" w:rsidRDefault="00664072" w:rsidP="00597AAD">
            <w:pPr>
              <w:jc w:val="center"/>
            </w:pPr>
          </w:p>
        </w:tc>
      </w:tr>
      <w:tr w:rsidR="00664072" w:rsidRPr="00D90C1D" w14:paraId="530A5990" w14:textId="77777777" w:rsidTr="006369F7">
        <w:trPr>
          <w:cantSplit/>
          <w:trHeight w:val="415"/>
        </w:trPr>
        <w:tc>
          <w:tcPr>
            <w:tcW w:w="9828" w:type="dxa"/>
            <w:gridSpan w:val="6"/>
            <w:tcBorders>
              <w:top w:val="nil"/>
              <w:left w:val="nil"/>
              <w:bottom w:val="nil"/>
              <w:right w:val="nil"/>
            </w:tcBorders>
            <w:shd w:val="clear" w:color="auto" w:fill="auto"/>
          </w:tcPr>
          <w:p w14:paraId="1DE41BC7" w14:textId="21C3C99C" w:rsidR="006369F7" w:rsidRPr="00D90C1D" w:rsidRDefault="00664072" w:rsidP="006369F7">
            <w:pPr>
              <w:ind w:firstLine="37"/>
              <w:rPr>
                <w:b/>
                <w:color w:val="333333"/>
                <w:shd w:val="clear" w:color="auto" w:fill="FFFFFF"/>
              </w:rPr>
            </w:pPr>
            <w:r w:rsidRPr="00D90C1D">
              <w:rPr>
                <w:b/>
              </w:rPr>
              <w:t xml:space="preserve">DĖL </w:t>
            </w:r>
            <w:r w:rsidR="003716B4" w:rsidRPr="00D90C1D">
              <w:rPr>
                <w:b/>
                <w:color w:val="333333"/>
                <w:shd w:val="clear" w:color="auto" w:fill="FFFFFF"/>
              </w:rPr>
              <w:t>ATSAKYM</w:t>
            </w:r>
            <w:r w:rsidR="00821E9E">
              <w:rPr>
                <w:b/>
                <w:color w:val="333333"/>
                <w:shd w:val="clear" w:color="auto" w:fill="FFFFFF"/>
              </w:rPr>
              <w:t>Ų</w:t>
            </w:r>
            <w:r w:rsidR="003716B4" w:rsidRPr="00D90C1D">
              <w:rPr>
                <w:b/>
                <w:color w:val="333333"/>
                <w:shd w:val="clear" w:color="auto" w:fill="FFFFFF"/>
              </w:rPr>
              <w:t xml:space="preserve"> Į </w:t>
            </w:r>
            <w:r w:rsidR="0015018F">
              <w:rPr>
                <w:b/>
                <w:color w:val="333333"/>
                <w:shd w:val="clear" w:color="auto" w:fill="FFFFFF"/>
              </w:rPr>
              <w:t xml:space="preserve">TIEKĖJŲ PATEIKTUS </w:t>
            </w:r>
            <w:r w:rsidR="003716B4" w:rsidRPr="00D90C1D">
              <w:rPr>
                <w:b/>
                <w:color w:val="333333"/>
                <w:shd w:val="clear" w:color="auto" w:fill="FFFFFF"/>
              </w:rPr>
              <w:t>KLAUSIM</w:t>
            </w:r>
            <w:r w:rsidR="00821E9E">
              <w:rPr>
                <w:b/>
                <w:color w:val="333333"/>
                <w:shd w:val="clear" w:color="auto" w:fill="FFFFFF"/>
              </w:rPr>
              <w:t>US</w:t>
            </w:r>
          </w:p>
        </w:tc>
      </w:tr>
    </w:tbl>
    <w:p w14:paraId="489D1B30" w14:textId="62E8EEBE" w:rsidR="003716B4" w:rsidRPr="00D90C1D" w:rsidRDefault="00005F6F" w:rsidP="003716B4">
      <w:pPr>
        <w:ind w:firstLine="709"/>
        <w:jc w:val="both"/>
      </w:pPr>
      <w:r w:rsidRPr="00D90C1D">
        <w:t xml:space="preserve">Viešojo pirkimo komisija </w:t>
      </w:r>
      <w:r w:rsidR="003716B4" w:rsidRPr="00D90C1D">
        <w:t>teikia atsakym</w:t>
      </w:r>
      <w:r w:rsidR="00821E9E">
        <w:t>us</w:t>
      </w:r>
      <w:r w:rsidR="003716B4" w:rsidRPr="00D90C1D">
        <w:t xml:space="preserve"> į </w:t>
      </w:r>
      <w:r w:rsidR="00944895" w:rsidRPr="00D90C1D">
        <w:t>gaut</w:t>
      </w:r>
      <w:r w:rsidR="00821E9E">
        <w:t>us</w:t>
      </w:r>
      <w:r w:rsidR="00944895" w:rsidRPr="00D90C1D">
        <w:t xml:space="preserve"> </w:t>
      </w:r>
      <w:r w:rsidR="003716B4" w:rsidRPr="00D90C1D">
        <w:t>tiekėj</w:t>
      </w:r>
      <w:r w:rsidR="00821E9E">
        <w:t>ų</w:t>
      </w:r>
      <w:r w:rsidR="003716B4" w:rsidRPr="00D90C1D">
        <w:t xml:space="preserve"> klausim</w:t>
      </w:r>
      <w:r w:rsidR="00821E9E">
        <w:t>us</w:t>
      </w:r>
      <w:r w:rsidR="003716B4" w:rsidRPr="00D90C1D">
        <w:t>:</w:t>
      </w:r>
    </w:p>
    <w:p w14:paraId="09C06467" w14:textId="77777777" w:rsidR="003716B4" w:rsidRDefault="003716B4" w:rsidP="003716B4"/>
    <w:tbl>
      <w:tblPr>
        <w:tblStyle w:val="Lentelstinklelis"/>
        <w:tblW w:w="9781" w:type="dxa"/>
        <w:tblInd w:w="-147" w:type="dxa"/>
        <w:tblLook w:val="04A0" w:firstRow="1" w:lastRow="0" w:firstColumn="1" w:lastColumn="0" w:noHBand="0" w:noVBand="1"/>
      </w:tblPr>
      <w:tblGrid>
        <w:gridCol w:w="704"/>
        <w:gridCol w:w="5108"/>
        <w:gridCol w:w="3969"/>
      </w:tblGrid>
      <w:tr w:rsidR="006369F7" w14:paraId="56ABE096" w14:textId="77777777" w:rsidTr="006369F7">
        <w:tc>
          <w:tcPr>
            <w:tcW w:w="704" w:type="dxa"/>
          </w:tcPr>
          <w:p w14:paraId="5B2CB105" w14:textId="77777777" w:rsidR="006369F7" w:rsidRDefault="006369F7" w:rsidP="00F75732">
            <w:pPr>
              <w:ind w:left="-108" w:firstLine="108"/>
              <w:jc w:val="both"/>
            </w:pPr>
            <w:r>
              <w:t>Eil.</w:t>
            </w:r>
          </w:p>
          <w:p w14:paraId="5C8FF9C3" w14:textId="77777777" w:rsidR="006369F7" w:rsidRDefault="006369F7" w:rsidP="00F75732">
            <w:pPr>
              <w:ind w:left="-108" w:firstLine="108"/>
              <w:jc w:val="both"/>
            </w:pPr>
            <w:r>
              <w:t>Nr.</w:t>
            </w:r>
          </w:p>
        </w:tc>
        <w:tc>
          <w:tcPr>
            <w:tcW w:w="5108" w:type="dxa"/>
          </w:tcPr>
          <w:p w14:paraId="1A6D8BBA" w14:textId="77777777" w:rsidR="006369F7" w:rsidRDefault="006369F7" w:rsidP="00F75732">
            <w:pPr>
              <w:ind w:left="-108" w:firstLine="108"/>
              <w:jc w:val="center"/>
            </w:pPr>
            <w:r>
              <w:t>Klausimas</w:t>
            </w:r>
          </w:p>
        </w:tc>
        <w:tc>
          <w:tcPr>
            <w:tcW w:w="3969" w:type="dxa"/>
          </w:tcPr>
          <w:p w14:paraId="779628E5" w14:textId="77777777" w:rsidR="006369F7" w:rsidRDefault="006369F7" w:rsidP="00F75732">
            <w:pPr>
              <w:ind w:left="-108" w:firstLine="108"/>
              <w:jc w:val="center"/>
            </w:pPr>
            <w:r>
              <w:t>Atsakymas</w:t>
            </w:r>
          </w:p>
        </w:tc>
      </w:tr>
      <w:tr w:rsidR="006369F7" w:rsidRPr="00821E9E" w14:paraId="62BA51E5" w14:textId="77777777" w:rsidTr="006369F7">
        <w:tc>
          <w:tcPr>
            <w:tcW w:w="704" w:type="dxa"/>
          </w:tcPr>
          <w:p w14:paraId="1AD3BD07" w14:textId="77777777" w:rsidR="006369F7" w:rsidRDefault="006369F7" w:rsidP="00F75732">
            <w:pPr>
              <w:ind w:left="-108" w:firstLine="108"/>
              <w:jc w:val="both"/>
            </w:pPr>
            <w:r>
              <w:t>1.</w:t>
            </w:r>
          </w:p>
          <w:p w14:paraId="4807638C" w14:textId="77777777" w:rsidR="006369F7" w:rsidRDefault="006369F7" w:rsidP="00F75732">
            <w:pPr>
              <w:ind w:left="-108" w:firstLine="108"/>
              <w:jc w:val="both"/>
            </w:pPr>
          </w:p>
        </w:tc>
        <w:tc>
          <w:tcPr>
            <w:tcW w:w="5108" w:type="dxa"/>
          </w:tcPr>
          <w:p w14:paraId="5E82DFED" w14:textId="77777777" w:rsidR="006369F7" w:rsidRPr="00BB43E4" w:rsidRDefault="006369F7" w:rsidP="00F75732">
            <w:pPr>
              <w:ind w:left="-108" w:firstLine="108"/>
            </w:pPr>
            <w:r w:rsidRPr="00F74546">
              <w:t>Kokios spalvos turi būti gumos granulių danga?</w:t>
            </w:r>
          </w:p>
        </w:tc>
        <w:tc>
          <w:tcPr>
            <w:tcW w:w="3969" w:type="dxa"/>
          </w:tcPr>
          <w:p w14:paraId="5DD580C8" w14:textId="77777777" w:rsidR="006369F7" w:rsidRPr="00821E9E" w:rsidRDefault="006369F7" w:rsidP="00F75732">
            <w:pPr>
              <w:pStyle w:val="prastasiniatinklio"/>
              <w:spacing w:before="0" w:beforeAutospacing="0" w:after="0" w:afterAutospacing="0"/>
              <w:ind w:left="-108" w:firstLine="108"/>
              <w:jc w:val="both"/>
              <w:rPr>
                <w:rFonts w:ascii="Times New Roman" w:hAnsi="Times New Roman" w:cs="Times New Roman"/>
                <w:sz w:val="24"/>
                <w:szCs w:val="24"/>
                <w:lang w:eastAsia="en-US"/>
              </w:rPr>
            </w:pPr>
            <w:r w:rsidRPr="00F15EF9">
              <w:rPr>
                <w:rFonts w:ascii="Times New Roman" w:hAnsi="Times New Roman" w:cs="Times New Roman"/>
                <w:sz w:val="24"/>
                <w:szCs w:val="24"/>
                <w:lang w:eastAsia="en-US"/>
              </w:rPr>
              <w:t>Raudonos spalvos danga</w:t>
            </w:r>
            <w:r>
              <w:rPr>
                <w:rFonts w:ascii="Times New Roman" w:hAnsi="Times New Roman" w:cs="Times New Roman"/>
                <w:sz w:val="24"/>
                <w:szCs w:val="24"/>
                <w:lang w:eastAsia="en-US"/>
              </w:rPr>
              <w:t>.</w:t>
            </w:r>
          </w:p>
        </w:tc>
      </w:tr>
      <w:tr w:rsidR="006369F7" w:rsidRPr="00011FC8" w14:paraId="268F8154" w14:textId="77777777" w:rsidTr="006369F7">
        <w:tc>
          <w:tcPr>
            <w:tcW w:w="704" w:type="dxa"/>
          </w:tcPr>
          <w:p w14:paraId="20E4A4D8" w14:textId="77777777" w:rsidR="006369F7" w:rsidRDefault="006369F7" w:rsidP="00F75732">
            <w:pPr>
              <w:ind w:left="-108" w:firstLine="108"/>
              <w:jc w:val="both"/>
            </w:pPr>
            <w:r>
              <w:t>2.</w:t>
            </w:r>
          </w:p>
        </w:tc>
        <w:tc>
          <w:tcPr>
            <w:tcW w:w="5108" w:type="dxa"/>
          </w:tcPr>
          <w:p w14:paraId="7E94C676" w14:textId="77777777" w:rsidR="006369F7" w:rsidRDefault="006369F7" w:rsidP="00F75732">
            <w:pPr>
              <w:ind w:left="-108"/>
            </w:pPr>
            <w:r w:rsidRPr="00F74546">
              <w:t>Kiekių žiniaraštyje parašyta, jog grunto nukasimas ir išvežimas (dalis panaudojama reljefui atstatyti) yra 1972 m3. Vejos atstatymui reikalingas kiekis 684,6 m3 dirvožemio (3423 m2 0,2 m storio sluoksnis). Prašome patikslinti, 1972 m3 iškasami ir išvežami, o 684,6 m3 nukasami ir vėliau panaudojami vejos atstatymui? Tai yra, viso nukasama 2656,6 m3?</w:t>
            </w:r>
          </w:p>
        </w:tc>
        <w:tc>
          <w:tcPr>
            <w:tcW w:w="3969" w:type="dxa"/>
          </w:tcPr>
          <w:p w14:paraId="2C8E8E76" w14:textId="77777777" w:rsidR="006369F7" w:rsidRPr="006369F7" w:rsidRDefault="006369F7" w:rsidP="00F75732">
            <w:pPr>
              <w:pStyle w:val="Default"/>
              <w:jc w:val="both"/>
              <w:rPr>
                <w:rFonts w:ascii="Times New Roman" w:hAnsi="Times New Roman" w:cs="Times New Roman"/>
                <w:bCs/>
              </w:rPr>
            </w:pPr>
            <w:r w:rsidRPr="006369F7">
              <w:rPr>
                <w:rFonts w:ascii="Times New Roman" w:hAnsi="Times New Roman" w:cs="Times New Roman"/>
                <w:bCs/>
              </w:rPr>
              <w:t xml:space="preserve">Nukasamo grunto kiekis yra nurodytas darbų kiekių žiniaraštyje </w:t>
            </w:r>
            <w:proofErr w:type="spellStart"/>
            <w:r w:rsidRPr="006369F7">
              <w:rPr>
                <w:rFonts w:ascii="Times New Roman" w:hAnsi="Times New Roman" w:cs="Times New Roman"/>
                <w:bCs/>
              </w:rPr>
              <w:t>t.y</w:t>
            </w:r>
            <w:proofErr w:type="spellEnd"/>
            <w:r w:rsidRPr="006369F7">
              <w:rPr>
                <w:rFonts w:ascii="Times New Roman" w:hAnsi="Times New Roman" w:cs="Times New Roman"/>
                <w:bCs/>
              </w:rPr>
              <w:t xml:space="preserve">. 1972 m3,iš jo panaudojamas vejos atstatymui 684,6 m3,  o likęs gruntas išvežamas. </w:t>
            </w:r>
          </w:p>
          <w:p w14:paraId="73FC066D" w14:textId="77777777" w:rsidR="006369F7" w:rsidRPr="00011FC8" w:rsidRDefault="006369F7" w:rsidP="00F75732">
            <w:pPr>
              <w:pStyle w:val="Default"/>
              <w:ind w:left="-108" w:firstLine="108"/>
              <w:jc w:val="both"/>
              <w:rPr>
                <w:bCs/>
                <w:color w:val="auto"/>
              </w:rPr>
            </w:pPr>
          </w:p>
        </w:tc>
      </w:tr>
      <w:tr w:rsidR="006369F7" w:rsidRPr="00821E9E" w14:paraId="1D83414B" w14:textId="77777777" w:rsidTr="006369F7">
        <w:tc>
          <w:tcPr>
            <w:tcW w:w="704" w:type="dxa"/>
          </w:tcPr>
          <w:p w14:paraId="6A61458F" w14:textId="77777777" w:rsidR="006369F7" w:rsidRDefault="006369F7" w:rsidP="00F75732">
            <w:pPr>
              <w:ind w:left="-108" w:firstLine="108"/>
              <w:jc w:val="both"/>
            </w:pPr>
            <w:r>
              <w:t>3.</w:t>
            </w:r>
          </w:p>
        </w:tc>
        <w:tc>
          <w:tcPr>
            <w:tcW w:w="5108" w:type="dxa"/>
          </w:tcPr>
          <w:p w14:paraId="30B67B2E" w14:textId="77777777" w:rsidR="006369F7" w:rsidRDefault="006369F7" w:rsidP="00F75732">
            <w:pPr>
              <w:ind w:left="-108"/>
            </w:pPr>
            <w:r w:rsidRPr="00F74546">
              <w:t>Ar Tiekėjas gali dalyvauti konkurse? jeigu Tiekėjas, tiekėjo grupės partneriai kartu, ūkio subjektai, kurių pajėgumais tiekėjas remiasi, per paskutinius 5 metus iki pasiūlymų pateikimo termino pabaigos savo jėgomis*</w:t>
            </w:r>
            <w:r w:rsidRPr="00F74546">
              <w:br/>
              <w:t>pagal vieną ar daugiau įvykdytų ar tebevykdomų sutarčių yra tinkamai** atlikęs kitų paskirties inžinerinių statinių statybos ir (arba) rekonstravimo, ir (arba) remonto darbų pagal vieną ar daugiau sutarčių, kurių bendra</w:t>
            </w:r>
            <w:r w:rsidRPr="00F74546">
              <w:br/>
              <w:t>apimtis ne mažesnė kaip 100000,00 Eur be PVM.</w:t>
            </w:r>
            <w:r w:rsidRPr="00F74546">
              <w:br/>
              <w:t>Pagal statybos techninio reglamento STR 1.01.03:2017 „Statinių klasifikavimas“ patvirtinimą, Kiti inžineriniai statiniai: Energijos iš atsinaujinančių išteklių gamybos; Kitų transporto statinių; Sporto; Kitų inžinerinių tinklų statinių;</w:t>
            </w:r>
            <w:r w:rsidRPr="00F74546">
              <w:br/>
              <w:t>Kitos paskirties.</w:t>
            </w:r>
            <w:r w:rsidRPr="00F74546">
              <w:br/>
              <w:t>Kadangi skelbiamam konkursui atliekamų darbų specifika nėra sudėtinga, nereikalaujama net turėti statybos darbų vadovo, kuris būtų atestuotas kitos paskirties inžinieriai statiniai. Turėtų būti sudaryta galimybė dalyvauti ir platesniam</w:t>
            </w:r>
            <w:r w:rsidRPr="00F74546">
              <w:br/>
              <w:t>ratui Tiekėjų.</w:t>
            </w:r>
          </w:p>
        </w:tc>
        <w:tc>
          <w:tcPr>
            <w:tcW w:w="3969" w:type="dxa"/>
          </w:tcPr>
          <w:p w14:paraId="63A073B1" w14:textId="77777777" w:rsidR="006369F7" w:rsidRPr="00821E9E" w:rsidRDefault="006369F7" w:rsidP="00F75732">
            <w:r>
              <w:t xml:space="preserve">Patikslintas kvalifikacinis reikalavimas tiekėjui dėl turimos patirties, nereikalaujant, kad patirtis būtų įgyta atliekant būtent sporto paskirties inžinerinių statinių statybos </w:t>
            </w:r>
            <w:r w:rsidRPr="00F74546">
              <w:t>ir (arba) rekonstravimo, ir (arba) remonto darb</w:t>
            </w:r>
            <w:r>
              <w:t xml:space="preserve">us. </w:t>
            </w:r>
          </w:p>
        </w:tc>
      </w:tr>
      <w:tr w:rsidR="006369F7" w14:paraId="5CEC5ADE" w14:textId="77777777" w:rsidTr="006369F7">
        <w:tc>
          <w:tcPr>
            <w:tcW w:w="704" w:type="dxa"/>
          </w:tcPr>
          <w:p w14:paraId="4F6C949D" w14:textId="77777777" w:rsidR="006369F7" w:rsidRDefault="006369F7" w:rsidP="00F75732">
            <w:pPr>
              <w:ind w:left="-108" w:firstLine="108"/>
              <w:jc w:val="both"/>
            </w:pPr>
            <w:r>
              <w:t>4.</w:t>
            </w:r>
          </w:p>
        </w:tc>
        <w:tc>
          <w:tcPr>
            <w:tcW w:w="5108" w:type="dxa"/>
          </w:tcPr>
          <w:p w14:paraId="138E37FC" w14:textId="77777777" w:rsidR="006369F7" w:rsidRPr="00F74546" w:rsidRDefault="006369F7" w:rsidP="00F75732">
            <w:pPr>
              <w:ind w:left="-108"/>
            </w:pPr>
            <w:r w:rsidRPr="00F15EF9">
              <w:t>Pirkimas vykdomas vadovaujantis Lietuvos Respublikos aplinkos ministro 2011 m. birželio 28 d. įsakymu Nr. D1-508 „Dėl Aplinkos apsaugos kriterijų taikymo, vykdant žaliuosius pirkimus tvarkos aprašo patvirtinimo“. Ar rangovas esamą asfalto dangą galį sufrezuoti vietoje ir įmaišyti į įrengiamą skaldos sluoksnį. Taip būtų užtikrintas aplinkosauginių reikalavimų faktinis įgyvendinimas o ne deklaratyvus</w:t>
            </w:r>
            <w:r>
              <w:t>.</w:t>
            </w:r>
          </w:p>
        </w:tc>
        <w:tc>
          <w:tcPr>
            <w:tcW w:w="3969" w:type="dxa"/>
          </w:tcPr>
          <w:p w14:paraId="52067611" w14:textId="77777777" w:rsidR="006369F7" w:rsidRDefault="006369F7" w:rsidP="00F75732">
            <w:r w:rsidRPr="00C13E2E">
              <w:t>Visi darbai turi būti atliekami pagal projektą.</w:t>
            </w:r>
          </w:p>
        </w:tc>
      </w:tr>
      <w:tr w:rsidR="006369F7" w14:paraId="432746D3" w14:textId="77777777" w:rsidTr="006369F7">
        <w:tc>
          <w:tcPr>
            <w:tcW w:w="704" w:type="dxa"/>
          </w:tcPr>
          <w:p w14:paraId="7266D7AE" w14:textId="77777777" w:rsidR="006369F7" w:rsidRDefault="006369F7" w:rsidP="00F75732">
            <w:pPr>
              <w:ind w:left="-108" w:firstLine="108"/>
              <w:jc w:val="both"/>
            </w:pPr>
            <w:r>
              <w:lastRenderedPageBreak/>
              <w:t>5.</w:t>
            </w:r>
          </w:p>
        </w:tc>
        <w:tc>
          <w:tcPr>
            <w:tcW w:w="5108" w:type="dxa"/>
          </w:tcPr>
          <w:p w14:paraId="6E6D10AA" w14:textId="77777777" w:rsidR="006369F7" w:rsidRPr="00F15EF9" w:rsidRDefault="006369F7" w:rsidP="00F75732">
            <w:pPr>
              <w:ind w:left="-108"/>
            </w:pPr>
            <w:r w:rsidRPr="00F15EF9">
              <w:t xml:space="preserve">Projekto </w:t>
            </w:r>
            <w:proofErr w:type="spellStart"/>
            <w:r w:rsidRPr="00F15EF9">
              <w:t>aiškinamąjame</w:t>
            </w:r>
            <w:proofErr w:type="spellEnd"/>
            <w:r w:rsidRPr="00F15EF9">
              <w:t xml:space="preserve"> rašte nurodoma 4.3. Geologinės ir hidrogeologinės sąlygos "Pagal standartą LST 1331:2015 grunto sluoksnių žymenys yra SB, SD ir </w:t>
            </w:r>
            <w:proofErr w:type="spellStart"/>
            <w:r w:rsidRPr="00F15EF9">
              <w:t>SDo</w:t>
            </w:r>
            <w:proofErr w:type="spellEnd"/>
            <w:r w:rsidRPr="00F15EF9">
              <w:t>. Beveik visi ištirto pjūvio grunto sluoksniai yra nejautrūs šalčiui (F1) ir tik kai kurie tarpsluoksniai labai jautrūs šalčiui (F3)." Darbų kiekių žiniaraštyje nurodoma, jog bėgimo tako dangoje įrengiamas 315mm nejautrus šalčio sluoksnis. Ar rangovas gali naudoti esamą gruntą nejautriam šalčio sluoksniui įrengti, o tik vietomis kur gruntas bus jautrus šalčiui pakeisti nauju šalčiui nejautriu sluoksniu. Nes dabar gaunasi, jog išvežame šalčiui nejautrų sluoksnį ir atvežame taip pat naują šalčiui nejautrų sluoksnį.</w:t>
            </w:r>
          </w:p>
          <w:p w14:paraId="69253DAB" w14:textId="77777777" w:rsidR="006369F7" w:rsidRPr="00F15EF9" w:rsidRDefault="006369F7" w:rsidP="00F75732">
            <w:pPr>
              <w:ind w:left="-108"/>
            </w:pPr>
          </w:p>
        </w:tc>
        <w:tc>
          <w:tcPr>
            <w:tcW w:w="3969" w:type="dxa"/>
          </w:tcPr>
          <w:p w14:paraId="54BBC953" w14:textId="77777777" w:rsidR="006369F7" w:rsidRDefault="006369F7" w:rsidP="00F75732">
            <w:r w:rsidRPr="00C13E2E">
              <w:t>Visi darbai turi būti atliekami pagal projektą.</w:t>
            </w:r>
          </w:p>
        </w:tc>
      </w:tr>
    </w:tbl>
    <w:p w14:paraId="5187AED5" w14:textId="77777777" w:rsidR="00821E9E" w:rsidRDefault="00821E9E" w:rsidP="003716B4"/>
    <w:p w14:paraId="64F0ECFC" w14:textId="783466C6" w:rsidR="003716B4" w:rsidRPr="00D90C1D" w:rsidRDefault="003716B4" w:rsidP="003716B4">
      <w:r w:rsidRPr="00D90C1D">
        <w:t>Viešojo pirkimo komisija</w:t>
      </w:r>
    </w:p>
    <w:sectPr w:rsidR="003716B4" w:rsidRPr="00D90C1D" w:rsidSect="00011FC8">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E5B" w14:textId="77777777" w:rsidR="008709DC" w:rsidRDefault="008709DC" w:rsidP="008709DC">
      <w:r>
        <w:separator/>
      </w:r>
    </w:p>
  </w:endnote>
  <w:endnote w:type="continuationSeparator" w:id="0">
    <w:p w14:paraId="586D660E" w14:textId="77777777" w:rsidR="008709DC" w:rsidRDefault="008709DC" w:rsidP="0087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17A1C" w14:textId="77777777" w:rsidR="008709DC" w:rsidRDefault="008709DC" w:rsidP="008709DC">
      <w:r>
        <w:separator/>
      </w:r>
    </w:p>
  </w:footnote>
  <w:footnote w:type="continuationSeparator" w:id="0">
    <w:p w14:paraId="7A582DA9" w14:textId="77777777" w:rsidR="008709DC" w:rsidRDefault="008709DC" w:rsidP="0087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98889"/>
      <w:docPartObj>
        <w:docPartGallery w:val="Page Numbers (Top of Page)"/>
        <w:docPartUnique/>
      </w:docPartObj>
    </w:sdtPr>
    <w:sdtEndPr/>
    <w:sdtContent>
      <w:p w14:paraId="74C2E9FF" w14:textId="77777777" w:rsidR="008709DC" w:rsidRDefault="008709DC">
        <w:pPr>
          <w:pStyle w:val="Antrats"/>
          <w:jc w:val="center"/>
        </w:pPr>
        <w:r>
          <w:fldChar w:fldCharType="begin"/>
        </w:r>
        <w:r>
          <w:instrText>PAGE   \* MERGEFORMAT</w:instrText>
        </w:r>
        <w:r>
          <w:fldChar w:fldCharType="separate"/>
        </w:r>
        <w:r>
          <w:t>2</w:t>
        </w:r>
        <w:r>
          <w:fldChar w:fldCharType="end"/>
        </w:r>
      </w:p>
    </w:sdtContent>
  </w:sdt>
  <w:p w14:paraId="7497E414" w14:textId="77777777" w:rsidR="008709DC" w:rsidRDefault="008709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0208"/>
    <w:multiLevelType w:val="hybridMultilevel"/>
    <w:tmpl w:val="27E604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553DAA"/>
    <w:multiLevelType w:val="hybridMultilevel"/>
    <w:tmpl w:val="14B49184"/>
    <w:lvl w:ilvl="0" w:tplc="0622B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4766735">
    <w:abstractNumId w:val="1"/>
  </w:num>
  <w:num w:numId="2" w16cid:durableId="201360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72"/>
    <w:rsid w:val="00004883"/>
    <w:rsid w:val="00005F6F"/>
    <w:rsid w:val="00011FC8"/>
    <w:rsid w:val="00026E6B"/>
    <w:rsid w:val="00044844"/>
    <w:rsid w:val="00052818"/>
    <w:rsid w:val="00053C8C"/>
    <w:rsid w:val="000570A9"/>
    <w:rsid w:val="00060BAF"/>
    <w:rsid w:val="00071F2F"/>
    <w:rsid w:val="00080D94"/>
    <w:rsid w:val="00081491"/>
    <w:rsid w:val="000B51DD"/>
    <w:rsid w:val="000C5BDB"/>
    <w:rsid w:val="001019B0"/>
    <w:rsid w:val="001070EF"/>
    <w:rsid w:val="00126893"/>
    <w:rsid w:val="0015018F"/>
    <w:rsid w:val="0017133B"/>
    <w:rsid w:val="00202900"/>
    <w:rsid w:val="002043AF"/>
    <w:rsid w:val="00204B2A"/>
    <w:rsid w:val="00253DDA"/>
    <w:rsid w:val="00291D4D"/>
    <w:rsid w:val="00294193"/>
    <w:rsid w:val="002A3DE3"/>
    <w:rsid w:val="002E20BD"/>
    <w:rsid w:val="002E73F9"/>
    <w:rsid w:val="002F16F3"/>
    <w:rsid w:val="00313465"/>
    <w:rsid w:val="00313A77"/>
    <w:rsid w:val="003173A8"/>
    <w:rsid w:val="00331196"/>
    <w:rsid w:val="003444B9"/>
    <w:rsid w:val="003716B4"/>
    <w:rsid w:val="00380553"/>
    <w:rsid w:val="00382263"/>
    <w:rsid w:val="00396583"/>
    <w:rsid w:val="00416024"/>
    <w:rsid w:val="00423329"/>
    <w:rsid w:val="0044718D"/>
    <w:rsid w:val="00494F3D"/>
    <w:rsid w:val="004D5498"/>
    <w:rsid w:val="00502C09"/>
    <w:rsid w:val="00515F52"/>
    <w:rsid w:val="005379AB"/>
    <w:rsid w:val="00593DE2"/>
    <w:rsid w:val="005D6DA7"/>
    <w:rsid w:val="006369F7"/>
    <w:rsid w:val="00664072"/>
    <w:rsid w:val="006863AC"/>
    <w:rsid w:val="00687623"/>
    <w:rsid w:val="006C06F4"/>
    <w:rsid w:val="00702FC2"/>
    <w:rsid w:val="00734643"/>
    <w:rsid w:val="00737D4E"/>
    <w:rsid w:val="00766852"/>
    <w:rsid w:val="007805F4"/>
    <w:rsid w:val="0078199D"/>
    <w:rsid w:val="007C01DE"/>
    <w:rsid w:val="007E2786"/>
    <w:rsid w:val="007E4D25"/>
    <w:rsid w:val="008076C0"/>
    <w:rsid w:val="00821E9E"/>
    <w:rsid w:val="00825B08"/>
    <w:rsid w:val="008709DC"/>
    <w:rsid w:val="00880C04"/>
    <w:rsid w:val="008C4ADF"/>
    <w:rsid w:val="008D228B"/>
    <w:rsid w:val="008E2A3F"/>
    <w:rsid w:val="00917513"/>
    <w:rsid w:val="00921D49"/>
    <w:rsid w:val="00923935"/>
    <w:rsid w:val="00942678"/>
    <w:rsid w:val="00944895"/>
    <w:rsid w:val="00962524"/>
    <w:rsid w:val="00993B81"/>
    <w:rsid w:val="009C1883"/>
    <w:rsid w:val="009D12E1"/>
    <w:rsid w:val="009F614A"/>
    <w:rsid w:val="00A008B0"/>
    <w:rsid w:val="00A00B61"/>
    <w:rsid w:val="00A31979"/>
    <w:rsid w:val="00A55A54"/>
    <w:rsid w:val="00A7570D"/>
    <w:rsid w:val="00A80537"/>
    <w:rsid w:val="00A86C0E"/>
    <w:rsid w:val="00AA25EF"/>
    <w:rsid w:val="00AC003E"/>
    <w:rsid w:val="00B03AF2"/>
    <w:rsid w:val="00B17547"/>
    <w:rsid w:val="00B2148F"/>
    <w:rsid w:val="00B56D27"/>
    <w:rsid w:val="00B7015F"/>
    <w:rsid w:val="00B83970"/>
    <w:rsid w:val="00B95FF8"/>
    <w:rsid w:val="00BA283A"/>
    <w:rsid w:val="00BE1A17"/>
    <w:rsid w:val="00BE1DA6"/>
    <w:rsid w:val="00BE7D78"/>
    <w:rsid w:val="00BF2BF1"/>
    <w:rsid w:val="00C02076"/>
    <w:rsid w:val="00C27135"/>
    <w:rsid w:val="00C32344"/>
    <w:rsid w:val="00C35F79"/>
    <w:rsid w:val="00C5021A"/>
    <w:rsid w:val="00C6402A"/>
    <w:rsid w:val="00C763E9"/>
    <w:rsid w:val="00CC0DDC"/>
    <w:rsid w:val="00CD1C8E"/>
    <w:rsid w:val="00CD3753"/>
    <w:rsid w:val="00CD53B7"/>
    <w:rsid w:val="00CE2C35"/>
    <w:rsid w:val="00CE35DB"/>
    <w:rsid w:val="00D259CF"/>
    <w:rsid w:val="00D40690"/>
    <w:rsid w:val="00D55260"/>
    <w:rsid w:val="00D562CD"/>
    <w:rsid w:val="00D8151B"/>
    <w:rsid w:val="00D90C1D"/>
    <w:rsid w:val="00DA6A87"/>
    <w:rsid w:val="00DB18C9"/>
    <w:rsid w:val="00DE0164"/>
    <w:rsid w:val="00DE756B"/>
    <w:rsid w:val="00E26393"/>
    <w:rsid w:val="00E27ACC"/>
    <w:rsid w:val="00E53049"/>
    <w:rsid w:val="00EB1B20"/>
    <w:rsid w:val="00EE2AB4"/>
    <w:rsid w:val="00EF175A"/>
    <w:rsid w:val="00EF53AF"/>
    <w:rsid w:val="00F44373"/>
    <w:rsid w:val="00F93ABA"/>
    <w:rsid w:val="00F971BB"/>
    <w:rsid w:val="00FA05F2"/>
    <w:rsid w:val="00FA3681"/>
    <w:rsid w:val="00FD6951"/>
    <w:rsid w:val="00FF5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1A5E9"/>
  <w15:chartTrackingRefBased/>
  <w15:docId w15:val="{5A4FC2DA-72ED-41E1-A8AF-E15EB60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0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64072"/>
    <w:pPr>
      <w:tabs>
        <w:tab w:val="center" w:pos="4153"/>
        <w:tab w:val="right" w:pos="8306"/>
      </w:tabs>
    </w:pPr>
  </w:style>
  <w:style w:type="character" w:customStyle="1" w:styleId="AntratsDiagrama">
    <w:name w:val="Antraštės Diagrama"/>
    <w:basedOn w:val="Numatytasispastraiposriftas"/>
    <w:link w:val="Antrats"/>
    <w:uiPriority w:val="99"/>
    <w:rsid w:val="00664072"/>
    <w:rPr>
      <w:rFonts w:ascii="Times New Roman" w:eastAsia="Times New Roman" w:hAnsi="Times New Roman" w:cs="Times New Roman"/>
      <w:sz w:val="24"/>
      <w:szCs w:val="24"/>
    </w:rPr>
  </w:style>
  <w:style w:type="paragraph" w:styleId="Betarp">
    <w:name w:val="No Spacing"/>
    <w:link w:val="BetarpDiagrama"/>
    <w:uiPriority w:val="1"/>
    <w:qFormat/>
    <w:rsid w:val="00664072"/>
    <w:pPr>
      <w:spacing w:after="0" w:line="240" w:lineRule="auto"/>
    </w:pPr>
    <w:rPr>
      <w:rFonts w:ascii="Times New Roman" w:eastAsia="Times New Roman" w:hAnsi="Times New Roman" w:cs="Times New Roman"/>
      <w:sz w:val="24"/>
      <w:szCs w:val="20"/>
      <w:lang w:eastAsia="lt-LT"/>
    </w:rPr>
  </w:style>
  <w:style w:type="table" w:customStyle="1" w:styleId="Lentelstinklelis112">
    <w:name w:val="Lentelės tinklelis112"/>
    <w:basedOn w:val="prastojilentel"/>
    <w:next w:val="Lentelstinklelis"/>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66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Sąrašo pastraipa2,List Paragraph21,lp1,Bullet 1,Use Case List Paragraph,List Paragraph111,Paragraph,List Paragraph Red,Sąrašo pastraipa11,Bullet EY,List Paragraph1,List Paragraph2,Numbering,ERP-List Paragraph,List Paragraph11"/>
    <w:basedOn w:val="prastasis"/>
    <w:link w:val="SraopastraipaDiagrama"/>
    <w:uiPriority w:val="34"/>
    <w:qFormat/>
    <w:rsid w:val="00E26393"/>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Sąrašo pastraipa2 Diagrama,List Paragraph21 Diagrama,lp1 Diagrama,Bullet 1 Diagrama,Use Case List Paragraph Diagrama,List Paragraph111 Diagrama,Paragraph Diagrama,List Paragraph Red Diagrama,Bullet EY Diagrama"/>
    <w:link w:val="Sraopastraipa"/>
    <w:uiPriority w:val="34"/>
    <w:qFormat/>
    <w:locked/>
    <w:rsid w:val="00E26393"/>
  </w:style>
  <w:style w:type="paragraph" w:customStyle="1" w:styleId="Default">
    <w:name w:val="Default"/>
    <w:rsid w:val="00FA3681"/>
    <w:pPr>
      <w:autoSpaceDE w:val="0"/>
      <w:autoSpaceDN w:val="0"/>
      <w:adjustRightInd w:val="0"/>
      <w:spacing w:after="0" w:line="240" w:lineRule="auto"/>
    </w:pPr>
    <w:rPr>
      <w:rFonts w:ascii="Calibri" w:hAnsi="Calibri" w:cs="Calibri"/>
      <w:color w:val="000000"/>
      <w:sz w:val="24"/>
      <w:szCs w:val="24"/>
    </w:rPr>
  </w:style>
  <w:style w:type="character" w:customStyle="1" w:styleId="BetarpDiagrama">
    <w:name w:val="Be tarpų Diagrama"/>
    <w:link w:val="Betarp"/>
    <w:uiPriority w:val="99"/>
    <w:rsid w:val="00CD1C8E"/>
    <w:rPr>
      <w:rFonts w:ascii="Times New Roman" w:eastAsia="Times New Roman" w:hAnsi="Times New Roman" w:cs="Times New Roman"/>
      <w:sz w:val="24"/>
      <w:szCs w:val="20"/>
      <w:lang w:eastAsia="lt-LT"/>
    </w:rPr>
  </w:style>
  <w:style w:type="paragraph" w:customStyle="1" w:styleId="Betarp1">
    <w:name w:val="Be tarpų1"/>
    <w:qFormat/>
    <w:rsid w:val="00CD1C8E"/>
    <w:pPr>
      <w:spacing w:after="0" w:line="240" w:lineRule="auto"/>
    </w:pPr>
    <w:rPr>
      <w:rFonts w:ascii="Times New Roman" w:eastAsia="Times New Roman" w:hAnsi="Times New Roman" w:cs="Times New Roman"/>
      <w:sz w:val="24"/>
    </w:rPr>
  </w:style>
  <w:style w:type="paragraph" w:styleId="Pagrindiniotekstotrauka2">
    <w:name w:val="Body Text Indent 2"/>
    <w:basedOn w:val="prastasis"/>
    <w:link w:val="Pagrindiniotekstotrauka2Diagrama"/>
    <w:unhideWhenUsed/>
    <w:rsid w:val="001019B0"/>
    <w:pPr>
      <w:ind w:firstLine="426"/>
    </w:pPr>
    <w:rPr>
      <w:rFonts w:ascii="Arial" w:hAnsi="Arial"/>
      <w:sz w:val="20"/>
      <w:szCs w:val="20"/>
    </w:rPr>
  </w:style>
  <w:style w:type="character" w:customStyle="1" w:styleId="Pagrindiniotekstotrauka2Diagrama">
    <w:name w:val="Pagrindinio teksto įtrauka 2 Diagrama"/>
    <w:basedOn w:val="Numatytasispastraiposriftas"/>
    <w:link w:val="Pagrindiniotekstotrauka2"/>
    <w:rsid w:val="001019B0"/>
    <w:rPr>
      <w:rFonts w:ascii="Arial" w:eastAsia="Times New Roman" w:hAnsi="Arial" w:cs="Times New Roman"/>
      <w:sz w:val="20"/>
      <w:szCs w:val="20"/>
    </w:rPr>
  </w:style>
  <w:style w:type="paragraph" w:styleId="Porat">
    <w:name w:val="footer"/>
    <w:basedOn w:val="prastasis"/>
    <w:link w:val="PoratDiagrama"/>
    <w:uiPriority w:val="99"/>
    <w:unhideWhenUsed/>
    <w:rsid w:val="008709DC"/>
    <w:pPr>
      <w:tabs>
        <w:tab w:val="center" w:pos="4819"/>
        <w:tab w:val="right" w:pos="9638"/>
      </w:tabs>
    </w:pPr>
  </w:style>
  <w:style w:type="character" w:customStyle="1" w:styleId="PoratDiagrama">
    <w:name w:val="Poraštė Diagrama"/>
    <w:basedOn w:val="Numatytasispastraiposriftas"/>
    <w:link w:val="Porat"/>
    <w:uiPriority w:val="99"/>
    <w:rsid w:val="008709DC"/>
    <w:rPr>
      <w:rFonts w:ascii="Times New Roman" w:eastAsia="Times New Roman" w:hAnsi="Times New Roman" w:cs="Times New Roman"/>
      <w:sz w:val="24"/>
      <w:szCs w:val="24"/>
    </w:rPr>
  </w:style>
  <w:style w:type="character" w:styleId="Hipersaitas">
    <w:name w:val="Hyperlink"/>
    <w:basedOn w:val="Numatytasispastraiposriftas"/>
    <w:rsid w:val="003716B4"/>
    <w:rPr>
      <w:color w:val="0066CC"/>
      <w:u w:val="single"/>
    </w:rPr>
  </w:style>
  <w:style w:type="character" w:customStyle="1" w:styleId="Bodytext2">
    <w:name w:val="Body text (2)_"/>
    <w:basedOn w:val="Numatytasispastraiposriftas"/>
    <w:link w:val="Bodytext20"/>
    <w:rsid w:val="003716B4"/>
    <w:rPr>
      <w:rFonts w:ascii="Times New Roman" w:eastAsia="Times New Roman" w:hAnsi="Times New Roman" w:cs="Times New Roman"/>
      <w:sz w:val="23"/>
      <w:szCs w:val="23"/>
      <w:shd w:val="clear" w:color="auto" w:fill="FFFFFF"/>
    </w:rPr>
  </w:style>
  <w:style w:type="character" w:customStyle="1" w:styleId="Bodytext">
    <w:name w:val="Body text_"/>
    <w:basedOn w:val="Numatytasispastraiposriftas"/>
    <w:link w:val="Pagrindinistekstas1"/>
    <w:rsid w:val="003716B4"/>
    <w:rPr>
      <w:rFonts w:ascii="Times New Roman" w:eastAsia="Times New Roman" w:hAnsi="Times New Roman" w:cs="Times New Roman"/>
      <w:sz w:val="23"/>
      <w:szCs w:val="23"/>
      <w:shd w:val="clear" w:color="auto" w:fill="FFFFFF"/>
    </w:rPr>
  </w:style>
  <w:style w:type="character" w:customStyle="1" w:styleId="Bodytext11ptBoldNotItalic">
    <w:name w:val="Body text + 11 pt;Bold;Not Italic"/>
    <w:basedOn w:val="Bodytext"/>
    <w:rsid w:val="003716B4"/>
    <w:rPr>
      <w:rFonts w:ascii="Times New Roman" w:eastAsia="Times New Roman" w:hAnsi="Times New Roman" w:cs="Times New Roman"/>
      <w:b/>
      <w:bCs/>
      <w:i/>
      <w:iCs/>
      <w:sz w:val="22"/>
      <w:szCs w:val="22"/>
      <w:shd w:val="clear" w:color="auto" w:fill="FFFFFF"/>
    </w:rPr>
  </w:style>
  <w:style w:type="character" w:customStyle="1" w:styleId="BodytextNotItalic">
    <w:name w:val="Body text + Not Italic"/>
    <w:basedOn w:val="Bodytext"/>
    <w:rsid w:val="003716B4"/>
    <w:rPr>
      <w:rFonts w:ascii="Times New Roman" w:eastAsia="Times New Roman" w:hAnsi="Times New Roman" w:cs="Times New Roman"/>
      <w:i/>
      <w:iCs/>
      <w:sz w:val="23"/>
      <w:szCs w:val="23"/>
      <w:shd w:val="clear" w:color="auto" w:fill="FFFFFF"/>
    </w:rPr>
  </w:style>
  <w:style w:type="paragraph" w:customStyle="1" w:styleId="Bodytext20">
    <w:name w:val="Body text (2)"/>
    <w:basedOn w:val="prastasis"/>
    <w:link w:val="Bodytext2"/>
    <w:rsid w:val="003716B4"/>
    <w:pPr>
      <w:shd w:val="clear" w:color="auto" w:fill="FFFFFF"/>
      <w:spacing w:before="180" w:after="360" w:line="0" w:lineRule="atLeast"/>
    </w:pPr>
    <w:rPr>
      <w:sz w:val="23"/>
      <w:szCs w:val="23"/>
    </w:rPr>
  </w:style>
  <w:style w:type="paragraph" w:customStyle="1" w:styleId="Pagrindinistekstas1">
    <w:name w:val="Pagrindinis tekstas1"/>
    <w:basedOn w:val="prastasis"/>
    <w:link w:val="Bodytext"/>
    <w:rsid w:val="003716B4"/>
    <w:pPr>
      <w:shd w:val="clear" w:color="auto" w:fill="FFFFFF"/>
      <w:spacing w:before="180" w:after="180" w:line="298" w:lineRule="exact"/>
      <w:jc w:val="both"/>
    </w:pPr>
    <w:rPr>
      <w:sz w:val="23"/>
      <w:szCs w:val="23"/>
    </w:rPr>
  </w:style>
  <w:style w:type="paragraph" w:styleId="prastasiniatinklio">
    <w:name w:val="Normal (Web)"/>
    <w:basedOn w:val="prastasis"/>
    <w:uiPriority w:val="99"/>
    <w:unhideWhenUsed/>
    <w:rsid w:val="00821E9E"/>
    <w:pPr>
      <w:spacing w:before="100" w:beforeAutospacing="1" w:after="100" w:afterAutospacing="1"/>
    </w:pPr>
    <w:rPr>
      <w:rFonts w:ascii="Calibri" w:eastAsiaTheme="minorHAnsi" w:hAnsi="Calibri" w:cs="Calibri"/>
      <w:sz w:val="22"/>
      <w:szCs w:val="22"/>
      <w:lang w:eastAsia="lt-LT"/>
    </w:rPr>
  </w:style>
  <w:style w:type="paragraph" w:customStyle="1" w:styleId="v1v1msonormal">
    <w:name w:val="v1v1msonormal"/>
    <w:basedOn w:val="prastasis"/>
    <w:uiPriority w:val="99"/>
    <w:semiHidden/>
    <w:rsid w:val="00821E9E"/>
    <w:pPr>
      <w:spacing w:before="100" w:beforeAutospacing="1" w:after="100" w:afterAutospacing="1"/>
    </w:pPr>
    <w:rPr>
      <w:rFonts w:ascii="Calibri" w:eastAsiaTheme="minorHAnsi" w:hAnsi="Calibri" w:cs="Calibri"/>
      <w:sz w:val="22"/>
      <w:szCs w:val="22"/>
      <w:lang w:eastAsia="lt-LT"/>
    </w:rPr>
  </w:style>
  <w:style w:type="character" w:customStyle="1" w:styleId="fontstyle01">
    <w:name w:val="fontstyle01"/>
    <w:basedOn w:val="Numatytasispastraiposriftas"/>
    <w:rsid w:val="00821E9E"/>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5917">
      <w:bodyDiv w:val="1"/>
      <w:marLeft w:val="0"/>
      <w:marRight w:val="0"/>
      <w:marTop w:val="0"/>
      <w:marBottom w:val="0"/>
      <w:divBdr>
        <w:top w:val="none" w:sz="0" w:space="0" w:color="auto"/>
        <w:left w:val="none" w:sz="0" w:space="0" w:color="auto"/>
        <w:bottom w:val="none" w:sz="0" w:space="0" w:color="auto"/>
        <w:right w:val="none" w:sz="0" w:space="0" w:color="auto"/>
      </w:divBdr>
    </w:div>
    <w:div w:id="155854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2040</Words>
  <Characters>1163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14</cp:revision>
  <cp:lastPrinted>2025-05-16T10:54:00Z</cp:lastPrinted>
  <dcterms:created xsi:type="dcterms:W3CDTF">2025-03-27T07:20:00Z</dcterms:created>
  <dcterms:modified xsi:type="dcterms:W3CDTF">2025-05-19T12:53:00Z</dcterms:modified>
</cp:coreProperties>
</file>