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5E7" w14:textId="2819B88B" w:rsidR="00A92970" w:rsidRPr="00A92970" w:rsidRDefault="00A92970" w:rsidP="00A92970">
      <w:pPr>
        <w:spacing w:line="259" w:lineRule="auto"/>
        <w:ind w:firstLine="567"/>
        <w:jc w:val="both"/>
        <w:rPr>
          <w:rFonts w:ascii="Times New Roman" w:eastAsia="Calibri" w:hAnsi="Times New Roman" w:cs="Times New Roman"/>
          <w:b/>
          <w:kern w:val="0"/>
          <w14:ligatures w14:val="none"/>
        </w:rPr>
      </w:pPr>
      <w:r w:rsidRPr="00A92970">
        <w:rPr>
          <w:rFonts w:ascii="Times New Roman" w:eastAsia="Calibri" w:hAnsi="Times New Roman" w:cs="Times New Roman"/>
          <w:b/>
          <w:kern w:val="0"/>
          <w14:ligatures w14:val="none"/>
        </w:rPr>
        <w:t>DĖL PIRKIMO DOKUMENTŲ TIKSLINIMO</w:t>
      </w:r>
      <w:r w:rsidR="00A319F1">
        <w:rPr>
          <w:rFonts w:ascii="Times New Roman" w:eastAsia="Calibri" w:hAnsi="Times New Roman" w:cs="Times New Roman"/>
          <w:b/>
          <w:kern w:val="0"/>
          <w14:ligatures w14:val="none"/>
        </w:rPr>
        <w:t xml:space="preserve"> IR TERMINO NUKĖLIMO</w:t>
      </w:r>
    </w:p>
    <w:p w14:paraId="38F35E4E" w14:textId="77777777" w:rsidR="00BA692B" w:rsidRDefault="00BA692B" w:rsidP="00BA692B">
      <w:pPr>
        <w:spacing w:after="0" w:line="360" w:lineRule="auto"/>
        <w:ind w:firstLine="567"/>
        <w:jc w:val="both"/>
        <w:rPr>
          <w:rFonts w:ascii="Times New Roman" w:eastAsia="Calibri" w:hAnsi="Times New Roman" w:cs="Times New Roman"/>
          <w:kern w:val="0"/>
          <w:shd w:val="clear" w:color="auto" w:fill="FFFFFF"/>
          <w14:ligatures w14:val="none"/>
        </w:rPr>
      </w:pPr>
    </w:p>
    <w:p w14:paraId="50515B9E" w14:textId="42E727EC" w:rsidR="001113A5" w:rsidRDefault="00A92970" w:rsidP="00BA692B">
      <w:pPr>
        <w:spacing w:after="0" w:line="360" w:lineRule="auto"/>
        <w:ind w:firstLine="567"/>
        <w:jc w:val="both"/>
        <w:rPr>
          <w:rFonts w:ascii="Times New Roman" w:eastAsia="Calibri" w:hAnsi="Times New Roman" w:cs="Times New Roman"/>
          <w:bCs/>
          <w:kern w:val="0"/>
          <w14:ligatures w14:val="none"/>
        </w:rPr>
      </w:pPr>
      <w:r w:rsidRPr="00A92970">
        <w:rPr>
          <w:rFonts w:ascii="Times New Roman" w:eastAsia="Calibri" w:hAnsi="Times New Roman" w:cs="Times New Roman"/>
          <w:kern w:val="0"/>
          <w:shd w:val="clear" w:color="auto" w:fill="FFFFFF"/>
          <w14:ligatures w14:val="none"/>
        </w:rPr>
        <w:t xml:space="preserve">VšĮ Centrinė projektų valdymo agentūra (toliau – perkančioji organizacija) CVP IS priemonėmis vykdo </w:t>
      </w:r>
      <w:r w:rsidR="001113A5">
        <w:rPr>
          <w:rFonts w:ascii="Times New Roman" w:eastAsia="Calibri" w:hAnsi="Times New Roman" w:cs="Times New Roman"/>
          <w:kern w:val="0"/>
          <w:shd w:val="clear" w:color="auto" w:fill="FFFFFF"/>
          <w14:ligatures w14:val="none"/>
        </w:rPr>
        <w:t xml:space="preserve">supaprastintą </w:t>
      </w:r>
      <w:r w:rsidRPr="00A92970">
        <w:rPr>
          <w:rFonts w:ascii="Times New Roman" w:eastAsia="Calibri" w:hAnsi="Times New Roman" w:cs="Times New Roman"/>
          <w:kern w:val="0"/>
          <w:shd w:val="clear" w:color="auto" w:fill="FFFFFF"/>
          <w14:ligatures w14:val="none"/>
        </w:rPr>
        <w:t>atvirą konkursą</w:t>
      </w:r>
      <w:r w:rsidR="001113A5">
        <w:rPr>
          <w:rFonts w:ascii="Times New Roman" w:eastAsia="Calibri" w:hAnsi="Times New Roman" w:cs="Times New Roman"/>
          <w:kern w:val="0"/>
          <w:shd w:val="clear" w:color="auto" w:fill="FFFFFF"/>
          <w14:ligatures w14:val="none"/>
        </w:rPr>
        <w:t xml:space="preserve"> vadovaujantis Aprašo 23.3. p.</w:t>
      </w:r>
      <w:r w:rsidRPr="00A92970">
        <w:rPr>
          <w:rFonts w:ascii="Times New Roman" w:eastAsia="Calibri" w:hAnsi="Times New Roman" w:cs="Times New Roman"/>
          <w:kern w:val="0"/>
          <w:shd w:val="clear" w:color="auto" w:fill="FFFFFF"/>
          <w14:ligatures w14:val="none"/>
        </w:rPr>
        <w:t xml:space="preserve"> </w:t>
      </w:r>
      <w:r w:rsidRPr="001113A5">
        <w:rPr>
          <w:rFonts w:ascii="Times New Roman" w:eastAsia="Calibri" w:hAnsi="Times New Roman" w:cs="Times New Roman"/>
          <w:i/>
          <w:iCs/>
          <w:kern w:val="0"/>
          <w:shd w:val="clear" w:color="auto" w:fill="FFFFFF"/>
          <w14:ligatures w14:val="none"/>
        </w:rPr>
        <w:t>„</w:t>
      </w:r>
      <w:r w:rsidR="001113A5" w:rsidRPr="001113A5">
        <w:rPr>
          <w:rFonts w:ascii="Times New Roman" w:eastAsia="Calibri" w:hAnsi="Times New Roman" w:cs="Times New Roman"/>
          <w:i/>
          <w:iCs/>
          <w:kern w:val="0"/>
          <w:shd w:val="clear" w:color="auto" w:fill="FFFFFF"/>
          <w14:ligatures w14:val="none"/>
        </w:rPr>
        <w:t>Dnipro regioninio nugaros smegenų traumų reabilitacijos centro rekonstrukcija atskirame struktūriniame vienete „Universitetinė ligoninė“ Dnipro valstybiniame medicinos universitete“</w:t>
      </w:r>
      <w:r w:rsidRPr="001113A5">
        <w:rPr>
          <w:rFonts w:ascii="Times New Roman" w:eastAsia="Calibri" w:hAnsi="Times New Roman" w:cs="Times New Roman"/>
          <w:i/>
          <w:iCs/>
          <w:kern w:val="0"/>
          <w:shd w:val="clear" w:color="auto" w:fill="FFFFFF"/>
          <w14:ligatures w14:val="none"/>
        </w:rPr>
        <w:t>)“</w:t>
      </w:r>
      <w:r w:rsidRPr="00A92970">
        <w:rPr>
          <w:rFonts w:ascii="Times New Roman" w:eastAsia="Calibri" w:hAnsi="Times New Roman" w:cs="Times New Roman"/>
          <w:kern w:val="0"/>
          <w:shd w:val="clear" w:color="auto" w:fill="FFFFFF"/>
          <w14:ligatures w14:val="none"/>
        </w:rPr>
        <w:t xml:space="preserve"> </w:t>
      </w:r>
      <w:r w:rsidRPr="00A92970">
        <w:rPr>
          <w:rFonts w:ascii="Times New Roman" w:eastAsia="Calibri" w:hAnsi="Times New Roman" w:cs="Times New Roman"/>
          <w:kern w:val="0"/>
          <w14:ligatures w14:val="none"/>
        </w:rPr>
        <w:t>(toliau – Pirkimas</w:t>
      </w:r>
      <w:r w:rsidRPr="00A92970">
        <w:rPr>
          <w:rFonts w:ascii="Times New Roman" w:eastAsia="Calibri" w:hAnsi="Times New Roman" w:cs="Times New Roman"/>
          <w:bCs/>
          <w:kern w:val="0"/>
          <w14:ligatures w14:val="none"/>
        </w:rPr>
        <w:t xml:space="preserve">). </w:t>
      </w:r>
    </w:p>
    <w:p w14:paraId="19B2E587" w14:textId="77777777" w:rsidR="00BA692B" w:rsidRDefault="00BA692B" w:rsidP="00BA692B">
      <w:pPr>
        <w:spacing w:after="0" w:line="360" w:lineRule="auto"/>
        <w:ind w:firstLine="567"/>
        <w:jc w:val="both"/>
        <w:rPr>
          <w:rFonts w:ascii="Times New Roman" w:eastAsia="Calibri" w:hAnsi="Times New Roman" w:cs="Times New Roman"/>
          <w:bCs/>
          <w:kern w:val="0"/>
          <w14:ligatures w14:val="none"/>
        </w:rPr>
      </w:pPr>
    </w:p>
    <w:p w14:paraId="35FFC7B4" w14:textId="77777777" w:rsidR="00A319F1" w:rsidRDefault="00A92970" w:rsidP="00A319F1">
      <w:pPr>
        <w:spacing w:after="0" w:line="360" w:lineRule="auto"/>
        <w:ind w:firstLine="567"/>
        <w:jc w:val="both"/>
        <w:rPr>
          <w:rFonts w:ascii="Times New Roman" w:eastAsia="Times New Roman" w:hAnsi="Times New Roman" w:cs="Times New Roman"/>
          <w:kern w:val="0"/>
          <w:szCs w:val="20"/>
          <w:lang w:eastAsia="lt-LT"/>
          <w14:ligatures w14:val="none"/>
        </w:rPr>
      </w:pPr>
      <w:r w:rsidRPr="00A92970">
        <w:rPr>
          <w:rFonts w:ascii="Times New Roman" w:eastAsia="Calibri" w:hAnsi="Times New Roman" w:cs="Times New Roman"/>
          <w:bCs/>
          <w:iCs/>
          <w:kern w:val="0"/>
          <w14:ligatures w14:val="none"/>
        </w:rPr>
        <w:t xml:space="preserve">Informuojame, kad 2025 m. </w:t>
      </w:r>
      <w:r w:rsidR="001113A5">
        <w:rPr>
          <w:rFonts w:ascii="Times New Roman" w:eastAsia="Calibri" w:hAnsi="Times New Roman" w:cs="Times New Roman"/>
          <w:bCs/>
          <w:iCs/>
          <w:kern w:val="0"/>
          <w14:ligatures w14:val="none"/>
        </w:rPr>
        <w:t>gegužės 16</w:t>
      </w:r>
      <w:r w:rsidRPr="00A92970">
        <w:rPr>
          <w:rFonts w:ascii="Times New Roman" w:eastAsia="Calibri" w:hAnsi="Times New Roman" w:cs="Times New Roman"/>
          <w:bCs/>
          <w:iCs/>
          <w:kern w:val="0"/>
          <w14:ligatures w14:val="none"/>
        </w:rPr>
        <w:t xml:space="preserve"> d. CVP IS susirašinėjimo priemonėmis buvo gauta </w:t>
      </w:r>
      <w:r w:rsidR="009E0433">
        <w:rPr>
          <w:rFonts w:ascii="Times New Roman" w:eastAsia="Calibri" w:hAnsi="Times New Roman" w:cs="Times New Roman"/>
          <w:bCs/>
          <w:iCs/>
          <w:kern w:val="0"/>
          <w14:ligatures w14:val="none"/>
        </w:rPr>
        <w:t xml:space="preserve">Tiekėjo </w:t>
      </w:r>
      <w:r w:rsidRPr="00A92970">
        <w:rPr>
          <w:rFonts w:ascii="Times New Roman" w:eastAsia="Calibri" w:hAnsi="Times New Roman" w:cs="Times New Roman"/>
          <w:bCs/>
          <w:iCs/>
          <w:kern w:val="0"/>
          <w14:ligatures w14:val="none"/>
        </w:rPr>
        <w:t xml:space="preserve">pretenzija dėl </w:t>
      </w:r>
      <w:r w:rsidRPr="00A92970">
        <w:rPr>
          <w:rFonts w:ascii="Times New Roman" w:eastAsia="Times New Roman" w:hAnsi="Times New Roman" w:cs="Times New Roman"/>
          <w:bCs/>
          <w:iCs/>
          <w:kern w:val="0"/>
          <w14:ligatures w14:val="none"/>
        </w:rPr>
        <w:t>paskelbtų Pirkimo sąlygų (toliau – Pretenzija)</w:t>
      </w:r>
      <w:r w:rsidRPr="00A92970">
        <w:rPr>
          <w:rFonts w:ascii="Times New Roman" w:eastAsia="Times New Roman" w:hAnsi="Times New Roman" w:cs="Times New Roman"/>
          <w:kern w:val="0"/>
          <w:szCs w:val="20"/>
          <w:lang w:eastAsia="lt-LT"/>
          <w14:ligatures w14:val="none"/>
        </w:rPr>
        <w:t xml:space="preserve">. </w:t>
      </w:r>
    </w:p>
    <w:p w14:paraId="14DC770F" w14:textId="461530D9" w:rsidR="00A92970" w:rsidRPr="00A319F1" w:rsidRDefault="00A92970" w:rsidP="00A319F1">
      <w:pPr>
        <w:spacing w:after="0" w:line="360" w:lineRule="auto"/>
        <w:ind w:firstLine="567"/>
        <w:jc w:val="both"/>
        <w:rPr>
          <w:rFonts w:ascii="Times New Roman" w:eastAsia="Times New Roman" w:hAnsi="Times New Roman" w:cs="Times New Roman"/>
          <w:kern w:val="0"/>
          <w:szCs w:val="20"/>
          <w:lang w:eastAsia="lt-LT"/>
          <w14:ligatures w14:val="none"/>
        </w:rPr>
      </w:pPr>
      <w:r w:rsidRPr="00A92970">
        <w:rPr>
          <w:rFonts w:ascii="Times New Roman" w:eastAsia="Times New Roman" w:hAnsi="Times New Roman" w:cs="Times New Roman"/>
          <w:bCs/>
          <w:iCs/>
          <w:kern w:val="0"/>
          <w14:ligatures w14:val="none"/>
        </w:rPr>
        <w:t>Komisija, vadovaudamasi VPĮ 103 straipsniu, išnagrinėjo Pretenziją ir teikia motyvuotą sprendimą</w:t>
      </w:r>
      <w:r w:rsidR="00BA692B">
        <w:rPr>
          <w:rFonts w:ascii="Times New Roman" w:eastAsia="Times New Roman" w:hAnsi="Times New Roman" w:cs="Times New Roman"/>
          <w:bCs/>
          <w:iCs/>
          <w:kern w:val="0"/>
          <w14:ligatures w14:val="none"/>
        </w:rPr>
        <w:t>.</w:t>
      </w:r>
    </w:p>
    <w:p w14:paraId="2425738A" w14:textId="7DC96D75" w:rsidR="00BA692B" w:rsidRDefault="00BA692B" w:rsidP="00BA692B">
      <w:pPr>
        <w:spacing w:line="36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Perkančioji organizacija, </w:t>
      </w:r>
      <w:r w:rsidR="007128EE">
        <w:rPr>
          <w:rFonts w:ascii="Times New Roman" w:eastAsia="Calibri" w:hAnsi="Times New Roman" w:cs="Times New Roman"/>
          <w:bCs/>
        </w:rPr>
        <w:t xml:space="preserve">nusprendė Tiekėjo pretenziją tenkinti  ir </w:t>
      </w:r>
      <w:r>
        <w:rPr>
          <w:rFonts w:ascii="Times New Roman" w:eastAsia="Calibri" w:hAnsi="Times New Roman" w:cs="Times New Roman"/>
          <w:bCs/>
        </w:rPr>
        <w:t>sutinka dalinai pakeisti Pirkimo sąlygų 8.1.2 p. įtvirtintą kvalifikacinį reikalavimą</w:t>
      </w:r>
      <w:r w:rsidR="007128EE">
        <w:rPr>
          <w:rFonts w:ascii="Times New Roman" w:eastAsia="Calibri" w:hAnsi="Times New Roman" w:cs="Times New Roman"/>
          <w:bCs/>
        </w:rPr>
        <w:t>, jį išdėstant sekančiai:</w:t>
      </w:r>
    </w:p>
    <w:p w14:paraId="205ECBE3" w14:textId="227DC268" w:rsidR="009458F2" w:rsidRPr="00DC687B" w:rsidRDefault="009458F2" w:rsidP="00BA692B">
      <w:pPr>
        <w:spacing w:line="360" w:lineRule="auto"/>
        <w:ind w:firstLine="567"/>
        <w:jc w:val="both"/>
        <w:rPr>
          <w:rFonts w:ascii="Times New Roman" w:eastAsia="Calibri" w:hAnsi="Times New Roman" w:cs="Times New Roman"/>
          <w:bCs/>
        </w:rPr>
      </w:pPr>
      <w:r>
        <w:rPr>
          <w:rFonts w:ascii="Times New Roman" w:eastAsia="Calibri" w:hAnsi="Times New Roman" w:cs="Times New Roman"/>
          <w:bCs/>
        </w:rPr>
        <w:t>„</w:t>
      </w:r>
    </w:p>
    <w:tbl>
      <w:tblPr>
        <w:tblStyle w:val="TableGrid3"/>
        <w:tblW w:w="9776" w:type="dxa"/>
        <w:tblLayout w:type="fixed"/>
        <w:tblLook w:val="04A0" w:firstRow="1" w:lastRow="0" w:firstColumn="1" w:lastColumn="0" w:noHBand="0" w:noVBand="1"/>
      </w:tblPr>
      <w:tblGrid>
        <w:gridCol w:w="846"/>
        <w:gridCol w:w="4082"/>
        <w:gridCol w:w="4848"/>
      </w:tblGrid>
      <w:tr w:rsidR="009458F2" w:rsidRPr="000275A5" w14:paraId="6F444BB5" w14:textId="77777777" w:rsidTr="0046655F">
        <w:trPr>
          <w:trHeight w:val="2684"/>
        </w:trPr>
        <w:tc>
          <w:tcPr>
            <w:tcW w:w="846" w:type="dxa"/>
          </w:tcPr>
          <w:p w14:paraId="541ABABA" w14:textId="4D97E799" w:rsidR="009458F2" w:rsidRPr="009458F2" w:rsidRDefault="009458F2" w:rsidP="00FF60C6">
            <w:pPr>
              <w:pStyle w:val="BodyText"/>
              <w:tabs>
                <w:tab w:val="left" w:pos="993"/>
              </w:tabs>
              <w:spacing w:before="0" w:after="0"/>
              <w:jc w:val="both"/>
              <w:rPr>
                <w:rFonts w:ascii="Times New Roman" w:hAnsi="Times New Roman"/>
                <w:b/>
                <w:sz w:val="24"/>
                <w:szCs w:val="24"/>
                <w:lang w:val="lt-LT" w:bidi="lt-LT"/>
              </w:rPr>
            </w:pPr>
            <w:r w:rsidRPr="009458F2">
              <w:rPr>
                <w:rFonts w:ascii="Times New Roman" w:hAnsi="Times New Roman"/>
                <w:sz w:val="24"/>
                <w:szCs w:val="24"/>
                <w:lang w:val="lt-LT" w:bidi="lt-LT"/>
              </w:rPr>
              <w:t>8.1.2</w:t>
            </w:r>
          </w:p>
        </w:tc>
        <w:tc>
          <w:tcPr>
            <w:tcW w:w="4082" w:type="dxa"/>
          </w:tcPr>
          <w:p w14:paraId="207A5980" w14:textId="33B61A9C" w:rsidR="009458F2" w:rsidRPr="009458F2" w:rsidRDefault="009458F2" w:rsidP="00FF60C6">
            <w:pPr>
              <w:pStyle w:val="BodyText"/>
              <w:tabs>
                <w:tab w:val="left" w:pos="993"/>
              </w:tabs>
              <w:spacing w:before="0" w:after="0"/>
              <w:jc w:val="both"/>
              <w:rPr>
                <w:rFonts w:ascii="Times New Roman" w:hAnsi="Times New Roman"/>
                <w:sz w:val="24"/>
                <w:szCs w:val="24"/>
                <w:lang w:val="lt-LT" w:bidi="lt-LT"/>
              </w:rPr>
            </w:pPr>
            <w:r w:rsidRPr="009458F2">
              <w:rPr>
                <w:rFonts w:ascii="Times New Roman" w:hAnsi="Times New Roman"/>
                <w:sz w:val="24"/>
                <w:szCs w:val="24"/>
                <w:lang w:val="lt-LT" w:bidi="lt-LT"/>
              </w:rPr>
              <w:t xml:space="preserve">Tiekėjas per paskutinius 5* metus iki pasiūlymo pateikimo termino pabaigos yra pastatęs ne mažiau kaip 1 (vieną) </w:t>
            </w:r>
            <w:r w:rsidRPr="009458F2">
              <w:rPr>
                <w:rFonts w:ascii="Times New Roman" w:hAnsi="Times New Roman"/>
                <w:b/>
                <w:bCs/>
                <w:sz w:val="24"/>
                <w:szCs w:val="24"/>
                <w:u w:val="single"/>
                <w:lang w:val="lt-LT" w:bidi="lt-LT"/>
              </w:rPr>
              <w:t>visuomeninės</w:t>
            </w:r>
            <w:r w:rsidRPr="009458F2">
              <w:rPr>
                <w:rFonts w:ascii="Times New Roman" w:hAnsi="Times New Roman"/>
                <w:sz w:val="24"/>
                <w:szCs w:val="24"/>
                <w:lang w:val="lt-LT" w:bidi="lt-LT"/>
              </w:rPr>
              <w:t xml:space="preserve"> paskirties pastatą. Pastato statybos darbų vertė turi būti ne mažesnė kaip 690 000,00 Eur be PVM ir svarbiausių darbų atlikimas ir galutiniai rezultatai buvo tinkami.</w:t>
            </w:r>
          </w:p>
          <w:p w14:paraId="10C83482" w14:textId="77777777" w:rsidR="009458F2" w:rsidRPr="009458F2" w:rsidRDefault="009458F2" w:rsidP="00FF60C6">
            <w:pPr>
              <w:pStyle w:val="BodyText"/>
              <w:tabs>
                <w:tab w:val="left" w:pos="993"/>
              </w:tabs>
              <w:spacing w:before="0" w:after="0"/>
              <w:jc w:val="both"/>
              <w:rPr>
                <w:rFonts w:ascii="Times New Roman" w:hAnsi="Times New Roman"/>
                <w:bCs/>
                <w:sz w:val="24"/>
                <w:szCs w:val="24"/>
                <w:lang w:val="lt-LT" w:bidi="lt-LT"/>
              </w:rPr>
            </w:pPr>
          </w:p>
          <w:p w14:paraId="6B930AC2" w14:textId="77777777" w:rsidR="009458F2" w:rsidRPr="009458F2" w:rsidRDefault="009458F2" w:rsidP="00FF60C6">
            <w:pPr>
              <w:pStyle w:val="BodyText"/>
              <w:tabs>
                <w:tab w:val="left" w:pos="993"/>
              </w:tabs>
              <w:spacing w:before="0" w:after="0"/>
              <w:jc w:val="both"/>
              <w:rPr>
                <w:rFonts w:ascii="Times New Roman" w:hAnsi="Times New Roman"/>
                <w:bCs/>
                <w:sz w:val="24"/>
                <w:szCs w:val="24"/>
                <w:lang w:val="lt-LT" w:bidi="lt-LT"/>
              </w:rPr>
            </w:pPr>
            <w:r w:rsidRPr="009458F2">
              <w:rPr>
                <w:rFonts w:ascii="Times New Roman" w:hAnsi="Times New Roman"/>
                <w:bCs/>
                <w:sz w:val="24"/>
                <w:szCs w:val="24"/>
                <w:lang w:val="lt-LT" w:bidi="lt-LT"/>
              </w:rPr>
              <w:t>Svarbiausi statybos darbai – aukščiau minėtų pastatų naujos statybos ar rekonstrukcijos darbai.</w:t>
            </w:r>
          </w:p>
          <w:p w14:paraId="0310A2C6" w14:textId="77777777" w:rsidR="009458F2" w:rsidRPr="009458F2" w:rsidRDefault="009458F2" w:rsidP="00FF60C6">
            <w:pPr>
              <w:pStyle w:val="BodyText"/>
              <w:tabs>
                <w:tab w:val="left" w:pos="993"/>
              </w:tabs>
              <w:spacing w:before="0" w:after="0"/>
              <w:jc w:val="both"/>
              <w:rPr>
                <w:rFonts w:ascii="Times New Roman" w:hAnsi="Times New Roman"/>
                <w:color w:val="222222"/>
                <w:sz w:val="24"/>
                <w:szCs w:val="24"/>
                <w:lang w:val="lt-LT" w:bidi="lt-LT"/>
              </w:rPr>
            </w:pPr>
          </w:p>
          <w:p w14:paraId="304147CB" w14:textId="77777777" w:rsidR="009458F2" w:rsidRPr="009458F2" w:rsidRDefault="009458F2" w:rsidP="00FF60C6">
            <w:pPr>
              <w:pStyle w:val="BodyText"/>
              <w:tabs>
                <w:tab w:val="left" w:pos="993"/>
              </w:tabs>
              <w:spacing w:before="0" w:after="0"/>
              <w:jc w:val="both"/>
              <w:rPr>
                <w:rFonts w:ascii="Times New Roman" w:hAnsi="Times New Roman"/>
                <w:sz w:val="24"/>
                <w:szCs w:val="24"/>
                <w:lang w:bidi="lt-LT"/>
              </w:rPr>
            </w:pPr>
            <w:r w:rsidRPr="009458F2">
              <w:rPr>
                <w:rFonts w:ascii="Times New Roman" w:hAnsi="Times New Roman"/>
                <w:bCs/>
                <w:sz w:val="24"/>
                <w:szCs w:val="24"/>
                <w:lang w:val="lt-LT" w:bidi="lt-LT"/>
              </w:rPr>
              <w:t>-</w:t>
            </w:r>
            <w:r w:rsidRPr="009458F2">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536C03A0" w14:textId="77777777" w:rsidR="009458F2" w:rsidRPr="009458F2" w:rsidRDefault="009458F2" w:rsidP="00FF60C6">
            <w:pPr>
              <w:pStyle w:val="BodyText"/>
              <w:tabs>
                <w:tab w:val="left" w:pos="993"/>
              </w:tabs>
              <w:spacing w:before="0" w:after="0"/>
              <w:jc w:val="both"/>
              <w:rPr>
                <w:rFonts w:ascii="Times New Roman" w:hAnsi="Times New Roman"/>
                <w:sz w:val="24"/>
                <w:szCs w:val="24"/>
                <w:lang w:bidi="lt-LT"/>
              </w:rPr>
            </w:pPr>
            <w:r w:rsidRPr="009458F2">
              <w:rPr>
                <w:rFonts w:ascii="Times New Roman" w:hAnsi="Times New Roman"/>
                <w:bCs/>
                <w:sz w:val="24"/>
                <w:szCs w:val="24"/>
                <w:lang w:val="lt-LT" w:bidi="lt-LT"/>
              </w:rPr>
              <w:t xml:space="preserve">- </w:t>
            </w:r>
            <w:r w:rsidRPr="009458F2">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71D3E98A" w14:textId="77777777" w:rsidR="009458F2" w:rsidRPr="009458F2" w:rsidRDefault="009458F2" w:rsidP="00FF60C6">
            <w:pPr>
              <w:pStyle w:val="BodyText"/>
              <w:tabs>
                <w:tab w:val="left" w:pos="993"/>
              </w:tabs>
              <w:spacing w:before="0" w:after="0"/>
              <w:jc w:val="both"/>
              <w:rPr>
                <w:rFonts w:ascii="Times New Roman" w:hAnsi="Times New Roman"/>
                <w:sz w:val="24"/>
                <w:szCs w:val="24"/>
                <w:lang w:bidi="lt-LT"/>
              </w:rPr>
            </w:pPr>
            <w:r w:rsidRPr="009458F2">
              <w:rPr>
                <w:rFonts w:ascii="Times New Roman" w:hAnsi="Times New Roman"/>
                <w:bCs/>
                <w:sz w:val="24"/>
                <w:szCs w:val="24"/>
                <w:lang w:val="lt-LT" w:bidi="lt-LT"/>
              </w:rPr>
              <w:t xml:space="preserve">- </w:t>
            </w:r>
            <w:r w:rsidRPr="009458F2">
              <w:rPr>
                <w:rFonts w:ascii="Times New Roman" w:hAnsi="Times New Roman"/>
                <w:sz w:val="24"/>
                <w:szCs w:val="24"/>
                <w:lang w:val="lt-LT" w:bidi="lt-LT"/>
              </w:rPr>
              <w:t>subtiekėjams šis reikalavimas nenustatomas.</w:t>
            </w:r>
          </w:p>
          <w:p w14:paraId="69B339DB" w14:textId="77777777" w:rsidR="009458F2" w:rsidRPr="009458F2" w:rsidRDefault="009458F2" w:rsidP="00FF60C6">
            <w:pPr>
              <w:pStyle w:val="tin"/>
              <w:shd w:val="clear" w:color="auto" w:fill="FFFFFF"/>
              <w:spacing w:before="0" w:beforeAutospacing="0" w:after="0" w:afterAutospacing="0"/>
              <w:rPr>
                <w:color w:val="000000"/>
                <w:sz w:val="24"/>
                <w:szCs w:val="24"/>
              </w:rPr>
            </w:pPr>
            <w:r w:rsidRPr="009458F2">
              <w:rPr>
                <w:color w:val="000000"/>
                <w:sz w:val="24"/>
                <w:szCs w:val="24"/>
              </w:rPr>
              <w:t> </w:t>
            </w:r>
          </w:p>
          <w:p w14:paraId="1BBF87F6" w14:textId="77777777" w:rsidR="009458F2" w:rsidRPr="009458F2" w:rsidRDefault="009458F2" w:rsidP="00FF60C6">
            <w:pPr>
              <w:pStyle w:val="tin"/>
              <w:shd w:val="clear" w:color="auto" w:fill="FFFFFF"/>
              <w:spacing w:before="0" w:beforeAutospacing="0" w:after="0" w:afterAutospacing="0"/>
              <w:jc w:val="both"/>
              <w:rPr>
                <w:i/>
                <w:iCs/>
                <w:color w:val="000000"/>
                <w:sz w:val="24"/>
                <w:szCs w:val="24"/>
              </w:rPr>
            </w:pPr>
            <w:r w:rsidRPr="009458F2">
              <w:rPr>
                <w:i/>
                <w:color w:val="000000"/>
                <w:sz w:val="24"/>
                <w:szCs w:val="24"/>
              </w:rPr>
              <w:lastRenderedPageBreak/>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DCFB672" w14:textId="77777777" w:rsidR="009458F2" w:rsidRPr="009458F2" w:rsidRDefault="009458F2" w:rsidP="00FF60C6">
            <w:pPr>
              <w:pStyle w:val="tin"/>
              <w:shd w:val="clear" w:color="auto" w:fill="FFFFFF"/>
              <w:spacing w:before="0" w:beforeAutospacing="0" w:after="0" w:afterAutospacing="0"/>
              <w:jc w:val="both"/>
              <w:rPr>
                <w:i/>
                <w:iCs/>
                <w:color w:val="000000"/>
                <w:sz w:val="24"/>
                <w:szCs w:val="24"/>
              </w:rPr>
            </w:pPr>
          </w:p>
          <w:p w14:paraId="4496F13B" w14:textId="4674FA5C" w:rsidR="009458F2" w:rsidRPr="009458F2" w:rsidRDefault="009458F2" w:rsidP="00FF60C6">
            <w:pPr>
              <w:pStyle w:val="tin"/>
              <w:shd w:val="clear" w:color="auto" w:fill="FFFFFF"/>
              <w:spacing w:before="0" w:beforeAutospacing="0" w:after="0" w:afterAutospacing="0"/>
              <w:jc w:val="both"/>
              <w:rPr>
                <w:color w:val="000000"/>
                <w:sz w:val="24"/>
                <w:szCs w:val="24"/>
              </w:rPr>
            </w:pPr>
            <w:r w:rsidRPr="009458F2">
              <w:rPr>
                <w:i/>
                <w:iCs/>
                <w:color w:val="000000"/>
                <w:sz w:val="24"/>
                <w:szCs w:val="24"/>
              </w:rPr>
              <w:t>*</w:t>
            </w:r>
            <w:r w:rsidRPr="009458F2">
              <w:rPr>
                <w:sz w:val="24"/>
                <w:szCs w:val="24"/>
              </w:rPr>
              <w:t xml:space="preserve"> </w:t>
            </w:r>
            <w:r w:rsidRPr="009458F2">
              <w:rPr>
                <w:i/>
                <w:iCs/>
                <w:color w:val="000000"/>
                <w:sz w:val="24"/>
                <w:szCs w:val="24"/>
              </w:rPr>
              <w:t>Rangovo kvalifikacija turi būti įgyta iki pasiūlymų pateikimo termino pabaigos. Pirkimo dokumentuose sąvokos „per paskutinius 5 metus”; “per  pastaruosius 5 metus“  reiškia penkerių metų laikotarpį iki pasiūlymų pateikimo termino pabaigos. Jei tiekėjo kvalifikacijai pagrįsti naudojama sutartis, kuri pradėta vykdyti anksčiau nei likus 5 metams iki pasiūlymų pateikimo termino pabaigos, bet užbaigta per vertinamus</w:t>
            </w:r>
            <w:r w:rsidR="008E76A4">
              <w:rPr>
                <w:i/>
                <w:iCs/>
                <w:color w:val="000000"/>
                <w:sz w:val="24"/>
                <w:szCs w:val="24"/>
              </w:rPr>
              <w:t xml:space="preserve"> </w:t>
            </w:r>
            <w:r w:rsidRPr="009458F2">
              <w:rPr>
                <w:i/>
                <w:iCs/>
                <w:color w:val="000000"/>
                <w:sz w:val="24"/>
                <w:szCs w:val="24"/>
              </w:rPr>
              <w:t>5 metus, tokią sutartį galima naudoti kvalifikacijai pagrįsti, jei ji atitinka kitus reikalavimus, kuriems pagrįsti ji pasitelkiama. Tokios sutarties atveju bus atsižvelgiama į sutarties dalį, įvykdytą per vertinamus 5 metus.</w:t>
            </w:r>
          </w:p>
          <w:p w14:paraId="6DB138A7" w14:textId="77777777" w:rsidR="009458F2" w:rsidRPr="009458F2" w:rsidRDefault="009458F2" w:rsidP="00FF60C6">
            <w:pPr>
              <w:pStyle w:val="BodyText"/>
              <w:tabs>
                <w:tab w:val="left" w:pos="993"/>
              </w:tabs>
              <w:spacing w:before="0" w:after="0"/>
              <w:jc w:val="both"/>
              <w:rPr>
                <w:rFonts w:ascii="Times New Roman" w:hAnsi="Times New Roman"/>
                <w:color w:val="222222"/>
                <w:sz w:val="24"/>
                <w:szCs w:val="24"/>
                <w:lang w:val="lt-LT" w:bidi="lt-LT"/>
              </w:rPr>
            </w:pPr>
          </w:p>
        </w:tc>
        <w:tc>
          <w:tcPr>
            <w:tcW w:w="4848" w:type="dxa"/>
          </w:tcPr>
          <w:p w14:paraId="42D73ECD" w14:textId="77777777" w:rsidR="009458F2" w:rsidRPr="009458F2" w:rsidRDefault="009458F2" w:rsidP="00FF60C6">
            <w:pPr>
              <w:rPr>
                <w:sz w:val="24"/>
                <w:szCs w:val="24"/>
                <w:lang w:val="uk-UA" w:bidi="lt-LT"/>
              </w:rPr>
            </w:pPr>
            <w:r w:rsidRPr="009458F2">
              <w:rPr>
                <w:sz w:val="24"/>
                <w:szCs w:val="24"/>
                <w:lang w:val="uk-UA" w:bidi="lt-LT"/>
              </w:rPr>
              <w:lastRenderedPageBreak/>
              <w:t>Pateikiami dokumentai:</w:t>
            </w:r>
          </w:p>
          <w:p w14:paraId="56911A1C" w14:textId="77777777" w:rsidR="009458F2" w:rsidRPr="009458F2" w:rsidRDefault="009458F2" w:rsidP="00FF60C6">
            <w:pPr>
              <w:jc w:val="both"/>
              <w:rPr>
                <w:sz w:val="24"/>
                <w:szCs w:val="24"/>
                <w:lang w:val="uk-UA" w:bidi="lt-LT"/>
              </w:rPr>
            </w:pPr>
            <w:r w:rsidRPr="009458F2">
              <w:rPr>
                <w:sz w:val="24"/>
                <w:szCs w:val="24"/>
                <w:lang w:val="uk-UA" w:bidi="lt-LT"/>
              </w:rPr>
              <w:t>1) rangovo per paskutinius 5  metus ar laikotarpiu nuo rangovo registracijos datos (jeigu rangovas veiklą vykdė mažiau nei 5 (penkis) metus) atliktų darbų sąrašas pagal  pirkimo sąlygų 6 priede  „Rangovo atliktų darbų sąrašas“ pateiktą formą;</w:t>
            </w:r>
          </w:p>
          <w:p w14:paraId="17A383A2" w14:textId="77777777" w:rsidR="009458F2" w:rsidRPr="009458F2" w:rsidRDefault="009458F2" w:rsidP="00FF60C6">
            <w:pPr>
              <w:jc w:val="both"/>
              <w:rPr>
                <w:sz w:val="24"/>
                <w:szCs w:val="24"/>
                <w:lang w:val="uk-UA" w:bidi="lt-LT"/>
              </w:rPr>
            </w:pPr>
            <w:r w:rsidRPr="009458F2">
              <w:rPr>
                <w:sz w:val="24"/>
                <w:szCs w:val="24"/>
                <w:lang w:val="uk-UA" w:bidi="lt-LT"/>
              </w:rPr>
              <w:t xml:space="preserve">2) rangovo sąraše nurodytų sutarčių užsakovų pažymas apie tinkamą sutarties įvykdymą ar kitus užsakovo ir/ar tiekėjo dokumentus, įrodančius tinkamą sutarties įvykdymą. Tuo atveju, jei tinkamam sutarties įvykdymui pagrįsti rangovas pateikia ne užsakovo  dokumentus, jis kartu turi pateikti paaiškinimą, kaip tie dokumentai įrodo tinkamą sutarties įvykdymą. </w:t>
            </w:r>
          </w:p>
          <w:p w14:paraId="76FDA10F" w14:textId="77777777" w:rsidR="009458F2" w:rsidRPr="009458F2" w:rsidRDefault="009458F2" w:rsidP="00FF60C6">
            <w:pPr>
              <w:jc w:val="both"/>
              <w:rPr>
                <w:sz w:val="24"/>
                <w:szCs w:val="24"/>
                <w:lang w:val="uk-UA" w:bidi="lt-LT"/>
              </w:rPr>
            </w:pPr>
            <w:r w:rsidRPr="009458F2">
              <w:rPr>
                <w:sz w:val="24"/>
                <w:szCs w:val="24"/>
                <w:lang w:val="uk-UA" w:bidi="lt-LT"/>
              </w:rPr>
              <w:t>Laikoma, kad tinkamas sutarties įvykdymas yra pagrindžiamas, jei  įrodančiuose dokumentuose (pažymose ar kt.) patvirtinama, kad rangovo sutartiniai įsipareigojimai buvo įvykdyti   tinkamai</w:t>
            </w:r>
          </w:p>
          <w:p w14:paraId="7B18BA07" w14:textId="77777777" w:rsidR="009458F2" w:rsidRPr="009458F2" w:rsidRDefault="009458F2" w:rsidP="00FF60C6">
            <w:pPr>
              <w:jc w:val="both"/>
              <w:rPr>
                <w:sz w:val="24"/>
                <w:szCs w:val="24"/>
                <w:lang w:val="uk-UA" w:bidi="lt-LT"/>
              </w:rPr>
            </w:pPr>
            <w:r w:rsidRPr="009458F2">
              <w:rPr>
                <w:sz w:val="24"/>
                <w:szCs w:val="24"/>
                <w:lang w:val="uk-UA"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EA588DD" w14:textId="77777777" w:rsidR="009458F2" w:rsidRPr="009458F2" w:rsidRDefault="009458F2" w:rsidP="00FF60C6">
            <w:pPr>
              <w:jc w:val="both"/>
              <w:rPr>
                <w:sz w:val="24"/>
                <w:szCs w:val="24"/>
                <w:lang w:val="uk-UA" w:bidi="lt-LT"/>
              </w:rPr>
            </w:pPr>
            <w:r w:rsidRPr="009458F2">
              <w:rPr>
                <w:sz w:val="24"/>
                <w:szCs w:val="24"/>
                <w:lang w:val="uk-UA" w:bidi="lt-LT"/>
              </w:rPr>
              <w:lastRenderedPageBreak/>
              <w:t>Perkančioji organizacija, siekdama patikslinti informaciją apie pagamintas ar/ir parduotas prekes, pasilieka teisę be išankstinio įspėjimo susisiekti su tiekėjo nurodytu užsakovo kontaktiniu asmeniu.</w:t>
            </w:r>
          </w:p>
          <w:p w14:paraId="2F807CE6" w14:textId="77777777" w:rsidR="009458F2" w:rsidRPr="009458F2" w:rsidRDefault="009458F2" w:rsidP="00FF60C6">
            <w:pPr>
              <w:jc w:val="both"/>
              <w:rPr>
                <w:sz w:val="24"/>
                <w:szCs w:val="24"/>
                <w:lang w:val="uk-UA" w:bidi="lt-LT"/>
              </w:rPr>
            </w:pPr>
          </w:p>
        </w:tc>
      </w:tr>
      <w:tr w:rsidR="0046655F" w:rsidRPr="00510DCF" w14:paraId="6FEBEC8A" w14:textId="77777777" w:rsidTr="0046655F">
        <w:trPr>
          <w:trHeight w:val="582"/>
        </w:trPr>
        <w:tc>
          <w:tcPr>
            <w:tcW w:w="846" w:type="dxa"/>
          </w:tcPr>
          <w:p w14:paraId="374B4BB6" w14:textId="77777777" w:rsidR="0046655F" w:rsidRPr="0046655F" w:rsidRDefault="0046655F" w:rsidP="00FF60C6">
            <w:pPr>
              <w:jc w:val="both"/>
              <w:rPr>
                <w:sz w:val="24"/>
                <w:szCs w:val="24"/>
                <w:lang w:val="uk-UA"/>
              </w:rPr>
            </w:pPr>
            <w:r w:rsidRPr="0046655F">
              <w:rPr>
                <w:sz w:val="24"/>
                <w:szCs w:val="24"/>
                <w:lang w:val="uk-UA"/>
              </w:rPr>
              <w:lastRenderedPageBreak/>
              <w:t>8.1.</w:t>
            </w:r>
            <w:r w:rsidRPr="0046655F">
              <w:rPr>
                <w:sz w:val="24"/>
                <w:szCs w:val="24"/>
              </w:rPr>
              <w:t>2</w:t>
            </w:r>
            <w:r w:rsidRPr="0046655F">
              <w:rPr>
                <w:sz w:val="24"/>
                <w:szCs w:val="24"/>
                <w:lang w:val="uk-UA"/>
              </w:rPr>
              <w:t>.</w:t>
            </w:r>
          </w:p>
        </w:tc>
        <w:tc>
          <w:tcPr>
            <w:tcW w:w="4082" w:type="dxa"/>
          </w:tcPr>
          <w:p w14:paraId="5EA46878" w14:textId="7544DF98" w:rsidR="0046655F" w:rsidRPr="0046655F" w:rsidRDefault="0046655F" w:rsidP="00FF60C6">
            <w:pPr>
              <w:widowControl w:val="0"/>
              <w:tabs>
                <w:tab w:val="left" w:pos="540"/>
                <w:tab w:val="left" w:pos="720"/>
              </w:tabs>
              <w:ind w:right="33"/>
              <w:jc w:val="both"/>
              <w:outlineLvl w:val="2"/>
              <w:rPr>
                <w:iCs/>
                <w:color w:val="222222"/>
                <w:sz w:val="24"/>
                <w:szCs w:val="24"/>
              </w:rPr>
            </w:pPr>
            <w:r w:rsidRPr="0046655F">
              <w:rPr>
                <w:iCs/>
                <w:color w:val="222222"/>
                <w:sz w:val="24"/>
                <w:szCs w:val="24"/>
              </w:rPr>
              <w:t xml:space="preserve">Постачальник побудував щонайменше 1 (одну) </w:t>
            </w:r>
            <w:r w:rsidRPr="0046655F">
              <w:rPr>
                <w:b/>
                <w:bCs/>
                <w:iCs/>
                <w:color w:val="222222"/>
                <w:sz w:val="24"/>
                <w:szCs w:val="24"/>
                <w:u w:val="single"/>
              </w:rPr>
              <w:t>громадськість</w:t>
            </w:r>
            <w:r w:rsidRPr="0046655F">
              <w:rPr>
                <w:iCs/>
                <w:color w:val="222222"/>
                <w:sz w:val="24"/>
                <w:szCs w:val="24"/>
              </w:rPr>
              <w:t xml:space="preserve"> будівлю протягом останніх 5* років до кінцевого терміну подання пропозиції. Вартість будівельних робіт на будівлі повинна становити щонайменше </w:t>
            </w:r>
            <w:r w:rsidRPr="0046655F">
              <w:rPr>
                <w:color w:val="222222"/>
                <w:sz w:val="24"/>
                <w:szCs w:val="24"/>
              </w:rPr>
              <w:t>690 000,00</w:t>
            </w:r>
            <w:r w:rsidRPr="0046655F">
              <w:rPr>
                <w:iCs/>
                <w:color w:val="222222"/>
                <w:sz w:val="24"/>
                <w:szCs w:val="24"/>
              </w:rPr>
              <w:t xml:space="preserve"> євро без ПДВ, а виконання найважливіших робіт та кінцеві результати повинні бути відповідними.</w:t>
            </w:r>
          </w:p>
          <w:p w14:paraId="6448BE40" w14:textId="77777777" w:rsidR="0046655F" w:rsidRPr="0046655F" w:rsidRDefault="0046655F" w:rsidP="00FF60C6">
            <w:pPr>
              <w:widowControl w:val="0"/>
              <w:tabs>
                <w:tab w:val="left" w:pos="540"/>
                <w:tab w:val="left" w:pos="720"/>
              </w:tabs>
              <w:ind w:right="33"/>
              <w:jc w:val="both"/>
              <w:outlineLvl w:val="2"/>
              <w:rPr>
                <w:iCs/>
                <w:color w:val="222222"/>
                <w:sz w:val="24"/>
                <w:szCs w:val="24"/>
              </w:rPr>
            </w:pPr>
          </w:p>
          <w:p w14:paraId="55B7845A" w14:textId="77777777" w:rsidR="0046655F" w:rsidRPr="0046655F" w:rsidRDefault="0046655F" w:rsidP="00FF60C6">
            <w:pPr>
              <w:widowControl w:val="0"/>
              <w:tabs>
                <w:tab w:val="left" w:pos="540"/>
                <w:tab w:val="left" w:pos="720"/>
              </w:tabs>
              <w:ind w:right="33"/>
              <w:jc w:val="both"/>
              <w:outlineLvl w:val="2"/>
              <w:rPr>
                <w:iCs/>
                <w:color w:val="222222"/>
                <w:sz w:val="24"/>
                <w:szCs w:val="24"/>
              </w:rPr>
            </w:pPr>
            <w:r w:rsidRPr="0046655F">
              <w:rPr>
                <w:iCs/>
                <w:color w:val="222222"/>
                <w:sz w:val="24"/>
                <w:szCs w:val="24"/>
              </w:rPr>
              <w:t>Найважливішими будівельними роботами є нове будівництво або реконструкція вищезгаданих будівель.</w:t>
            </w:r>
          </w:p>
          <w:p w14:paraId="7C5D4822" w14:textId="77777777" w:rsidR="0046655F" w:rsidRPr="0046655F" w:rsidRDefault="0046655F" w:rsidP="00FF60C6">
            <w:pPr>
              <w:widowControl w:val="0"/>
              <w:tabs>
                <w:tab w:val="left" w:pos="540"/>
                <w:tab w:val="left" w:pos="720"/>
              </w:tabs>
              <w:ind w:right="33"/>
              <w:jc w:val="both"/>
              <w:outlineLvl w:val="2"/>
              <w:rPr>
                <w:iCs/>
                <w:color w:val="222222"/>
                <w:sz w:val="24"/>
                <w:szCs w:val="24"/>
              </w:rPr>
            </w:pPr>
          </w:p>
          <w:p w14:paraId="21A53F95" w14:textId="77777777" w:rsidR="0046655F" w:rsidRPr="0046655F" w:rsidRDefault="0046655F" w:rsidP="00FF60C6">
            <w:pPr>
              <w:widowControl w:val="0"/>
              <w:tabs>
                <w:tab w:val="left" w:pos="540"/>
                <w:tab w:val="left" w:pos="720"/>
              </w:tabs>
              <w:ind w:right="33"/>
              <w:jc w:val="both"/>
              <w:outlineLvl w:val="2"/>
              <w:rPr>
                <w:iCs/>
                <w:color w:val="222222"/>
                <w:sz w:val="24"/>
                <w:szCs w:val="24"/>
              </w:rPr>
            </w:pPr>
            <w:r w:rsidRPr="0046655F">
              <w:rPr>
                <w:iCs/>
                <w:color w:val="222222"/>
                <w:sz w:val="24"/>
                <w:szCs w:val="24"/>
              </w:rPr>
              <w:t>- у випадку тендеру, поданого групою суб'єктів господарювання, вимога повинна бути виконана всіма членами групи суб'єктів господарювання спільно (досвід членів групи суб'єктів господарювання агрегується), з урахуванням взятих ними зобов'язань</w:t>
            </w:r>
          </w:p>
          <w:p w14:paraId="5B84FB16" w14:textId="77777777" w:rsidR="0046655F" w:rsidRPr="0046655F" w:rsidRDefault="0046655F" w:rsidP="00FF60C6">
            <w:pPr>
              <w:widowControl w:val="0"/>
              <w:tabs>
                <w:tab w:val="left" w:pos="540"/>
                <w:tab w:val="left" w:pos="720"/>
              </w:tabs>
              <w:ind w:right="33"/>
              <w:jc w:val="both"/>
              <w:outlineLvl w:val="2"/>
              <w:rPr>
                <w:iCs/>
                <w:color w:val="222222"/>
                <w:sz w:val="24"/>
                <w:szCs w:val="24"/>
              </w:rPr>
            </w:pPr>
            <w:r w:rsidRPr="0046655F">
              <w:rPr>
                <w:iCs/>
                <w:color w:val="222222"/>
                <w:sz w:val="24"/>
                <w:szCs w:val="24"/>
              </w:rPr>
              <w:t>- постачальник може покладатися на потужності інших суб'єктів господарювання лише за умови, що ці суб'єкти самі виконають ту частину договору, для якої потрібні їхні потужності</w:t>
            </w:r>
          </w:p>
          <w:p w14:paraId="17A17188" w14:textId="77777777" w:rsidR="0046655F" w:rsidRPr="0046655F" w:rsidRDefault="0046655F" w:rsidP="00FF60C6">
            <w:pPr>
              <w:widowControl w:val="0"/>
              <w:tabs>
                <w:tab w:val="left" w:pos="540"/>
                <w:tab w:val="left" w:pos="720"/>
              </w:tabs>
              <w:ind w:right="33"/>
              <w:jc w:val="both"/>
              <w:outlineLvl w:val="2"/>
              <w:rPr>
                <w:iCs/>
                <w:color w:val="222222"/>
                <w:sz w:val="24"/>
                <w:szCs w:val="24"/>
              </w:rPr>
            </w:pPr>
            <w:r w:rsidRPr="0046655F">
              <w:rPr>
                <w:iCs/>
                <w:color w:val="222222"/>
                <w:sz w:val="24"/>
                <w:szCs w:val="24"/>
              </w:rPr>
              <w:t>- на субпідрядників ця вимога не поширюється</w:t>
            </w:r>
          </w:p>
          <w:p w14:paraId="278D2F85" w14:textId="77777777" w:rsidR="0046655F" w:rsidRPr="0046655F" w:rsidRDefault="0046655F" w:rsidP="00FF60C6">
            <w:pPr>
              <w:widowControl w:val="0"/>
              <w:tabs>
                <w:tab w:val="left" w:pos="540"/>
                <w:tab w:val="left" w:pos="720"/>
              </w:tabs>
              <w:ind w:right="33"/>
              <w:jc w:val="both"/>
              <w:outlineLvl w:val="2"/>
              <w:rPr>
                <w:iCs/>
                <w:color w:val="222222"/>
                <w:sz w:val="24"/>
                <w:szCs w:val="24"/>
              </w:rPr>
            </w:pPr>
          </w:p>
          <w:p w14:paraId="6E64D53C" w14:textId="77777777" w:rsidR="0046655F" w:rsidRPr="0046655F" w:rsidRDefault="0046655F" w:rsidP="00FF60C6">
            <w:pPr>
              <w:widowControl w:val="0"/>
              <w:tabs>
                <w:tab w:val="left" w:pos="540"/>
                <w:tab w:val="left" w:pos="720"/>
              </w:tabs>
              <w:ind w:right="33"/>
              <w:jc w:val="both"/>
              <w:outlineLvl w:val="2"/>
              <w:rPr>
                <w:i/>
                <w:color w:val="222222"/>
                <w:sz w:val="24"/>
                <w:szCs w:val="24"/>
              </w:rPr>
            </w:pPr>
            <w:r w:rsidRPr="0046655F">
              <w:rPr>
                <w:i/>
                <w:color w:val="222222"/>
                <w:sz w:val="24"/>
                <w:szCs w:val="24"/>
              </w:rPr>
              <w:t>Підрядник не позбавлений права посилатися на договір, який постачальник виконував не самостійно, а спільно з іншими суб'єктами господарювання. Однак у такому випадку оцінюванню підлягають саме роботи, виконані конкретним суб'єктом господарювання, який бере участь у закупівлі, їх обсяг та вартість, а не весь предмет виконаного договору в цілому</w:t>
            </w:r>
          </w:p>
          <w:p w14:paraId="2D55496C" w14:textId="77777777" w:rsidR="0046655F" w:rsidRPr="0046655F" w:rsidRDefault="0046655F" w:rsidP="00FF60C6">
            <w:pPr>
              <w:widowControl w:val="0"/>
              <w:tabs>
                <w:tab w:val="left" w:pos="540"/>
                <w:tab w:val="left" w:pos="720"/>
              </w:tabs>
              <w:ind w:right="33"/>
              <w:jc w:val="both"/>
              <w:outlineLvl w:val="2"/>
              <w:rPr>
                <w:i/>
                <w:color w:val="222222"/>
                <w:sz w:val="24"/>
                <w:szCs w:val="24"/>
              </w:rPr>
            </w:pPr>
          </w:p>
          <w:p w14:paraId="3BEE79FE" w14:textId="77777777" w:rsidR="0046655F" w:rsidRPr="0046655F" w:rsidRDefault="0046655F" w:rsidP="00FF60C6">
            <w:pPr>
              <w:widowControl w:val="0"/>
              <w:tabs>
                <w:tab w:val="left" w:pos="540"/>
                <w:tab w:val="left" w:pos="720"/>
              </w:tabs>
              <w:ind w:right="33"/>
              <w:jc w:val="both"/>
              <w:outlineLvl w:val="2"/>
              <w:rPr>
                <w:i/>
                <w:color w:val="222222"/>
                <w:sz w:val="24"/>
                <w:szCs w:val="24"/>
              </w:rPr>
            </w:pPr>
            <w:r w:rsidRPr="0046655F">
              <w:rPr>
                <w:i/>
                <w:color w:val="222222"/>
                <w:sz w:val="24"/>
                <w:szCs w:val="24"/>
              </w:rPr>
              <w:t xml:space="preserve">* </w:t>
            </w:r>
            <w:r w:rsidRPr="0046655F">
              <w:rPr>
                <w:i/>
                <w:iCs/>
                <w:color w:val="222222"/>
                <w:sz w:val="24"/>
                <w:szCs w:val="24"/>
              </w:rPr>
              <w:t>Кваліфікація підрядника має бути набута до кінцевого строку подання тендерних пропозицій</w:t>
            </w:r>
            <w:r w:rsidRPr="0046655F">
              <w:rPr>
                <w:i/>
                <w:color w:val="222222"/>
                <w:sz w:val="24"/>
                <w:szCs w:val="24"/>
              </w:rPr>
              <w:t xml:space="preserve"> </w:t>
            </w:r>
            <w:r w:rsidRPr="0046655F">
              <w:rPr>
                <w:i/>
                <w:iCs/>
                <w:color w:val="222222"/>
                <w:sz w:val="24"/>
                <w:szCs w:val="24"/>
              </w:rPr>
              <w:t>У закупівельній документації терміни «за останні 5 років»; «протягом останніх 5 років» означають 5-річний період, що передує кінцевому терміну подання тендерних пропозицій</w:t>
            </w:r>
            <w:r w:rsidRPr="0046655F">
              <w:rPr>
                <w:i/>
                <w:color w:val="222222"/>
                <w:sz w:val="24"/>
                <w:szCs w:val="24"/>
              </w:rPr>
              <w:t xml:space="preserve"> </w:t>
            </w:r>
            <w:r w:rsidRPr="0046655F">
              <w:rPr>
                <w:i/>
                <w:iCs/>
                <w:color w:val="222222"/>
                <w:sz w:val="24"/>
                <w:szCs w:val="24"/>
              </w:rPr>
              <w:t>Якщо для підтвердження кваліфікації постачальника використовується контракт, виконання якого було розпочато більш ніж за 5 років до кінцевого строку подання тендерних пропозицій, але завершено протягом 5 років, що оцінюються, він може бути використаний для підтвердження кваліфікації за умови, що він відповідає іншим вимогам, для яких він використовується.</w:t>
            </w:r>
            <w:r w:rsidRPr="0046655F">
              <w:rPr>
                <w:i/>
                <w:color w:val="222222"/>
                <w:sz w:val="24"/>
                <w:szCs w:val="24"/>
              </w:rPr>
              <w:t xml:space="preserve"> </w:t>
            </w:r>
            <w:r w:rsidRPr="0046655F">
              <w:rPr>
                <w:i/>
                <w:iCs/>
                <w:color w:val="222222"/>
                <w:sz w:val="24"/>
                <w:szCs w:val="24"/>
              </w:rPr>
              <w:t>У випадку такого контракту до уваги береться частина контракту, завершена протягом 5 років, що оцінюються</w:t>
            </w:r>
          </w:p>
          <w:p w14:paraId="46CAE33C" w14:textId="77777777" w:rsidR="0046655F" w:rsidRPr="0046655F" w:rsidRDefault="0046655F" w:rsidP="00FF60C6">
            <w:pPr>
              <w:widowControl w:val="0"/>
              <w:tabs>
                <w:tab w:val="left" w:pos="540"/>
                <w:tab w:val="left" w:pos="720"/>
              </w:tabs>
              <w:ind w:right="33"/>
              <w:jc w:val="both"/>
              <w:outlineLvl w:val="2"/>
              <w:rPr>
                <w:i/>
                <w:color w:val="222222"/>
                <w:sz w:val="24"/>
                <w:szCs w:val="24"/>
              </w:rPr>
            </w:pPr>
          </w:p>
        </w:tc>
        <w:tc>
          <w:tcPr>
            <w:tcW w:w="4848" w:type="dxa"/>
          </w:tcPr>
          <w:p w14:paraId="707C4617" w14:textId="77777777" w:rsidR="0046655F" w:rsidRPr="0046655F" w:rsidRDefault="0046655F" w:rsidP="00FF60C6">
            <w:pPr>
              <w:ind w:right="34"/>
              <w:jc w:val="both"/>
              <w:rPr>
                <w:sz w:val="24"/>
                <w:szCs w:val="24"/>
              </w:rPr>
            </w:pPr>
            <w:r w:rsidRPr="0046655F">
              <w:rPr>
                <w:sz w:val="24"/>
                <w:szCs w:val="24"/>
                <w:lang w:val="uk-UA"/>
              </w:rPr>
              <w:t>Документи, які необхідно подати</w:t>
            </w:r>
            <w:r w:rsidRPr="0046655F">
              <w:rPr>
                <w:sz w:val="24"/>
                <w:szCs w:val="24"/>
              </w:rPr>
              <w:t>:</w:t>
            </w:r>
          </w:p>
          <w:p w14:paraId="6A99E3A1" w14:textId="77777777" w:rsidR="0046655F" w:rsidRPr="0046655F" w:rsidRDefault="0046655F" w:rsidP="00FF60C6">
            <w:pPr>
              <w:ind w:right="34"/>
              <w:jc w:val="both"/>
              <w:rPr>
                <w:sz w:val="24"/>
                <w:szCs w:val="24"/>
                <w:lang w:val="uk-UA"/>
              </w:rPr>
            </w:pPr>
            <w:r w:rsidRPr="0046655F">
              <w:rPr>
                <w:sz w:val="24"/>
                <w:szCs w:val="24"/>
                <w:lang w:val="uk-UA"/>
              </w:rPr>
              <w:t>1) перелік робіт, виконаних підрядником протягом останніх 5 років або протягом періоду з дати реєстрації підрядника (якщо підрядник здійснює свою діяльність менше 5 (п'яти) років), за формою, наведеною у Додатку 6 до Умов контракту «Перелік робіт, виконаних підрядником»</w:t>
            </w:r>
          </w:p>
          <w:p w14:paraId="2CBE7A52" w14:textId="77777777" w:rsidR="0046655F" w:rsidRPr="0046655F" w:rsidRDefault="0046655F" w:rsidP="00FF60C6">
            <w:pPr>
              <w:ind w:right="34"/>
              <w:jc w:val="both"/>
              <w:rPr>
                <w:sz w:val="24"/>
                <w:szCs w:val="24"/>
              </w:rPr>
            </w:pPr>
            <w:r w:rsidRPr="0046655F">
              <w:rPr>
                <w:sz w:val="24"/>
                <w:szCs w:val="24"/>
                <w:lang w:val="uk-UA"/>
              </w:rPr>
              <w:t xml:space="preserve">(2) довідки від замовників про задовільне виконання договорів, зазначених у переліку робіт підрядника, або інші документи від замовника та/або постачальника, що підтверджують задовільне виконання договору. У випадку, якщо підрядник подає документи, відмінні від документів замовника, на підтвердження задовільного виконання контракту, підрядник повинен надати пояснення, яким чином ці документи демонструють задовільне виконання контракту. </w:t>
            </w:r>
          </w:p>
          <w:p w14:paraId="226765AC" w14:textId="77777777" w:rsidR="0046655F" w:rsidRPr="0046655F" w:rsidRDefault="0046655F" w:rsidP="00FF60C6">
            <w:pPr>
              <w:ind w:right="33"/>
              <w:jc w:val="both"/>
              <w:rPr>
                <w:sz w:val="24"/>
                <w:szCs w:val="24"/>
                <w:lang w:val="uk-UA"/>
              </w:rPr>
            </w:pPr>
            <w:r w:rsidRPr="0046655F">
              <w:rPr>
                <w:sz w:val="24"/>
                <w:szCs w:val="24"/>
                <w:lang w:val="uk-UA"/>
              </w:rPr>
              <w:t>Належне виконання договору вважається обґрунтованим, якщо підтверджуючі документи (довідки тощо) підтверджують, що договірні зобов'язання підрядника були виконані задовільно.</w:t>
            </w:r>
          </w:p>
          <w:p w14:paraId="73B42EB4" w14:textId="77777777" w:rsidR="0046655F" w:rsidRPr="0046655F" w:rsidRDefault="0046655F" w:rsidP="00FF60C6">
            <w:pPr>
              <w:ind w:right="33"/>
              <w:jc w:val="both"/>
              <w:rPr>
                <w:sz w:val="24"/>
                <w:szCs w:val="24"/>
                <w:lang w:val="uk-UA"/>
              </w:rPr>
            </w:pPr>
          </w:p>
          <w:p w14:paraId="6270AA92" w14:textId="77777777" w:rsidR="0046655F" w:rsidRPr="0046655F" w:rsidRDefault="0046655F" w:rsidP="00FF60C6">
            <w:pPr>
              <w:ind w:right="33"/>
              <w:jc w:val="both"/>
              <w:rPr>
                <w:sz w:val="24"/>
                <w:szCs w:val="24"/>
                <w:lang w:val="uk-UA"/>
              </w:rPr>
            </w:pPr>
            <w:r w:rsidRPr="0046655F">
              <w:rPr>
                <w:sz w:val="24"/>
                <w:szCs w:val="24"/>
                <w:lang w:val="uk-UA"/>
              </w:rPr>
              <w:t>Закупівельна організація може за окремим запитом запросити копії або витяги з укладених договорів та документів, що описують предмет проєкту (наприклад, технічне завдання, акти приймання-передачі), з метою підтвердження або уточнення наданої інформації.</w:t>
            </w:r>
          </w:p>
          <w:p w14:paraId="174C948F" w14:textId="77777777" w:rsidR="0046655F" w:rsidRPr="0046655F" w:rsidRDefault="0046655F" w:rsidP="00FF60C6">
            <w:pPr>
              <w:ind w:right="33"/>
              <w:jc w:val="both"/>
              <w:rPr>
                <w:sz w:val="24"/>
                <w:szCs w:val="24"/>
                <w:lang w:val="uk-UA"/>
              </w:rPr>
            </w:pPr>
            <w:r w:rsidRPr="0046655F">
              <w:rPr>
                <w:sz w:val="24"/>
                <w:szCs w:val="24"/>
                <w:lang w:val="uk-UA"/>
              </w:rPr>
              <w:t>Закупівельна організація залишає за собою право без попереднього повідомлення зв'язатися з контактною особою замовника, вказаною постачальником, з метою уточнення інформації про товари, що виробляються та/або продаються.</w:t>
            </w:r>
          </w:p>
        </w:tc>
      </w:tr>
    </w:tbl>
    <w:p w14:paraId="3A3DF7CE" w14:textId="77777777" w:rsidR="00BA692B" w:rsidRDefault="00BA692B" w:rsidP="00A92970">
      <w:pPr>
        <w:overflowPunct w:val="0"/>
        <w:autoSpaceDE w:val="0"/>
        <w:autoSpaceDN w:val="0"/>
        <w:adjustRightInd w:val="0"/>
        <w:spacing w:after="60" w:line="240" w:lineRule="auto"/>
        <w:ind w:firstLine="709"/>
        <w:jc w:val="both"/>
        <w:rPr>
          <w:rFonts w:ascii="Times New Roman" w:eastAsia="Times New Roman" w:hAnsi="Times New Roman" w:cs="Times New Roman"/>
          <w:kern w:val="0"/>
          <w:szCs w:val="20"/>
          <w:lang w:eastAsia="lt-LT"/>
          <w14:ligatures w14:val="none"/>
        </w:rPr>
      </w:pPr>
    </w:p>
    <w:p w14:paraId="4A8B8C8A" w14:textId="31A98E3B" w:rsidR="009458F2" w:rsidRDefault="009458F2" w:rsidP="00A92970">
      <w:pPr>
        <w:overflowPunct w:val="0"/>
        <w:autoSpaceDE w:val="0"/>
        <w:autoSpaceDN w:val="0"/>
        <w:adjustRightInd w:val="0"/>
        <w:spacing w:after="60" w:line="240" w:lineRule="auto"/>
        <w:ind w:firstLine="709"/>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w:t>
      </w:r>
    </w:p>
    <w:p w14:paraId="1A303FDD" w14:textId="77777777" w:rsidR="009458F2" w:rsidRDefault="009458F2" w:rsidP="00A92970">
      <w:pPr>
        <w:overflowPunct w:val="0"/>
        <w:autoSpaceDE w:val="0"/>
        <w:autoSpaceDN w:val="0"/>
        <w:adjustRightInd w:val="0"/>
        <w:spacing w:after="60" w:line="240" w:lineRule="auto"/>
        <w:ind w:firstLine="709"/>
        <w:jc w:val="both"/>
        <w:rPr>
          <w:rFonts w:ascii="Times New Roman" w:eastAsia="Times New Roman" w:hAnsi="Times New Roman" w:cs="Times New Roman"/>
          <w:kern w:val="0"/>
          <w:szCs w:val="20"/>
          <w:lang w:eastAsia="lt-LT"/>
          <w14:ligatures w14:val="none"/>
        </w:rPr>
      </w:pPr>
    </w:p>
    <w:p w14:paraId="4DFD61DE" w14:textId="402425F2" w:rsidR="009458F2" w:rsidRPr="00DB5004" w:rsidRDefault="009458F2" w:rsidP="009458F2">
      <w:pPr>
        <w:spacing w:line="360" w:lineRule="auto"/>
        <w:ind w:firstLine="567"/>
        <w:jc w:val="both"/>
        <w:rPr>
          <w:rFonts w:ascii="Times New Roman" w:eastAsia="Calibri" w:hAnsi="Times New Roman" w:cs="Times New Roman"/>
        </w:rPr>
      </w:pPr>
      <w:r>
        <w:rPr>
          <w:rFonts w:ascii="Times New Roman" w:eastAsia="Times New Roman" w:hAnsi="Times New Roman" w:cs="Times New Roman"/>
          <w:bCs/>
          <w:lang w:eastAsia="en-GB" w:bidi="he-IL"/>
          <w14:textOutline w14:w="9525" w14:cap="rnd" w14:cmpd="sng" w14:algn="ctr">
            <w14:noFill/>
            <w14:prstDash w14:val="solid"/>
            <w14:bevel/>
          </w14:textOutline>
        </w:rPr>
        <w:t>Komisija, v</w:t>
      </w:r>
      <w:r w:rsidRPr="00797B4D">
        <w:rPr>
          <w:rFonts w:ascii="Times New Roman" w:eastAsia="Times New Roman" w:hAnsi="Times New Roman" w:cs="Times New Roman"/>
          <w:bCs/>
          <w:lang w:eastAsia="en-GB" w:bidi="he-IL"/>
          <w14:textOutline w14:w="9525" w14:cap="rnd" w14:cmpd="sng" w14:algn="ctr">
            <w14:noFill/>
            <w14:prstDash w14:val="solid"/>
            <w14:bevel/>
          </w14:textOutline>
        </w:rPr>
        <w:t>adovau</w:t>
      </w:r>
      <w:r>
        <w:rPr>
          <w:rFonts w:ascii="Times New Roman" w:eastAsia="Times New Roman" w:hAnsi="Times New Roman" w:cs="Times New Roman"/>
          <w:bCs/>
          <w:lang w:eastAsia="en-GB" w:bidi="he-IL"/>
          <w14:textOutline w14:w="9525" w14:cap="rnd" w14:cmpd="sng" w14:algn="ctr">
            <w14:noFill/>
            <w14:prstDash w14:val="solid"/>
            <w14:bevel/>
          </w14:textOutline>
        </w:rPr>
        <w:t>damasi</w:t>
      </w:r>
      <w:r w:rsidRPr="00797B4D">
        <w:rPr>
          <w:rFonts w:ascii="Times New Roman" w:eastAsia="Times New Roman" w:hAnsi="Times New Roman" w:cs="Times New Roman"/>
          <w:bCs/>
          <w:lang w:eastAsia="en-GB" w:bidi="he-IL"/>
          <w14:textOutline w14:w="9525" w14:cap="rnd" w14:cmpd="sng" w14:algn="ctr">
            <w14:noFill/>
            <w14:prstDash w14:val="solid"/>
            <w14:bevel/>
          </w14:textOutline>
        </w:rPr>
        <w:t xml:space="preserve"> Pirkimo dokumentų </w:t>
      </w:r>
      <w:r w:rsidR="00985FE2">
        <w:rPr>
          <w:rFonts w:ascii="Times New Roman" w:eastAsia="Times New Roman" w:hAnsi="Times New Roman" w:cs="Times New Roman"/>
          <w:bCs/>
          <w:lang w:eastAsia="en-GB" w:bidi="he-IL"/>
          <w14:textOutline w14:w="9525" w14:cap="rnd" w14:cmpd="sng" w14:algn="ctr">
            <w14:noFill/>
            <w14:prstDash w14:val="solid"/>
            <w14:bevel/>
          </w14:textOutline>
        </w:rPr>
        <w:t>5.3. p.</w:t>
      </w:r>
      <w:r w:rsidRPr="00797B4D">
        <w:rPr>
          <w:rFonts w:ascii="Times New Roman" w:eastAsia="Times New Roman" w:hAnsi="Times New Roman" w:cs="Times New Roman"/>
          <w:bCs/>
          <w:lang w:eastAsia="en-GB" w:bidi="he-IL"/>
          <w14:textOutline w14:w="9525" w14:cap="rnd" w14:cmpd="sng" w14:algn="ctr">
            <w14:noFill/>
            <w14:prstDash w14:val="solid"/>
            <w14:bevel/>
          </w14:textOutline>
        </w:rPr>
        <w:t xml:space="preserve"> bei atsižvelg</w:t>
      </w:r>
      <w:r>
        <w:rPr>
          <w:rFonts w:ascii="Times New Roman" w:eastAsia="Times New Roman" w:hAnsi="Times New Roman" w:cs="Times New Roman"/>
          <w:bCs/>
          <w:lang w:eastAsia="en-GB" w:bidi="he-IL"/>
          <w14:textOutline w14:w="9525" w14:cap="rnd" w14:cmpd="sng" w14:algn="ctr">
            <w14:noFill/>
            <w14:prstDash w14:val="solid"/>
            <w14:bevel/>
          </w14:textOutline>
        </w:rPr>
        <w:t>dama</w:t>
      </w:r>
      <w:r w:rsidRPr="00797B4D">
        <w:rPr>
          <w:rFonts w:ascii="Times New Roman" w:eastAsia="Times New Roman" w:hAnsi="Times New Roman" w:cs="Times New Roman"/>
          <w:bCs/>
          <w:lang w:eastAsia="en-GB" w:bidi="he-IL"/>
          <w14:textOutline w14:w="9525" w14:cap="rnd" w14:cmpd="sng" w14:algn="ctr">
            <w14:noFill/>
            <w14:prstDash w14:val="solid"/>
            <w14:bevel/>
          </w14:textOutline>
        </w:rPr>
        <w:t xml:space="preserve"> į atliktą Pirkimų dokumentų tikslinimą, pratęsia pasiūlymų pateikimo terminą</w:t>
      </w:r>
      <w:r>
        <w:rPr>
          <w:rFonts w:ascii="Times New Roman" w:eastAsia="Times New Roman" w:hAnsi="Times New Roman" w:cs="Times New Roman"/>
          <w:bCs/>
          <w:lang w:eastAsia="en-GB" w:bidi="he-IL"/>
          <w14:textOutline w14:w="9525" w14:cap="rnd" w14:cmpd="sng" w14:algn="ctr">
            <w14:noFill/>
            <w14:prstDash w14:val="solid"/>
            <w14:bevel/>
          </w14:textOutline>
        </w:rPr>
        <w:t xml:space="preserve"> </w:t>
      </w:r>
      <w:r w:rsidRPr="00797B4D">
        <w:rPr>
          <w:rFonts w:ascii="Times New Roman" w:eastAsia="Times New Roman" w:hAnsi="Times New Roman" w:cs="Times New Roman"/>
          <w:b/>
          <w:bCs/>
          <w:lang w:eastAsia="en-GB" w:bidi="he-IL"/>
          <w14:textOutline w14:w="9525" w14:cap="rnd" w14:cmpd="sng" w14:algn="ctr">
            <w14:noFill/>
            <w14:prstDash w14:val="solid"/>
            <w14:bevel/>
          </w14:textOutline>
        </w:rPr>
        <w:t xml:space="preserve">iki </w:t>
      </w:r>
      <w:r>
        <w:rPr>
          <w:rFonts w:ascii="Times New Roman" w:eastAsia="Times New Roman" w:hAnsi="Times New Roman" w:cs="Times New Roman"/>
          <w:b/>
          <w:bCs/>
          <w:lang w:eastAsia="en-GB" w:bidi="he-IL"/>
          <w14:textOutline w14:w="9525" w14:cap="rnd" w14:cmpd="sng" w14:algn="ctr">
            <w14:noFill/>
            <w14:prstDash w14:val="solid"/>
            <w14:bevel/>
          </w14:textOutline>
        </w:rPr>
        <w:t>202</w:t>
      </w:r>
      <w:r w:rsidR="0046655F">
        <w:rPr>
          <w:rFonts w:ascii="Times New Roman" w:eastAsia="Times New Roman" w:hAnsi="Times New Roman" w:cs="Times New Roman"/>
          <w:b/>
          <w:bCs/>
          <w:lang w:eastAsia="en-GB" w:bidi="he-IL"/>
          <w14:textOutline w14:w="9525" w14:cap="rnd" w14:cmpd="sng" w14:algn="ctr">
            <w14:noFill/>
            <w14:prstDash w14:val="solid"/>
            <w14:bevel/>
          </w14:textOutline>
        </w:rPr>
        <w:t>5</w:t>
      </w:r>
      <w:r>
        <w:rPr>
          <w:rFonts w:ascii="Times New Roman" w:eastAsia="Times New Roman" w:hAnsi="Times New Roman" w:cs="Times New Roman"/>
          <w:b/>
          <w:bCs/>
          <w:lang w:eastAsia="en-GB" w:bidi="he-IL"/>
          <w14:textOutline w14:w="9525" w14:cap="rnd" w14:cmpd="sng" w14:algn="ctr">
            <w14:noFill/>
            <w14:prstDash w14:val="solid"/>
            <w14:bevel/>
          </w14:textOutline>
        </w:rPr>
        <w:t>-</w:t>
      </w:r>
      <w:r w:rsidR="0046655F">
        <w:rPr>
          <w:rFonts w:ascii="Times New Roman" w:eastAsia="Times New Roman" w:hAnsi="Times New Roman" w:cs="Times New Roman"/>
          <w:b/>
          <w:bCs/>
          <w:lang w:eastAsia="en-GB" w:bidi="he-IL"/>
          <w14:textOutline w14:w="9525" w14:cap="rnd" w14:cmpd="sng" w14:algn="ctr">
            <w14:noFill/>
            <w14:prstDash w14:val="solid"/>
            <w14:bevel/>
          </w14:textOutline>
        </w:rPr>
        <w:t>06</w:t>
      </w:r>
      <w:r>
        <w:rPr>
          <w:rFonts w:ascii="Times New Roman" w:eastAsia="Times New Roman" w:hAnsi="Times New Roman" w:cs="Times New Roman"/>
          <w:b/>
          <w:bCs/>
          <w:lang w:eastAsia="en-GB" w:bidi="he-IL"/>
          <w14:textOutline w14:w="9525" w14:cap="rnd" w14:cmpd="sng" w14:algn="ctr">
            <w14:noFill/>
            <w14:prstDash w14:val="solid"/>
            <w14:bevel/>
          </w14:textOutline>
        </w:rPr>
        <w:t>-</w:t>
      </w:r>
      <w:r w:rsidR="0046655F">
        <w:rPr>
          <w:rFonts w:ascii="Times New Roman" w:eastAsia="Times New Roman" w:hAnsi="Times New Roman" w:cs="Times New Roman"/>
          <w:b/>
          <w:bCs/>
          <w:lang w:eastAsia="en-GB" w:bidi="he-IL"/>
          <w14:textOutline w14:w="9525" w14:cap="rnd" w14:cmpd="sng" w14:algn="ctr">
            <w14:noFill/>
            <w14:prstDash w14:val="solid"/>
            <w14:bevel/>
          </w14:textOutline>
        </w:rPr>
        <w:t>05</w:t>
      </w:r>
      <w:r>
        <w:rPr>
          <w:rFonts w:ascii="Times New Roman" w:eastAsia="Times New Roman" w:hAnsi="Times New Roman" w:cs="Times New Roman"/>
          <w:b/>
          <w:bCs/>
          <w:lang w:eastAsia="en-GB" w:bidi="he-IL"/>
          <w14:textOutline w14:w="9525" w14:cap="rnd" w14:cmpd="sng" w14:algn="ctr">
            <w14:noFill/>
            <w14:prstDash w14:val="solid"/>
            <w14:bevel/>
          </w14:textOutline>
        </w:rPr>
        <w:t xml:space="preserve"> 10:00.</w:t>
      </w:r>
    </w:p>
    <w:p w14:paraId="75B2E22E" w14:textId="77777777" w:rsidR="00A92970" w:rsidRPr="00A92970" w:rsidRDefault="00A92970" w:rsidP="00A92970">
      <w:pPr>
        <w:spacing w:after="120" w:line="259" w:lineRule="auto"/>
        <w:ind w:firstLine="567"/>
        <w:jc w:val="both"/>
        <w:rPr>
          <w:rFonts w:ascii="Times New Roman" w:eastAsia="Calibri" w:hAnsi="Times New Roman" w:cs="Times New Roman"/>
          <w:bCs/>
          <w:kern w:val="0"/>
          <w14:ligatures w14:val="none"/>
        </w:rPr>
      </w:pPr>
    </w:p>
    <w:p w14:paraId="6A9BE9DB" w14:textId="77777777" w:rsidR="00A92970" w:rsidRPr="00A92970" w:rsidRDefault="00A92970" w:rsidP="00A92970">
      <w:pPr>
        <w:autoSpaceDE w:val="0"/>
        <w:autoSpaceDN w:val="0"/>
        <w:adjustRightInd w:val="0"/>
        <w:spacing w:after="0" w:line="240" w:lineRule="auto"/>
        <w:ind w:firstLine="567"/>
        <w:jc w:val="both"/>
        <w:rPr>
          <w:rFonts w:ascii="Times New Roman" w:eastAsia="Calibri" w:hAnsi="Times New Roman" w:cs="Times New Roman"/>
          <w:iCs/>
          <w:kern w:val="0"/>
          <w14:ligatures w14:val="none"/>
        </w:rPr>
      </w:pPr>
      <w:r w:rsidRPr="00A92970">
        <w:rPr>
          <w:rFonts w:ascii="Times New Roman" w:eastAsia="Calibri" w:hAnsi="Times New Roman" w:cs="Times New Roman"/>
          <w:iCs/>
          <w:kern w:val="0"/>
          <w14:ligatures w14:val="none"/>
        </w:rPr>
        <w:t>Pagarbiai,</w:t>
      </w:r>
    </w:p>
    <w:p w14:paraId="7A676D2B" w14:textId="77777777" w:rsidR="00A92970" w:rsidRPr="00A92970" w:rsidRDefault="00A92970" w:rsidP="00A92970">
      <w:pPr>
        <w:autoSpaceDE w:val="0"/>
        <w:autoSpaceDN w:val="0"/>
        <w:adjustRightInd w:val="0"/>
        <w:spacing w:after="0" w:line="240" w:lineRule="auto"/>
        <w:ind w:firstLine="567"/>
        <w:jc w:val="both"/>
        <w:rPr>
          <w:rFonts w:ascii="Times New Roman" w:eastAsia="Calibri" w:hAnsi="Times New Roman" w:cs="Times New Roman"/>
          <w:iCs/>
          <w:kern w:val="0"/>
          <w14:ligatures w14:val="none"/>
        </w:rPr>
      </w:pPr>
      <w:r w:rsidRPr="00A92970">
        <w:rPr>
          <w:rFonts w:ascii="Times New Roman" w:eastAsia="Calibri" w:hAnsi="Times New Roman" w:cs="Times New Roman"/>
          <w:iCs/>
          <w:kern w:val="0"/>
          <w14:ligatures w14:val="none"/>
        </w:rPr>
        <w:t>Viešojo pirkimo komisija</w:t>
      </w:r>
    </w:p>
    <w:p w14:paraId="6CD3F910" w14:textId="77777777" w:rsidR="00A92970" w:rsidRPr="00A92970" w:rsidRDefault="00A92970" w:rsidP="00A92970">
      <w:pPr>
        <w:spacing w:line="259" w:lineRule="auto"/>
        <w:rPr>
          <w:rFonts w:ascii="Times New Roman" w:eastAsia="Calibri" w:hAnsi="Times New Roman" w:cs="Times New Roman"/>
          <w:kern w:val="0"/>
          <w:lang w:val="en-US"/>
          <w14:ligatures w14:val="none"/>
        </w:rPr>
      </w:pPr>
    </w:p>
    <w:p w14:paraId="436EAC9C" w14:textId="77777777" w:rsidR="00314087" w:rsidRDefault="00314087"/>
    <w:sectPr w:rsidR="00314087" w:rsidSect="00A92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E4135"/>
    <w:multiLevelType w:val="hybridMultilevel"/>
    <w:tmpl w:val="7D826DEC"/>
    <w:lvl w:ilvl="0" w:tplc="12AE02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1872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87"/>
    <w:rsid w:val="001113A5"/>
    <w:rsid w:val="00120464"/>
    <w:rsid w:val="002B0785"/>
    <w:rsid w:val="00314087"/>
    <w:rsid w:val="0041368E"/>
    <w:rsid w:val="0046655F"/>
    <w:rsid w:val="007128EE"/>
    <w:rsid w:val="008E76A4"/>
    <w:rsid w:val="009035EB"/>
    <w:rsid w:val="009458F2"/>
    <w:rsid w:val="00985FE2"/>
    <w:rsid w:val="009E0433"/>
    <w:rsid w:val="00A319F1"/>
    <w:rsid w:val="00A92970"/>
    <w:rsid w:val="00BA692B"/>
    <w:rsid w:val="00C412F3"/>
    <w:rsid w:val="00D15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A841B"/>
  <w15:chartTrackingRefBased/>
  <w15:docId w15:val="{4E9AAD40-BD81-4534-A9D0-B7CF086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087"/>
    <w:rPr>
      <w:rFonts w:eastAsiaTheme="majorEastAsia" w:cstheme="majorBidi"/>
      <w:color w:val="272727" w:themeColor="text1" w:themeTint="D8"/>
    </w:rPr>
  </w:style>
  <w:style w:type="paragraph" w:styleId="Title">
    <w:name w:val="Title"/>
    <w:basedOn w:val="Normal"/>
    <w:next w:val="Normal"/>
    <w:link w:val="TitleChar"/>
    <w:uiPriority w:val="10"/>
    <w:qFormat/>
    <w:rsid w:val="0031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087"/>
    <w:pPr>
      <w:spacing w:before="160"/>
      <w:jc w:val="center"/>
    </w:pPr>
    <w:rPr>
      <w:i/>
      <w:iCs/>
      <w:color w:val="404040" w:themeColor="text1" w:themeTint="BF"/>
    </w:rPr>
  </w:style>
  <w:style w:type="character" w:customStyle="1" w:styleId="QuoteChar">
    <w:name w:val="Quote Char"/>
    <w:basedOn w:val="DefaultParagraphFont"/>
    <w:link w:val="Quote"/>
    <w:uiPriority w:val="29"/>
    <w:rsid w:val="00314087"/>
    <w:rPr>
      <w:i/>
      <w:iCs/>
      <w:color w:val="404040" w:themeColor="text1" w:themeTint="BF"/>
    </w:rPr>
  </w:style>
  <w:style w:type="paragraph" w:styleId="ListParagraph">
    <w:name w:val="List Paragraph"/>
    <w:basedOn w:val="Normal"/>
    <w:uiPriority w:val="34"/>
    <w:qFormat/>
    <w:rsid w:val="00314087"/>
    <w:pPr>
      <w:ind w:left="720"/>
      <w:contextualSpacing/>
    </w:pPr>
  </w:style>
  <w:style w:type="character" w:styleId="IntenseEmphasis">
    <w:name w:val="Intense Emphasis"/>
    <w:basedOn w:val="DefaultParagraphFont"/>
    <w:uiPriority w:val="21"/>
    <w:qFormat/>
    <w:rsid w:val="00314087"/>
    <w:rPr>
      <w:i/>
      <w:iCs/>
      <w:color w:val="0F4761" w:themeColor="accent1" w:themeShade="BF"/>
    </w:rPr>
  </w:style>
  <w:style w:type="paragraph" w:styleId="IntenseQuote">
    <w:name w:val="Intense Quote"/>
    <w:basedOn w:val="Normal"/>
    <w:next w:val="Normal"/>
    <w:link w:val="IntenseQuoteChar"/>
    <w:uiPriority w:val="30"/>
    <w:qFormat/>
    <w:rsid w:val="0031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087"/>
    <w:rPr>
      <w:i/>
      <w:iCs/>
      <w:color w:val="0F4761" w:themeColor="accent1" w:themeShade="BF"/>
    </w:rPr>
  </w:style>
  <w:style w:type="character" w:styleId="IntenseReference">
    <w:name w:val="Intense Reference"/>
    <w:basedOn w:val="DefaultParagraphFont"/>
    <w:uiPriority w:val="32"/>
    <w:qFormat/>
    <w:rsid w:val="00314087"/>
    <w:rPr>
      <w:b/>
      <w:bCs/>
      <w:smallCaps/>
      <w:color w:val="0F4761" w:themeColor="accent1" w:themeShade="BF"/>
      <w:spacing w:val="5"/>
    </w:rPr>
  </w:style>
  <w:style w:type="character" w:styleId="CommentReference">
    <w:name w:val="annotation reference"/>
    <w:uiPriority w:val="99"/>
    <w:rsid w:val="009458F2"/>
    <w:rPr>
      <w:rFonts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9458F2"/>
    <w:pPr>
      <w:spacing w:before="120" w:after="120" w:line="240" w:lineRule="auto"/>
    </w:pPr>
    <w:rPr>
      <w:rFonts w:ascii="Arial" w:eastAsia="Times New Roman" w:hAnsi="Arial" w:cs="Times New Roman"/>
      <w:kern w:val="0"/>
      <w:sz w:val="20"/>
      <w:szCs w:val="20"/>
      <w:lang w:val="sv-SE"/>
      <w14:ligatures w14:val="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9458F2"/>
    <w:rPr>
      <w:rFonts w:ascii="Arial" w:eastAsia="Times New Roman" w:hAnsi="Arial" w:cs="Times New Roman"/>
      <w:kern w:val="0"/>
      <w:sz w:val="20"/>
      <w:szCs w:val="20"/>
      <w:lang w:val="sv-SE"/>
      <w14:ligatures w14:val="none"/>
    </w:rPr>
  </w:style>
  <w:style w:type="paragraph" w:styleId="CommentText">
    <w:name w:val="annotation text"/>
    <w:aliases w:val=" Diagrama Diagrama Diagrama, Diagrama Diagrama"/>
    <w:basedOn w:val="Normal"/>
    <w:link w:val="CommentTextChar1"/>
    <w:uiPriority w:val="99"/>
    <w:rsid w:val="009458F2"/>
    <w:pPr>
      <w:spacing w:before="120" w:after="120" w:line="240" w:lineRule="auto"/>
    </w:pPr>
    <w:rPr>
      <w:rFonts w:ascii="Arial" w:eastAsia="Times New Roman" w:hAnsi="Arial" w:cs="Times New Roman"/>
      <w:kern w:val="0"/>
      <w:sz w:val="20"/>
      <w:szCs w:val="20"/>
      <w:lang w:val="sv-SE"/>
      <w14:ligatures w14:val="none"/>
    </w:rPr>
  </w:style>
  <w:style w:type="character" w:customStyle="1" w:styleId="CommentTextChar">
    <w:name w:val="Comment Text Char"/>
    <w:basedOn w:val="DefaultParagraphFont"/>
    <w:uiPriority w:val="99"/>
    <w:semiHidden/>
    <w:rsid w:val="009458F2"/>
    <w:rPr>
      <w:sz w:val="20"/>
      <w:szCs w:val="20"/>
    </w:rPr>
  </w:style>
  <w:style w:type="character" w:customStyle="1" w:styleId="CommentTextChar1">
    <w:name w:val="Comment Text Char1"/>
    <w:aliases w:val=" Diagrama Diagrama Diagrama Char, Diagrama Diagrama Char"/>
    <w:link w:val="CommentText"/>
    <w:uiPriority w:val="99"/>
    <w:locked/>
    <w:rsid w:val="009458F2"/>
    <w:rPr>
      <w:rFonts w:ascii="Arial" w:eastAsia="Times New Roman" w:hAnsi="Arial" w:cs="Times New Roman"/>
      <w:kern w:val="0"/>
      <w:sz w:val="20"/>
      <w:szCs w:val="20"/>
      <w:lang w:val="sv-SE"/>
      <w14:ligatures w14:val="none"/>
    </w:rPr>
  </w:style>
  <w:style w:type="paragraph" w:customStyle="1" w:styleId="tin">
    <w:name w:val="tin"/>
    <w:basedOn w:val="Normal"/>
    <w:rsid w:val="009458F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TableGrid3">
    <w:name w:val="Table Grid3"/>
    <w:basedOn w:val="TableNormal"/>
    <w:next w:val="TableGrid"/>
    <w:rsid w:val="009458F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665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6A4"/>
    <w:pPr>
      <w:spacing w:after="0" w:line="240" w:lineRule="auto"/>
    </w:pPr>
  </w:style>
  <w:style w:type="paragraph" w:styleId="CommentSubject">
    <w:name w:val="annotation subject"/>
    <w:basedOn w:val="CommentText"/>
    <w:next w:val="CommentText"/>
    <w:link w:val="CommentSubjectChar"/>
    <w:uiPriority w:val="99"/>
    <w:semiHidden/>
    <w:unhideWhenUsed/>
    <w:rsid w:val="008E76A4"/>
    <w:pPr>
      <w:spacing w:before="0" w:after="160"/>
    </w:pPr>
    <w:rPr>
      <w:rFonts w:asciiTheme="minorHAnsi" w:eastAsiaTheme="minorHAnsi" w:hAnsiTheme="minorHAnsi" w:cstheme="minorBidi"/>
      <w:b/>
      <w:bCs/>
      <w:kern w:val="2"/>
      <w:lang w:val="lt-LT"/>
      <w14:ligatures w14:val="standardContextual"/>
    </w:rPr>
  </w:style>
  <w:style w:type="character" w:customStyle="1" w:styleId="CommentSubjectChar">
    <w:name w:val="Comment Subject Char"/>
    <w:basedOn w:val="CommentTextChar1"/>
    <w:link w:val="CommentSubject"/>
    <w:uiPriority w:val="99"/>
    <w:semiHidden/>
    <w:rsid w:val="008E76A4"/>
    <w:rPr>
      <w:rFonts w:ascii="Arial" w:eastAsia="Times New Roman" w:hAnsi="Arial" w:cs="Times New Roman"/>
      <w:b/>
      <w:bCs/>
      <w:kern w:val="0"/>
      <w:sz w:val="20"/>
      <w:szCs w:val="20"/>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E3E80-C118-46BD-8EE6-DF2B22999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73B51-C37F-46DA-9F38-E9794B2220F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3BE731C-4B58-4E42-A901-3EE28BC6E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4759</Words>
  <Characters>2713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protokolo priedas. Atsakymas į pretenziją</dc:title>
  <dc:subject/>
  <dc:creator>Tadas Kontrimas</dc:creator>
  <cp:keywords/>
  <dc:description/>
  <cp:lastModifiedBy>Tadas Kontrimas</cp:lastModifiedBy>
  <cp:revision>11</cp:revision>
  <dcterms:created xsi:type="dcterms:W3CDTF">2025-05-19T10:07:00Z</dcterms:created>
  <dcterms:modified xsi:type="dcterms:W3CDTF">2025-05-20T04:14:00Z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4359;#Teisės ir pirkimų skyrius|72419e98-9ffe-4573-a524-85d9b5806ebb;#4363;#Ukrainos ir taikos investicijų skyrius|3fe9dbe6-3f97-46f0-ba46-4cccdb346c0e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Kontrimas;#1283;#Laura Sungailaitė-Jurčė;#872;#Aina Jonuškytė;#203;#Lina Janionytė</vt:lpwstr>
  </property>
  <property fmtid="{D5CDD505-2E9C-101B-9397-08002B2CF9AE}" pid="7" name="DmsCommChanPerm">
    <vt:lpwstr/>
  </property>
  <property fmtid="{D5CDD505-2E9C-101B-9397-08002B2CF9AE}" pid="8" name="DmsPermissionsConfid">
    <vt:bool>false</vt:bool>
  </property>
  <property fmtid="{D5CDD505-2E9C-101B-9397-08002B2CF9AE}" pid="9" name="GrammarlyDocumentId">
    <vt:lpwstr>c50df9a1-557e-47c0-b80f-724c80e7d4e0</vt:lpwstr>
  </property>
  <property fmtid="{D5CDD505-2E9C-101B-9397-08002B2CF9AE}" pid="10" name="DmsDocPrepDocSendRegReal">
    <vt:bool>false</vt:bool>
  </property>
  <property fmtid="{D5CDD505-2E9C-101B-9397-08002B2CF9AE}" pid="11" name="DmsWaitingForSign">
    <vt:bool>true</vt:bool>
  </property>
</Properties>
</file>