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B0BDA25"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E64221">
            <w:rPr>
              <w:rFonts w:ascii="Times New Roman" w:hAnsi="Times New Roman" w:cs="Times New Roman"/>
              <w:b/>
              <w:bCs/>
              <w:sz w:val="24"/>
              <w:szCs w:val="24"/>
            </w:rPr>
            <w:t>JŪROS G</w:t>
          </w:r>
          <w:r w:rsidR="00F5347E">
            <w:rPr>
              <w:rFonts w:ascii="Times New Roman" w:hAnsi="Times New Roman" w:cs="Times New Roman"/>
              <w:b/>
              <w:bCs/>
              <w:sz w:val="24"/>
              <w:szCs w:val="24"/>
            </w:rPr>
            <w:t>. KT</w:t>
          </w:r>
          <w:r w:rsidR="00E64221">
            <w:rPr>
              <w:rFonts w:ascii="Times New Roman" w:hAnsi="Times New Roman" w:cs="Times New Roman"/>
              <w:b/>
              <w:bCs/>
              <w:sz w:val="24"/>
              <w:szCs w:val="24"/>
            </w:rPr>
            <w:t>7049</w:t>
          </w:r>
          <w:r w:rsidR="00F5347E">
            <w:rPr>
              <w:rFonts w:ascii="Times New Roman" w:hAnsi="Times New Roman" w:cs="Times New Roman"/>
              <w:b/>
              <w:bCs/>
              <w:sz w:val="24"/>
              <w:szCs w:val="24"/>
            </w:rPr>
            <w:t xml:space="preserve">, </w:t>
          </w:r>
          <w:r w:rsidR="00E64221">
            <w:rPr>
              <w:rFonts w:ascii="Times New Roman" w:hAnsi="Times New Roman" w:cs="Times New Roman"/>
              <w:b/>
              <w:bCs/>
              <w:sz w:val="24"/>
              <w:szCs w:val="24"/>
            </w:rPr>
            <w:t>VYDMANTŲ</w:t>
          </w:r>
          <w:r w:rsidR="00F5347E">
            <w:rPr>
              <w:rFonts w:ascii="Times New Roman" w:hAnsi="Times New Roman" w:cs="Times New Roman"/>
              <w:b/>
              <w:bCs/>
              <w:sz w:val="24"/>
              <w:szCs w:val="24"/>
            </w:rPr>
            <w:t xml:space="preserve"> K., KRETINGOS R. ASFALTO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513ACF"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71DEA771"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54953">
        <w:rPr>
          <w:rFonts w:ascii="Times New Roman" w:eastAsia="Calibri" w:hAnsi="Times New Roman" w:cs="Times New Roman"/>
          <w:b/>
          <w:bCs/>
          <w:color w:val="000000" w:themeColor="text1"/>
          <w:sz w:val="24"/>
          <w:szCs w:val="24"/>
        </w:rPr>
        <w:t>Jūros g.</w:t>
      </w:r>
      <w:r w:rsidR="006E292E" w:rsidRPr="006E292E">
        <w:rPr>
          <w:rFonts w:ascii="Times New Roman" w:eastAsia="Calibri" w:hAnsi="Times New Roman" w:cs="Times New Roman"/>
          <w:b/>
          <w:bCs/>
          <w:color w:val="000000" w:themeColor="text1"/>
          <w:sz w:val="24"/>
          <w:szCs w:val="24"/>
        </w:rPr>
        <w:t>. KT</w:t>
      </w:r>
      <w:r w:rsidR="00A54953">
        <w:rPr>
          <w:rFonts w:ascii="Times New Roman" w:eastAsia="Calibri" w:hAnsi="Times New Roman" w:cs="Times New Roman"/>
          <w:b/>
          <w:bCs/>
          <w:color w:val="000000" w:themeColor="text1"/>
          <w:sz w:val="24"/>
          <w:szCs w:val="24"/>
        </w:rPr>
        <w:t>7049</w:t>
      </w:r>
      <w:r w:rsidR="006E292E" w:rsidRPr="006E292E">
        <w:rPr>
          <w:rFonts w:ascii="Times New Roman" w:eastAsia="Calibri" w:hAnsi="Times New Roman" w:cs="Times New Roman"/>
          <w:b/>
          <w:bCs/>
          <w:color w:val="000000" w:themeColor="text1"/>
          <w:sz w:val="24"/>
          <w:szCs w:val="24"/>
        </w:rPr>
        <w:t xml:space="preserve">, </w:t>
      </w:r>
      <w:r w:rsidR="00A54953">
        <w:rPr>
          <w:rFonts w:ascii="Times New Roman" w:eastAsia="Calibri" w:hAnsi="Times New Roman" w:cs="Times New Roman"/>
          <w:b/>
          <w:bCs/>
          <w:color w:val="000000" w:themeColor="text1"/>
          <w:sz w:val="24"/>
          <w:szCs w:val="24"/>
        </w:rPr>
        <w:t>Vydmantų</w:t>
      </w:r>
      <w:r w:rsidR="006E292E" w:rsidRPr="006E292E">
        <w:rPr>
          <w:rFonts w:ascii="Times New Roman" w:eastAsia="Calibri" w:hAnsi="Times New Roman" w:cs="Times New Roman"/>
          <w:b/>
          <w:bCs/>
          <w:color w:val="000000" w:themeColor="text1"/>
          <w:sz w:val="24"/>
          <w:szCs w:val="24"/>
        </w:rPr>
        <w:t xml:space="preserve"> k., Kretingos r.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2CDC47C"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E64221" w:rsidRPr="00E64221">
        <w:rPr>
          <w:rFonts w:ascii="Times New Roman" w:eastAsia="Times New Roman" w:hAnsi="Times New Roman" w:cs="Times New Roman"/>
          <w:b/>
          <w:bCs/>
          <w:sz w:val="24"/>
          <w:szCs w:val="24"/>
        </w:rPr>
        <w:t>JŪROS G. KT7049, VYDMANTŲ K., KRETINGOS R.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331A9F4D" w14:textId="617AABE0" w:rsidR="00FB39F0" w:rsidRDefault="00FB39F0" w:rsidP="00FB39F0">
            <w:pPr>
              <w:shd w:val="clear" w:color="auto" w:fill="FFFFFF"/>
              <w:rPr>
                <w:rFonts w:eastAsia="Times New Roman"/>
                <w:sz w:val="24"/>
                <w:szCs w:val="24"/>
                <w:shd w:val="clear" w:color="auto" w:fill="FFFFFF"/>
                <w:lang w:eastAsia="en-US"/>
              </w:rPr>
            </w:pPr>
            <w:r w:rsidRPr="00FB39F0">
              <w:rPr>
                <w:rFonts w:cs="Calibri"/>
                <w:color w:val="000000"/>
              </w:rPr>
              <w:t xml:space="preserve">a) statinio projekto vadovą (statybos inžinierių ar architektą), </w:t>
            </w:r>
            <w:r w:rsidRPr="00FB39F0">
              <w:rPr>
                <w:rFonts w:cs="Calibri"/>
                <w:color w:val="000000"/>
              </w:rPr>
              <w:lastRenderedPageBreak/>
              <w:t xml:space="preserve">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00BB763B" w:rsidRPr="00FB39F0">
              <w:rPr>
                <w:rFonts w:cs="Calibri"/>
                <w:color w:val="000000"/>
              </w:rPr>
              <w:t xml:space="preserve"> </w:t>
            </w:r>
            <w:r w:rsidRPr="00FB39F0">
              <w:rPr>
                <w:rFonts w:eastAsia="Times New Roman"/>
                <w:shd w:val="clear" w:color="auto" w:fill="FFFFFF"/>
                <w:lang w:eastAsia="en-US"/>
              </w:rPr>
              <w:t xml:space="preserve"> krypties studijas ir įgijusį architektūros krypties kvalifikacinį laipsnį arba lygiavertę aukštojo mokslo kvalifikaciją;</w:t>
            </w:r>
            <w:r w:rsidRPr="00FB39F0">
              <w:rPr>
                <w:rFonts w:eastAsia="Times New Roman"/>
                <w:sz w:val="24"/>
                <w:szCs w:val="24"/>
                <w:shd w:val="clear" w:color="auto" w:fill="FFFFFF"/>
                <w:lang w:eastAsia="en-US"/>
              </w:rPr>
              <w:t xml:space="preserve"> </w:t>
            </w:r>
          </w:p>
          <w:p w14:paraId="79E1C45E" w14:textId="77777777" w:rsidR="00FB39F0" w:rsidRPr="00FB39F0" w:rsidRDefault="00FB39F0" w:rsidP="00FB39F0">
            <w:pPr>
              <w:shd w:val="clear" w:color="auto" w:fill="FFFFFF"/>
              <w:rPr>
                <w:rFonts w:eastAsia="Times New Roman"/>
                <w:sz w:val="24"/>
                <w:szCs w:val="24"/>
                <w:shd w:val="clear" w:color="auto" w:fill="FFFFFF"/>
                <w:lang w:eastAsia="en-US"/>
              </w:rPr>
            </w:pPr>
          </w:p>
          <w:p w14:paraId="1F5E240B" w14:textId="77777777" w:rsidR="00FB39F0" w:rsidRPr="00FB39F0" w:rsidRDefault="00FB39F0" w:rsidP="00FB39F0">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79997004" w14:textId="77777777" w:rsidR="00FB39F0" w:rsidRPr="00FB39F0" w:rsidRDefault="00FB39F0" w:rsidP="00FB39F0">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lastRenderedPageBreak/>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30BC75A2" w14:textId="77777777" w:rsidR="00C01D5C" w:rsidRPr="00C01D5C" w:rsidRDefault="00C01D5C" w:rsidP="00C01D5C">
            <w:pPr>
              <w:autoSpaceDE w:val="0"/>
              <w:autoSpaceDN w:val="0"/>
              <w:adjustRightInd w:val="0"/>
              <w:rPr>
                <w:rFonts w:cs="Calibri"/>
                <w:color w:val="000000"/>
              </w:rPr>
            </w:pPr>
            <w:r w:rsidRPr="00C01D5C">
              <w:rPr>
                <w:rFonts w:cs="Calibri"/>
                <w:color w:val="000000"/>
              </w:rPr>
              <w:t xml:space="preserve">Vadovaujančių bei už sutarties vykdymą atsakingų </w:t>
            </w:r>
            <w:r w:rsidRPr="00C01D5C">
              <w:rPr>
                <w:rFonts w:cs="Calibri"/>
                <w:b/>
                <w:color w:val="000000"/>
              </w:rPr>
              <w:t>specialistų sąrašas</w:t>
            </w:r>
            <w:r w:rsidRPr="00C01D5C">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14:paraId="48F98C30" w14:textId="77777777" w:rsidR="00C01D5C" w:rsidRPr="00C01D5C" w:rsidRDefault="00C01D5C" w:rsidP="00C01D5C">
            <w:pPr>
              <w:autoSpaceDE w:val="0"/>
              <w:autoSpaceDN w:val="0"/>
              <w:adjustRightInd w:val="0"/>
              <w:rPr>
                <w:rFonts w:cs="Calibri"/>
                <w:color w:val="000000"/>
              </w:rPr>
            </w:pPr>
            <w:r w:rsidRPr="00C01D5C">
              <w:rPr>
                <w:rFonts w:cs="Calibri"/>
                <w:color w:val="000000"/>
              </w:rPr>
              <w:t>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0"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0"/>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1"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1"/>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37134</Words>
  <Characters>21167</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10</cp:revision>
  <cp:lastPrinted>2025-01-07T09:13:00Z</cp:lastPrinted>
  <dcterms:created xsi:type="dcterms:W3CDTF">2025-05-14T07:24:00Z</dcterms:created>
  <dcterms:modified xsi:type="dcterms:W3CDTF">2025-05-20T04:54:00Z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