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EC64" w14:textId="77777777" w:rsidR="003A414E" w:rsidRDefault="003A414E" w:rsidP="003A414E">
      <w:pPr>
        <w:spacing w:after="0" w:line="360" w:lineRule="auto"/>
        <w:jc w:val="center"/>
        <w:rPr>
          <w:rFonts w:ascii="Tahoma" w:hAnsi="Tahoma" w:cs="Tahoma"/>
          <w:b/>
        </w:rPr>
      </w:pPr>
      <w:r>
        <w:rPr>
          <w:rFonts w:ascii="Tahoma" w:hAnsi="Tahoma" w:cs="Tahoma"/>
          <w:b/>
        </w:rPr>
        <w:t>ATSAKYMAI Į KLAUSIMUS KILUSIUS PER PASIŪLYMŲ TEIKIMO ETAPĄ</w:t>
      </w:r>
    </w:p>
    <w:p w14:paraId="1D868AFA" w14:textId="1DCAD1C8" w:rsidR="003A414E" w:rsidRDefault="003A414E" w:rsidP="003A414E">
      <w:pPr>
        <w:spacing w:after="0" w:line="360" w:lineRule="auto"/>
        <w:jc w:val="center"/>
        <w:rPr>
          <w:rFonts w:ascii="Tahoma" w:hAnsi="Tahoma" w:cs="Tahoma"/>
          <w:b/>
          <w:bCs/>
        </w:rPr>
      </w:pPr>
      <w:r w:rsidRPr="20C7AE09">
        <w:rPr>
          <w:rFonts w:ascii="Tahoma" w:hAnsi="Tahoma" w:cs="Tahoma"/>
          <w:b/>
          <w:bCs/>
        </w:rPr>
        <w:t xml:space="preserve">DĖL </w:t>
      </w:r>
      <w:r w:rsidR="00706ADA" w:rsidRPr="00706ADA">
        <w:rPr>
          <w:rFonts w:ascii="Tahoma" w:hAnsi="Tahoma" w:cs="Tahoma"/>
          <w:b/>
          <w:bCs/>
        </w:rPr>
        <w:t>ELEKTRONINĖS SVEIKATOS PASLAUGŲ IR BENDRADARBIAVIMO INFRASTRUKTŪROS INFORMACINĖS SISTEMOS (ESPBI IS) MODERNIZAVIMO, SUKURIANT ADPP POSISTEMĘ</w:t>
      </w:r>
      <w:r w:rsidR="009B751B">
        <w:rPr>
          <w:rFonts w:ascii="Tahoma" w:hAnsi="Tahoma" w:cs="Tahoma"/>
          <w:b/>
          <w:bCs/>
        </w:rPr>
        <w:t>, PASLAUGŲ PIRKIMO</w:t>
      </w:r>
    </w:p>
    <w:p w14:paraId="0C338410" w14:textId="77777777" w:rsidR="00237F0F" w:rsidRDefault="00237F0F" w:rsidP="003A414E">
      <w:pPr>
        <w:spacing w:after="0" w:line="360" w:lineRule="auto"/>
        <w:jc w:val="center"/>
        <w:rPr>
          <w:rFonts w:ascii="Tahoma" w:hAnsi="Tahoma" w:cs="Tahoma"/>
          <w:b/>
          <w:bCs/>
        </w:rPr>
      </w:pPr>
    </w:p>
    <w:p w14:paraId="480AEC37" w14:textId="0C05A70B" w:rsidR="00237F0F" w:rsidRPr="00237F0F" w:rsidRDefault="00237F0F" w:rsidP="00237F0F">
      <w:pPr>
        <w:spacing w:after="0" w:line="276" w:lineRule="auto"/>
        <w:ind w:firstLine="709"/>
        <w:rPr>
          <w:rFonts w:ascii="Tahoma" w:hAnsi="Tahoma" w:cs="Tahoma"/>
        </w:rPr>
      </w:pPr>
      <w:r w:rsidRPr="00237F0F">
        <w:rPr>
          <w:rFonts w:ascii="Tahoma" w:hAnsi="Tahoma" w:cs="Tahoma"/>
        </w:rPr>
        <w:t>Informuojame, kad Centrinės viešųjų pirkimų informacinės sistemos priemonėmis (toliau - CVP IS) buvo gaut</w:t>
      </w:r>
      <w:r w:rsidR="00FA7609">
        <w:rPr>
          <w:rFonts w:ascii="Tahoma" w:hAnsi="Tahoma" w:cs="Tahoma"/>
        </w:rPr>
        <w:t>i</w:t>
      </w:r>
      <w:r w:rsidRPr="00237F0F">
        <w:rPr>
          <w:rFonts w:ascii="Tahoma" w:hAnsi="Tahoma" w:cs="Tahoma"/>
        </w:rPr>
        <w:t xml:space="preserve"> tiekėj</w:t>
      </w:r>
      <w:r w:rsidR="00FA7609">
        <w:rPr>
          <w:rFonts w:ascii="Tahoma" w:hAnsi="Tahoma" w:cs="Tahoma"/>
        </w:rPr>
        <w:t>ų</w:t>
      </w:r>
      <w:r w:rsidRPr="00237F0F">
        <w:rPr>
          <w:rFonts w:ascii="Tahoma" w:hAnsi="Tahoma" w:cs="Tahoma"/>
        </w:rPr>
        <w:t xml:space="preserve"> prašyma</w:t>
      </w:r>
      <w:r w:rsidR="00FA7609">
        <w:rPr>
          <w:rFonts w:ascii="Tahoma" w:hAnsi="Tahoma" w:cs="Tahoma"/>
        </w:rPr>
        <w:t>i</w:t>
      </w:r>
      <w:r w:rsidRPr="00237F0F">
        <w:rPr>
          <w:rFonts w:ascii="Tahoma" w:hAnsi="Tahoma" w:cs="Tahoma"/>
        </w:rPr>
        <w:t xml:space="preserve"> paaiškinti ir (ar) patikslinti pirkimo sąlygas. Teikime gautus klausimus (kalba netaisyta) ir atsakymus į juos</w:t>
      </w:r>
      <w:r w:rsidR="00B80A77">
        <w:rPr>
          <w:rFonts w:ascii="Tahoma" w:hAnsi="Tahoma" w:cs="Tahoma"/>
        </w:rPr>
        <w:t>.</w:t>
      </w:r>
    </w:p>
    <w:p w14:paraId="4D8E59B5" w14:textId="77777777" w:rsidR="003A414E" w:rsidRPr="00AC7920" w:rsidRDefault="003A414E" w:rsidP="00237F0F">
      <w:pPr>
        <w:spacing w:after="0" w:line="276" w:lineRule="auto"/>
        <w:jc w:val="center"/>
        <w:rPr>
          <w:rFonts w:ascii="Tahoma" w:hAnsi="Tahoma" w:cs="Tahoma"/>
          <w:b/>
          <w:bCs/>
          <w:lang w:val="en-US"/>
        </w:rPr>
      </w:pPr>
    </w:p>
    <w:tbl>
      <w:tblPr>
        <w:tblStyle w:val="TableGrid"/>
        <w:tblW w:w="14596" w:type="dxa"/>
        <w:tblLook w:val="04A0" w:firstRow="1" w:lastRow="0" w:firstColumn="1" w:lastColumn="0" w:noHBand="0" w:noVBand="1"/>
      </w:tblPr>
      <w:tblGrid>
        <w:gridCol w:w="988"/>
        <w:gridCol w:w="7087"/>
        <w:gridCol w:w="6521"/>
      </w:tblGrid>
      <w:tr w:rsidR="003A414E" w:rsidRPr="008006BE" w14:paraId="2429C3CC" w14:textId="77777777" w:rsidTr="00FA7609">
        <w:trPr>
          <w:trHeight w:val="300"/>
        </w:trPr>
        <w:tc>
          <w:tcPr>
            <w:tcW w:w="988" w:type="dxa"/>
            <w:vAlign w:val="center"/>
          </w:tcPr>
          <w:p w14:paraId="69145A21" w14:textId="77777777" w:rsidR="003A414E" w:rsidRPr="008006BE" w:rsidRDefault="003A414E" w:rsidP="004276CB">
            <w:pPr>
              <w:jc w:val="center"/>
              <w:rPr>
                <w:rFonts w:ascii="Tahoma" w:hAnsi="Tahoma" w:cs="Tahoma"/>
                <w:b/>
              </w:rPr>
            </w:pPr>
            <w:r w:rsidRPr="008006BE">
              <w:rPr>
                <w:rFonts w:ascii="Tahoma" w:hAnsi="Tahoma" w:cs="Tahoma"/>
                <w:b/>
              </w:rPr>
              <w:t>Eil. Nr.</w:t>
            </w:r>
          </w:p>
        </w:tc>
        <w:tc>
          <w:tcPr>
            <w:tcW w:w="7087" w:type="dxa"/>
            <w:vAlign w:val="center"/>
          </w:tcPr>
          <w:p w14:paraId="4CD29AF9" w14:textId="77777777" w:rsidR="003A414E" w:rsidRPr="008006BE" w:rsidRDefault="003A414E" w:rsidP="004276CB">
            <w:pPr>
              <w:jc w:val="center"/>
              <w:rPr>
                <w:rFonts w:ascii="Tahoma" w:hAnsi="Tahoma" w:cs="Tahoma"/>
                <w:b/>
              </w:rPr>
            </w:pPr>
            <w:r w:rsidRPr="008006BE">
              <w:rPr>
                <w:rFonts w:ascii="Tahoma" w:hAnsi="Tahoma" w:cs="Tahoma"/>
                <w:b/>
              </w:rPr>
              <w:t>Klausimas</w:t>
            </w:r>
          </w:p>
        </w:tc>
        <w:tc>
          <w:tcPr>
            <w:tcW w:w="6521" w:type="dxa"/>
            <w:vAlign w:val="center"/>
          </w:tcPr>
          <w:p w14:paraId="46902D61" w14:textId="77777777" w:rsidR="003A414E" w:rsidRPr="008006BE" w:rsidRDefault="003A414E" w:rsidP="004276CB">
            <w:pPr>
              <w:jc w:val="center"/>
              <w:rPr>
                <w:rFonts w:ascii="Tahoma" w:hAnsi="Tahoma" w:cs="Tahoma"/>
                <w:b/>
              </w:rPr>
            </w:pPr>
            <w:r w:rsidRPr="008006BE">
              <w:rPr>
                <w:rFonts w:ascii="Tahoma" w:hAnsi="Tahoma" w:cs="Tahoma"/>
                <w:b/>
              </w:rPr>
              <w:t>Atsakymas</w:t>
            </w:r>
          </w:p>
        </w:tc>
      </w:tr>
      <w:tr w:rsidR="003A414E" w:rsidRPr="009B751B" w14:paraId="1CD3FCF0" w14:textId="77777777" w:rsidTr="00FA7609">
        <w:trPr>
          <w:trHeight w:val="300"/>
        </w:trPr>
        <w:tc>
          <w:tcPr>
            <w:tcW w:w="988" w:type="dxa"/>
          </w:tcPr>
          <w:p w14:paraId="71492F9D" w14:textId="77777777" w:rsidR="003A414E" w:rsidRPr="009B751B" w:rsidRDefault="003A414E" w:rsidP="003A414E">
            <w:pPr>
              <w:pStyle w:val="ListParagraph"/>
              <w:numPr>
                <w:ilvl w:val="0"/>
                <w:numId w:val="1"/>
              </w:numPr>
              <w:tabs>
                <w:tab w:val="left" w:pos="348"/>
              </w:tabs>
              <w:spacing w:after="120"/>
              <w:rPr>
                <w:rFonts w:ascii="Tahoma" w:hAnsi="Tahoma" w:cs="Tahoma"/>
              </w:rPr>
            </w:pPr>
          </w:p>
        </w:tc>
        <w:tc>
          <w:tcPr>
            <w:tcW w:w="7087" w:type="dxa"/>
          </w:tcPr>
          <w:p w14:paraId="331D8D99" w14:textId="77777777" w:rsidR="00FA7609" w:rsidRPr="00FA7609" w:rsidRDefault="00FA7609" w:rsidP="00FA7609">
            <w:pPr>
              <w:jc w:val="both"/>
              <w:rPr>
                <w:rFonts w:ascii="Tahoma" w:hAnsi="Tahoma" w:cs="Tahoma"/>
              </w:rPr>
            </w:pPr>
            <w:r w:rsidRPr="00FA7609">
              <w:rPr>
                <w:rFonts w:ascii="Tahoma" w:hAnsi="Tahoma" w:cs="Tahoma"/>
              </w:rPr>
              <w:t>RPO Nr. 60</w:t>
            </w:r>
          </w:p>
          <w:p w14:paraId="0FCDE48D" w14:textId="77777777" w:rsidR="00FA7609" w:rsidRPr="00FA7609" w:rsidRDefault="00FA7609" w:rsidP="00FA7609">
            <w:pPr>
              <w:jc w:val="both"/>
              <w:rPr>
                <w:rFonts w:ascii="Tahoma" w:hAnsi="Tahoma" w:cs="Tahoma"/>
              </w:rPr>
            </w:pPr>
            <w:r w:rsidRPr="00FA7609">
              <w:rPr>
                <w:rFonts w:ascii="Tahoma" w:hAnsi="Tahoma" w:cs="Tahoma"/>
              </w:rPr>
              <w:t xml:space="preserve">„Siūlant licencinę programinę įrangą, jos įsigijimo ir viso gyvenimo (angl. </w:t>
            </w:r>
            <w:proofErr w:type="spellStart"/>
            <w:r w:rsidRPr="00FA7609">
              <w:rPr>
                <w:rFonts w:ascii="Tahoma" w:hAnsi="Tahoma" w:cs="Tahoma"/>
              </w:rPr>
              <w:t>lifetime</w:t>
            </w:r>
            <w:proofErr w:type="spellEnd"/>
            <w:r w:rsidRPr="00FA7609">
              <w:rPr>
                <w:rFonts w:ascii="Tahoma" w:hAnsi="Tahoma" w:cs="Tahoma"/>
              </w:rPr>
              <w:t>) gamintojo užtikrinto palaikymo kaina turi būti įskaičiuota į pasiūlymo kainą.“</w:t>
            </w:r>
          </w:p>
          <w:p w14:paraId="68C5B103" w14:textId="77777777" w:rsidR="00FA7609" w:rsidRPr="00FA7609" w:rsidRDefault="00FA7609" w:rsidP="00FA7609">
            <w:pPr>
              <w:jc w:val="both"/>
              <w:rPr>
                <w:rFonts w:ascii="Tahoma" w:hAnsi="Tahoma" w:cs="Tahoma"/>
              </w:rPr>
            </w:pPr>
            <w:r w:rsidRPr="00FA7609">
              <w:rPr>
                <w:rFonts w:ascii="Tahoma" w:hAnsi="Tahoma" w:cs="Tahoma"/>
              </w:rPr>
              <w:t>Patikslinkite prašau ar ADPP posisteme turi turėti atskirą duomenų bazę nuo ESPBI IS ar tai bus ta pati ESPBI duomenų bazė?</w:t>
            </w:r>
          </w:p>
          <w:p w14:paraId="0324BE59" w14:textId="77777777" w:rsidR="00FA7609" w:rsidRPr="00FA7609" w:rsidRDefault="00FA7609" w:rsidP="00FA7609">
            <w:pPr>
              <w:jc w:val="both"/>
              <w:rPr>
                <w:rFonts w:ascii="Tahoma" w:hAnsi="Tahoma" w:cs="Tahoma"/>
              </w:rPr>
            </w:pPr>
            <w:r w:rsidRPr="00FA7609">
              <w:rPr>
                <w:rFonts w:ascii="Tahoma" w:hAnsi="Tahoma" w:cs="Tahoma"/>
              </w:rPr>
              <w:t>Reikalavimas NR 16. „Atrankos duomenys turi būti saugomi tam skirtoje atskiroje duomenų bazėje.“ teigia, kad atrankos duomenys būtinai turės būti saugomi atskiroje duomenų bazėje. Patikslinkite prašau ar tikrai?</w:t>
            </w:r>
          </w:p>
          <w:p w14:paraId="33A71248" w14:textId="77777777" w:rsidR="00FA7609" w:rsidRPr="00FA7609" w:rsidRDefault="00FA7609" w:rsidP="00FA7609">
            <w:pPr>
              <w:jc w:val="both"/>
              <w:rPr>
                <w:rFonts w:ascii="Tahoma" w:hAnsi="Tahoma" w:cs="Tahoma"/>
              </w:rPr>
            </w:pPr>
            <w:r w:rsidRPr="00FA7609">
              <w:rPr>
                <w:rFonts w:ascii="Tahoma" w:hAnsi="Tahoma" w:cs="Tahoma"/>
              </w:rPr>
              <w:t xml:space="preserve">Jei tai bus atskiros duomenų bazės, prašome pašalinti reikalavimą dėl „įsigijimo ir viso gyvenimo (angl. </w:t>
            </w:r>
            <w:proofErr w:type="spellStart"/>
            <w:r w:rsidRPr="00FA7609">
              <w:rPr>
                <w:rFonts w:ascii="Tahoma" w:hAnsi="Tahoma" w:cs="Tahoma"/>
              </w:rPr>
              <w:t>lifetime</w:t>
            </w:r>
            <w:proofErr w:type="spellEnd"/>
            <w:r w:rsidRPr="00FA7609">
              <w:rPr>
                <w:rFonts w:ascii="Tahoma" w:hAnsi="Tahoma" w:cs="Tahoma"/>
              </w:rPr>
              <w:t>) gamintojo užtikrinto palaikymo kaina“ (NR. 60) arba papildyti reikalavimą, kad „"</w:t>
            </w:r>
            <w:proofErr w:type="spellStart"/>
            <w:r w:rsidRPr="00FA7609">
              <w:rPr>
                <w:rFonts w:ascii="Tahoma" w:hAnsi="Tahoma" w:cs="Tahoma"/>
              </w:rPr>
              <w:t>Oracle</w:t>
            </w:r>
            <w:proofErr w:type="spellEnd"/>
            <w:r w:rsidRPr="00FA7609">
              <w:rPr>
                <w:rFonts w:ascii="Tahoma" w:hAnsi="Tahoma" w:cs="Tahoma"/>
              </w:rPr>
              <w:t>" duomenų bazės licencijos įsigijimas yra šiame dokumente nurodytų licencijavimo reikalavimų išimtis. Užsakovas suteiks "</w:t>
            </w:r>
            <w:proofErr w:type="spellStart"/>
            <w:r w:rsidRPr="00FA7609">
              <w:rPr>
                <w:rFonts w:ascii="Tahoma" w:hAnsi="Tahoma" w:cs="Tahoma"/>
              </w:rPr>
              <w:t>Oracle</w:t>
            </w:r>
            <w:proofErr w:type="spellEnd"/>
            <w:r w:rsidRPr="00FA7609">
              <w:rPr>
                <w:rFonts w:ascii="Tahoma" w:hAnsi="Tahoma" w:cs="Tahoma"/>
              </w:rPr>
              <w:t xml:space="preserve">" duomenų bazės licenciją.“, </w:t>
            </w:r>
            <w:proofErr w:type="spellStart"/>
            <w:r w:rsidRPr="00FA7609">
              <w:rPr>
                <w:rFonts w:ascii="Tahoma" w:hAnsi="Tahoma" w:cs="Tahoma"/>
              </w:rPr>
              <w:t>t.y</w:t>
            </w:r>
            <w:proofErr w:type="spellEnd"/>
            <w:r w:rsidRPr="00FA7609">
              <w:rPr>
                <w:rFonts w:ascii="Tahoma" w:hAnsi="Tahoma" w:cs="Tahoma"/>
              </w:rPr>
              <w:t>. papildyti ta dalimi, kuri buvo naudoja kituose pirkimų reikalavimuose (pavyzdžiui, „IPR DB atskyrimas nuo ESPBI IS DB“).</w:t>
            </w:r>
          </w:p>
          <w:p w14:paraId="30B7FE26" w14:textId="2B75259B" w:rsidR="003A414E" w:rsidRPr="009B751B" w:rsidRDefault="00FA7609" w:rsidP="00FA7609">
            <w:pPr>
              <w:jc w:val="both"/>
              <w:rPr>
                <w:rFonts w:ascii="Tahoma" w:hAnsi="Tahoma" w:cs="Tahoma"/>
              </w:rPr>
            </w:pPr>
            <w:r w:rsidRPr="00FA7609">
              <w:rPr>
                <w:rFonts w:ascii="Tahoma" w:hAnsi="Tahoma" w:cs="Tahoma"/>
              </w:rPr>
              <w:t xml:space="preserve">Programinės įrangos licencijos visam gyvenimui nėra suteikiamos dėl kelių priežasčių. Pirma, programinė įranga nuolat tobulinama ir atnaujinama, todėl licencijos turi būti periodiškai atnaujinamos, kad užtikrintų naujausias funkcijas ir saugumą. Antra, programinės įrangos </w:t>
            </w:r>
            <w:r w:rsidRPr="00FA7609">
              <w:rPr>
                <w:rFonts w:ascii="Tahoma" w:hAnsi="Tahoma" w:cs="Tahoma"/>
              </w:rPr>
              <w:lastRenderedPageBreak/>
              <w:t>tiekėjai turi užtikrinti nuolatinę techninę pagalbą ir palaikymą, kas reikalauja nuolatinių išlaidų.</w:t>
            </w:r>
          </w:p>
        </w:tc>
        <w:tc>
          <w:tcPr>
            <w:tcW w:w="6521" w:type="dxa"/>
            <w:vAlign w:val="center"/>
          </w:tcPr>
          <w:p w14:paraId="52EE58DD" w14:textId="76FF03E1" w:rsidR="003A414E" w:rsidRPr="009B751B" w:rsidRDefault="00FA7609" w:rsidP="00FA7609">
            <w:pPr>
              <w:spacing w:after="0"/>
              <w:jc w:val="both"/>
              <w:rPr>
                <w:rFonts w:ascii="Tahoma" w:hAnsi="Tahoma" w:cs="Tahoma"/>
              </w:rPr>
            </w:pPr>
            <w:r w:rsidRPr="00FA7609">
              <w:rPr>
                <w:rFonts w:ascii="Tahoma" w:hAnsi="Tahoma" w:cs="Tahoma"/>
              </w:rPr>
              <w:lastRenderedPageBreak/>
              <w:t>Kadangi pirkimo apimtis yra ADPP IS posistemio sukūrimas ir su tuo susiję darbai (</w:t>
            </w:r>
            <w:proofErr w:type="spellStart"/>
            <w:r w:rsidRPr="00FA7609">
              <w:rPr>
                <w:rFonts w:ascii="Tahoma" w:hAnsi="Tahoma" w:cs="Tahoma"/>
              </w:rPr>
              <w:t>t.y</w:t>
            </w:r>
            <w:proofErr w:type="spellEnd"/>
            <w:r w:rsidRPr="00FA7609">
              <w:rPr>
                <w:rFonts w:ascii="Tahoma" w:hAnsi="Tahoma" w:cs="Tahoma"/>
              </w:rPr>
              <w:t>. ne visa ESPBI IS), šiuo atveju reikalavimas Nr. 60 yra taikomas reikalavimui Nr. 16 (</w:t>
            </w:r>
            <w:proofErr w:type="spellStart"/>
            <w:r w:rsidRPr="00FA7609">
              <w:rPr>
                <w:rFonts w:ascii="Tahoma" w:hAnsi="Tahoma" w:cs="Tahoma"/>
              </w:rPr>
              <w:t>t.y</w:t>
            </w:r>
            <w:proofErr w:type="spellEnd"/>
            <w:r w:rsidRPr="00FA7609">
              <w:rPr>
                <w:rFonts w:ascii="Tahoma" w:hAnsi="Tahoma" w:cs="Tahoma"/>
              </w:rPr>
              <w:t>. atskirai ADPP atrankos duomenų  bazei).</w:t>
            </w:r>
          </w:p>
        </w:tc>
      </w:tr>
      <w:tr w:rsidR="00FA7609" w:rsidRPr="009B751B" w14:paraId="24B41275" w14:textId="77777777" w:rsidTr="00FA7609">
        <w:trPr>
          <w:trHeight w:val="300"/>
        </w:trPr>
        <w:tc>
          <w:tcPr>
            <w:tcW w:w="988" w:type="dxa"/>
          </w:tcPr>
          <w:p w14:paraId="3121C00D" w14:textId="77777777" w:rsidR="00FA7609" w:rsidRPr="009B751B" w:rsidRDefault="00FA7609" w:rsidP="00FE1F80">
            <w:pPr>
              <w:pStyle w:val="ListParagraph"/>
              <w:numPr>
                <w:ilvl w:val="0"/>
                <w:numId w:val="1"/>
              </w:numPr>
              <w:tabs>
                <w:tab w:val="left" w:pos="348"/>
              </w:tabs>
              <w:spacing w:after="120"/>
              <w:rPr>
                <w:rFonts w:ascii="Tahoma" w:hAnsi="Tahoma" w:cs="Tahoma"/>
              </w:rPr>
            </w:pPr>
          </w:p>
        </w:tc>
        <w:tc>
          <w:tcPr>
            <w:tcW w:w="7087" w:type="dxa"/>
          </w:tcPr>
          <w:p w14:paraId="2435778B"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Techninė specifikacijos reikalavimai (2 priedas)</w:t>
            </w:r>
          </w:p>
          <w:p w14:paraId="3237CBD1"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„2.4. Paslaugų teikimas turi būti vykdomas vadovaujantis žemiau nurodytais teisės aktais bei jų pakeitimais, atsiradusiais Paslaugų teikimo metu ir kitais su kompiuterizuojama veiklos sritimi bei kuriamomis ar modifikuojamomis el. paslaugomis susijusiais dokumentais:“</w:t>
            </w:r>
          </w:p>
          <w:p w14:paraId="2192CCDF"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„2.5. Tiekėjas privalo vadovautis Sutarties vykdymo metu aktualiomis teisės aktų redakcijomis. Tiekėjui privalomi ir visi Sutarties vykdymo metu naujai priimti / pakeisti teisės aktai, jeigu jie susiję su Sutarties įgyvendinimu. Jei naujai priimti / pakeisti teisės aktai prieštarauja šioje Techninėje specifikacijoje aprašytiems reikalavimams, Tiekėjas turi įgyvendinti reikalavimus vadovaudamasis Sutarties vykdymo metu priimtų / pakeistų teisės aktų aktualiomis versijomis.“</w:t>
            </w:r>
          </w:p>
          <w:p w14:paraId="17CA467B"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Prašome perkelti reikalavimą atsižvelgti į naujai išleistus po pasiūlymo pateikimo teisės aktus (Techninės specifikacijos 2.4 ir 2.5 punktų reikalavimą) prie papildomai užsakomų vystymo paslaugų, nes tai didelės rizikos neribotos apimties reikalavimas ir neįmanoma įvertinti darbams reikalingus kaštus.</w:t>
            </w:r>
          </w:p>
          <w:p w14:paraId="45FE8A64"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Taip pat papildyti RPO reikalavimu, kad „Sprendimas turi atitikti galiojančius teisinius reglamentus (tuos, kurie galioja pasiūlymo pateikimo dieną)““.</w:t>
            </w:r>
          </w:p>
          <w:p w14:paraId="510FF086"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Kitų perkančiosios organizacijos vykdomų pirkimų paaiškinimuose iš perkančiosios organizacijos gautas atsakymas į šį klausimą:</w:t>
            </w:r>
          </w:p>
          <w:p w14:paraId="6B8B287B"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„Pažymime, kad šiuo metu, nei Perkančioji organizacija, nei tiekėjai negali žinoti kokie teisės aktų pakeitimai bus priimti šios sutarties vykdymo metu, todėl įvertinusi tai, Perkančioji organizacija Pirkime yra numačiusi papildomas vystymo paslaugas.</w:t>
            </w:r>
          </w:p>
          <w:p w14:paraId="76D17388" w14:textId="549CF4C9"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xml:space="preserve">Paaiškiname, kad fiksuotos kainos apimtyje paslaugos teikiamos taikant šio Pirkimo metu galiojančius teisės aktus. Teisės aktų pakeitimai (jei </w:t>
            </w:r>
            <w:r w:rsidRPr="00FA7609">
              <w:rPr>
                <w:rFonts w:ascii="Tahoma" w:hAnsi="Tahoma" w:cs="Tahoma"/>
                <w:color w:val="00241A"/>
                <w:shd w:val="clear" w:color="auto" w:fill="FFFFFF"/>
              </w:rPr>
              <w:lastRenderedPageBreak/>
              <w:t>tokių bus) priimti vėliau, kurie įtakoja šios paslaugos rezultatus, ir kuriems pritaikyti reikalingi papildomi darbai, bus apmokami panaudojant papildomoms vystymo paslaugoms skirtas lėšas.“</w:t>
            </w:r>
          </w:p>
        </w:tc>
        <w:tc>
          <w:tcPr>
            <w:tcW w:w="6521" w:type="dxa"/>
            <w:vAlign w:val="center"/>
          </w:tcPr>
          <w:p w14:paraId="42B596F3" w14:textId="77777777" w:rsidR="00FA7609" w:rsidRPr="00FA7609" w:rsidRDefault="00FA7609" w:rsidP="00FA7609">
            <w:pPr>
              <w:spacing w:after="0"/>
              <w:jc w:val="both"/>
              <w:rPr>
                <w:rFonts w:ascii="Tahoma" w:hAnsi="Tahoma" w:cs="Tahoma"/>
              </w:rPr>
            </w:pPr>
            <w:r w:rsidRPr="00FA7609">
              <w:rPr>
                <w:rFonts w:ascii="Tahoma" w:hAnsi="Tahoma" w:cs="Tahoma"/>
              </w:rPr>
              <w:lastRenderedPageBreak/>
              <w:t>Pažymime, kad šiuo metu, nei Perkančioji organizacija, nei tiekėjai negali žinoti kokie teisės aktų pakeitimai bus priimti šios sutarties vykdymo metu, todėl įvertinusi tai, Perkančioji organizacija Pirkime yra numačiusi papildomas vystymo paslaugas.</w:t>
            </w:r>
          </w:p>
          <w:p w14:paraId="5C4A2D2E" w14:textId="4B6CC4BD" w:rsidR="00FA7609" w:rsidRPr="009E7AAF" w:rsidRDefault="00FA7609" w:rsidP="00FA7609">
            <w:pPr>
              <w:spacing w:after="0"/>
              <w:jc w:val="both"/>
              <w:rPr>
                <w:rFonts w:ascii="Tahoma" w:hAnsi="Tahoma" w:cs="Tahoma"/>
              </w:rPr>
            </w:pPr>
            <w:r w:rsidRPr="00FA7609">
              <w:rPr>
                <w:rFonts w:ascii="Tahoma" w:hAnsi="Tahoma" w:cs="Tahoma"/>
              </w:rPr>
              <w:t>Paaiškiname, kad fiksuotos kainos apimtyje paslaugos teikiamos taikant šio Pirkimo metu galiojančius teisės aktus. Teisės aktų pakeitimai (jei tokių bus) priimti vėliau, kurie įtakoja šios paslaugos rezultatus, ir kuriems pritaikyti reikalingi papildomi darbai, bus apmokami panaudojant papildomoms vystymo paslaugoms skirtas lėšas.</w:t>
            </w:r>
          </w:p>
        </w:tc>
      </w:tr>
      <w:tr w:rsidR="00FA7609" w:rsidRPr="009B751B" w14:paraId="3A3C0EB8" w14:textId="77777777" w:rsidTr="00FA7609">
        <w:trPr>
          <w:trHeight w:val="300"/>
        </w:trPr>
        <w:tc>
          <w:tcPr>
            <w:tcW w:w="988" w:type="dxa"/>
          </w:tcPr>
          <w:p w14:paraId="2B34D6B1" w14:textId="77777777" w:rsidR="00FA7609" w:rsidRPr="009B751B" w:rsidRDefault="00FA7609" w:rsidP="00FE1F80">
            <w:pPr>
              <w:pStyle w:val="ListParagraph"/>
              <w:numPr>
                <w:ilvl w:val="0"/>
                <w:numId w:val="1"/>
              </w:numPr>
              <w:tabs>
                <w:tab w:val="left" w:pos="348"/>
              </w:tabs>
              <w:spacing w:after="120"/>
              <w:rPr>
                <w:rFonts w:ascii="Tahoma" w:hAnsi="Tahoma" w:cs="Tahoma"/>
              </w:rPr>
            </w:pPr>
          </w:p>
        </w:tc>
        <w:tc>
          <w:tcPr>
            <w:tcW w:w="7087" w:type="dxa"/>
          </w:tcPr>
          <w:p w14:paraId="5276DB64"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Ar teisingai suprantame ir sutinkate, kad analizės etape ir kituose etapuose visos pateiktys turėtų būti ir bus tvirtinamos Užsakovo, o patvirtintų pateikčių keitimas būtų traktuojamas kaip papildomas užsakymas ir apmokamas iš papildomų valandų? Efektyvus projekto valdymas reikalauja aiškaus darbo apimties ir biudžeto nustatymo. Papildomi keitimai turi būti valdomi atskirai, kad būtų užtikrintas projekto sklandumas ir efektyvumas.</w:t>
            </w:r>
          </w:p>
          <w:p w14:paraId="251D0305" w14:textId="34CB61DF"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Siekiant išvengti situacijų, kai po reikalavimų analizės ir patvirtinimo Užsakovas gali pakeisti savo nuomonę dėl sprendimo, neapmokėdamas Tiekėjui už papildomus būsimus kaštus, būtina užtikrinti, kad Užsakovas aktyviai dalyvautų projekte. Užsakovas turi patvirtinti kiekvieno projekto etapo rezultatus, įsitikinęs, kad jie atitinka jo keliamus reikalavimus. Tai yra esminis projekto sėkmės garantas, leidžiantis efektyviai valdyti projekto apimtį, biudžetą ir grafiką.</w:t>
            </w:r>
          </w:p>
        </w:tc>
        <w:tc>
          <w:tcPr>
            <w:tcW w:w="6521" w:type="dxa"/>
            <w:vAlign w:val="center"/>
          </w:tcPr>
          <w:p w14:paraId="65098B90" w14:textId="23B05819" w:rsidR="00FA7609" w:rsidRPr="009E7AAF" w:rsidRDefault="00FA7609" w:rsidP="00FA7609">
            <w:pPr>
              <w:spacing w:after="0"/>
              <w:jc w:val="both"/>
              <w:rPr>
                <w:rFonts w:ascii="Tahoma" w:hAnsi="Tahoma" w:cs="Tahoma"/>
              </w:rPr>
            </w:pPr>
            <w:r w:rsidRPr="00FA7609">
              <w:rPr>
                <w:rFonts w:ascii="Tahoma" w:hAnsi="Tahoma" w:cs="Tahoma"/>
              </w:rPr>
              <w:t>Patvirtiname, kad patvirtintų pateikčių keitimai bus traktuojami kaip papildomas užsakymas.</w:t>
            </w:r>
          </w:p>
        </w:tc>
      </w:tr>
      <w:tr w:rsidR="00FA7609" w:rsidRPr="009B751B" w14:paraId="418481D9" w14:textId="77777777" w:rsidTr="00FA7609">
        <w:trPr>
          <w:trHeight w:val="300"/>
        </w:trPr>
        <w:tc>
          <w:tcPr>
            <w:tcW w:w="988" w:type="dxa"/>
          </w:tcPr>
          <w:p w14:paraId="2D0D88E7" w14:textId="77777777" w:rsidR="00FA7609" w:rsidRPr="009B751B" w:rsidRDefault="00FA7609" w:rsidP="00FE1F80">
            <w:pPr>
              <w:pStyle w:val="ListParagraph"/>
              <w:numPr>
                <w:ilvl w:val="0"/>
                <w:numId w:val="1"/>
              </w:numPr>
              <w:tabs>
                <w:tab w:val="left" w:pos="348"/>
              </w:tabs>
              <w:spacing w:after="120"/>
              <w:rPr>
                <w:rFonts w:ascii="Tahoma" w:hAnsi="Tahoma" w:cs="Tahoma"/>
              </w:rPr>
            </w:pPr>
          </w:p>
        </w:tc>
        <w:tc>
          <w:tcPr>
            <w:tcW w:w="7087" w:type="dxa"/>
          </w:tcPr>
          <w:p w14:paraId="05BA3922"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„Pirkimo sąlygų 6 priedas Sutarties projektas specialiosios sąlygos“ punktas 4.2.2 „Paslaugų / jų dalies / etapo / periodo suteikimo termino pratęsimas“:</w:t>
            </w:r>
          </w:p>
          <w:p w14:paraId="542E7044"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„Antro prioriteto Paslaugų (ar atskiros paslaugų dalies iš antro prioriteto paslaugų) bei Papildomų vystymo Paslaugų teikimo terminas, nurodytas Specialiųjų sąlygų 4.1.2. punkte, gali būti pratęstas jei nebus išnaudota Specialiųjų sąlygų 5.2 p. nurodyta Pradinė Sutarties vertė. Tokiu atveju, Pirkėjas raštu apie tai praneša Tiekėjui, nurodydamas kokiam terminui siūloma pratęsti Paslaugų teikimo terminą. Tiekėjui sutikus, Paslaugų teikimo terminas gali būti pratęsiamas tik kol bus išnaudota Specialiųjų sąlygų 5.2 p. nurodyta Pradinės Sutarties vertė, bet ne ilgiau nei 24 mėnesių laikotarpiui (pratęsimų kiekis neribojamas).“</w:t>
            </w:r>
          </w:p>
          <w:p w14:paraId="1495D345"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xml:space="preserve">„RPO“ Reikalavimas Nr. PR-8: „PII prioriteto paslaugos yra laikomos papildomomis paslaugomis, kurias Perkančioji organizacija gali </w:t>
            </w:r>
            <w:r w:rsidRPr="00FA7609">
              <w:rPr>
                <w:rFonts w:ascii="Tahoma" w:hAnsi="Tahoma" w:cs="Tahoma"/>
                <w:color w:val="00241A"/>
                <w:shd w:val="clear" w:color="auto" w:fill="FFFFFF"/>
              </w:rPr>
              <w:lastRenderedPageBreak/>
              <w:t>pasirinkti užsakyti iš Tiekėjo, ir jos turi būti atliktos per 24 mėn. nuo Sutarties įsigaliojimo dienos (arba kitą laikotarpį nustatytą Sutartyje).“</w:t>
            </w:r>
          </w:p>
          <w:p w14:paraId="7B49DA82" w14:textId="52D6CD7D"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Paaiškinkite prašau ar sutartis bus pratęsta iki numatomų 24 mėn. PII ir papildomoms paslaugoms užsakyti, jei nebus pratęstas RRF lėšų panaudojimo terminas (Projekto įgyvendinimo terminas) ar jei nebus skirtas finansavimas ne iš Projekto lėšų?</w:t>
            </w:r>
          </w:p>
        </w:tc>
        <w:tc>
          <w:tcPr>
            <w:tcW w:w="6521" w:type="dxa"/>
            <w:vAlign w:val="center"/>
          </w:tcPr>
          <w:p w14:paraId="5B50B033" w14:textId="67B64E2A" w:rsidR="00FA7609" w:rsidRPr="009E7AAF" w:rsidRDefault="00FA7609" w:rsidP="00FA7609">
            <w:pPr>
              <w:spacing w:after="0"/>
              <w:jc w:val="both"/>
              <w:rPr>
                <w:rFonts w:ascii="Tahoma" w:hAnsi="Tahoma" w:cs="Tahoma"/>
              </w:rPr>
            </w:pPr>
            <w:r w:rsidRPr="00FA7609">
              <w:rPr>
                <w:rFonts w:ascii="Tahoma" w:hAnsi="Tahoma" w:cs="Tahoma"/>
              </w:rPr>
              <w:lastRenderedPageBreak/>
              <w:t>Pirkėjas pagal sutartį įsipareigoja užsakyti pirmo prioriteto paslaugas. Kitų prioritetų paslaugos bus užsakomos esant poreikiui. Finansavimas yra numatytas visoms pirkime nurodytoms paslaugoms.</w:t>
            </w:r>
          </w:p>
        </w:tc>
      </w:tr>
      <w:tr w:rsidR="00FA7609" w:rsidRPr="009B751B" w14:paraId="6BF4F760" w14:textId="77777777" w:rsidTr="00FA7609">
        <w:trPr>
          <w:trHeight w:val="300"/>
        </w:trPr>
        <w:tc>
          <w:tcPr>
            <w:tcW w:w="988" w:type="dxa"/>
          </w:tcPr>
          <w:p w14:paraId="13763C33" w14:textId="77777777" w:rsidR="00FA7609" w:rsidRPr="009B751B" w:rsidRDefault="00FA7609" w:rsidP="00FE1F80">
            <w:pPr>
              <w:pStyle w:val="ListParagraph"/>
              <w:numPr>
                <w:ilvl w:val="0"/>
                <w:numId w:val="1"/>
              </w:numPr>
              <w:tabs>
                <w:tab w:val="left" w:pos="348"/>
              </w:tabs>
              <w:spacing w:after="120"/>
              <w:rPr>
                <w:rFonts w:ascii="Tahoma" w:hAnsi="Tahoma" w:cs="Tahoma"/>
              </w:rPr>
            </w:pPr>
          </w:p>
        </w:tc>
        <w:tc>
          <w:tcPr>
            <w:tcW w:w="7087" w:type="dxa"/>
          </w:tcPr>
          <w:p w14:paraId="006A5DC7"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xml:space="preserve">Pirkimo sąlygų 6 priedas Sutarties projektas specialiosios sąlygos“ punktas 5.5: „Atsiskaitymo su Tiekėju terminas ir tvarka“. 1) už prioritetinius darbus (po 1 </w:t>
            </w:r>
            <w:proofErr w:type="spellStart"/>
            <w:r w:rsidRPr="00FA7609">
              <w:rPr>
                <w:rFonts w:ascii="Tahoma" w:hAnsi="Tahoma" w:cs="Tahoma"/>
                <w:color w:val="00241A"/>
                <w:shd w:val="clear" w:color="auto" w:fill="FFFFFF"/>
              </w:rPr>
              <w:t>kompl</w:t>
            </w:r>
            <w:proofErr w:type="spellEnd"/>
            <w:r w:rsidRPr="00FA7609">
              <w:rPr>
                <w:rFonts w:ascii="Tahoma" w:hAnsi="Tahoma" w:cs="Tahoma"/>
                <w:color w:val="00241A"/>
                <w:shd w:val="clear" w:color="auto" w:fill="FFFFFF"/>
              </w:rPr>
              <w:t>.) atsiskaitoma etapais pasirašius Paslaugų perdavimo-priėmimo, tokia tvarka:</w:t>
            </w:r>
          </w:p>
          <w:p w14:paraId="0B9C42DC"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2) už antro prioriteto paslaugas (ar už atskiras paslaugų dalies iš antro prioriteto paslaugų) ir įvykdytus papildomus vystymo paslaugų (papildomos vystymo valandos) užsakymus atsiskaitoma po jų suteikimo, ne vėliau kaip per 30 kalendorinių dienų nuo priėmimo-perdavimo akto pasirašymo ir sąskaitos faktūros priėmimo dienos.</w:t>
            </w:r>
          </w:p>
          <w:p w14:paraId="04BDA1CE"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Paaiškinkite prašau kodėl už PII ir papildomų paslaugų užsakymus neatsiskaitoma irgi etapais? Prašome pakeisti reikalavimą, kad už visas užsakomas paslaugas irgi būtų atsiskaitoma etapais kaip yra atsiskaitoma už PI darbus.</w:t>
            </w:r>
          </w:p>
          <w:p w14:paraId="79F51D6F"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xml:space="preserve">RPO reikalavimas PR-9 teigia: „..... Užsakymo metu realizuojami funkcionalumai (išskyrus užsakymus, kurių rezultatas nėra sukurta programinė įranga) turi būti kuriami </w:t>
            </w:r>
            <w:proofErr w:type="spellStart"/>
            <w:r w:rsidRPr="00FA7609">
              <w:rPr>
                <w:rFonts w:ascii="Tahoma" w:hAnsi="Tahoma" w:cs="Tahoma"/>
                <w:color w:val="00241A"/>
                <w:shd w:val="clear" w:color="auto" w:fill="FFFFFF"/>
              </w:rPr>
              <w:t>Error</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Reference</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source</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not</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found</w:t>
            </w:r>
            <w:proofErr w:type="spellEnd"/>
            <w:r w:rsidRPr="00FA7609">
              <w:rPr>
                <w:rFonts w:ascii="Tahoma" w:hAnsi="Tahoma" w:cs="Tahoma"/>
                <w:color w:val="00241A"/>
                <w:shd w:val="clear" w:color="auto" w:fill="FFFFFF"/>
              </w:rPr>
              <w:t xml:space="preserve">. skyriuje </w:t>
            </w:r>
            <w:proofErr w:type="spellStart"/>
            <w:r w:rsidRPr="00FA7609">
              <w:rPr>
                <w:rFonts w:ascii="Tahoma" w:hAnsi="Tahoma" w:cs="Tahoma"/>
                <w:color w:val="00241A"/>
                <w:shd w:val="clear" w:color="auto" w:fill="FFFFFF"/>
              </w:rPr>
              <w:t>Error</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Reference</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source</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not</w:t>
            </w:r>
            <w:proofErr w:type="spellEnd"/>
            <w:r w:rsidRPr="00FA7609">
              <w:rPr>
                <w:rFonts w:ascii="Tahoma" w:hAnsi="Tahoma" w:cs="Tahoma"/>
                <w:color w:val="00241A"/>
                <w:shd w:val="clear" w:color="auto" w:fill="FFFFFF"/>
              </w:rPr>
              <w:t xml:space="preserve"> </w:t>
            </w:r>
            <w:proofErr w:type="spellStart"/>
            <w:r w:rsidRPr="00FA7609">
              <w:rPr>
                <w:rFonts w:ascii="Tahoma" w:hAnsi="Tahoma" w:cs="Tahoma"/>
                <w:color w:val="00241A"/>
                <w:shd w:val="clear" w:color="auto" w:fill="FFFFFF"/>
              </w:rPr>
              <w:t>found</w:t>
            </w:r>
            <w:proofErr w:type="spellEnd"/>
            <w:r w:rsidRPr="00FA7609">
              <w:rPr>
                <w:rFonts w:ascii="Tahoma" w:hAnsi="Tahoma" w:cs="Tahoma"/>
                <w:color w:val="00241A"/>
                <w:shd w:val="clear" w:color="auto" w:fill="FFFFFF"/>
              </w:rPr>
              <w:t>. nurodytais etapais, jų įgyvendinimo terminus suderinus su Perkančiąja organizacija.“</w:t>
            </w:r>
          </w:p>
          <w:p w14:paraId="39F02640" w14:textId="4B77195B"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Jei PI ar PII ar papildomų paslaugų užsakymai įgyvendinami lygiai tais pačiais etapais, kodėl atsiskaitymo tvarka turėtų būti skirtinga?</w:t>
            </w:r>
          </w:p>
        </w:tc>
        <w:tc>
          <w:tcPr>
            <w:tcW w:w="6521" w:type="dxa"/>
            <w:vAlign w:val="center"/>
          </w:tcPr>
          <w:p w14:paraId="4CF84828" w14:textId="3067FEEF" w:rsidR="00FA7609" w:rsidRPr="009E7AAF" w:rsidRDefault="00FA7609" w:rsidP="00FA7609">
            <w:pPr>
              <w:spacing w:after="0"/>
              <w:jc w:val="both"/>
              <w:rPr>
                <w:rFonts w:ascii="Tahoma" w:hAnsi="Tahoma" w:cs="Tahoma"/>
              </w:rPr>
            </w:pPr>
            <w:r w:rsidRPr="00FA7609">
              <w:rPr>
                <w:rFonts w:ascii="Tahoma" w:hAnsi="Tahoma" w:cs="Tahoma"/>
              </w:rPr>
              <w:t>Prašymas nebus tenkinamas. Atsiskaitymo tvarka yra numatyta atsižvelgiant į Pirkėjo poreikius ir galimybes.</w:t>
            </w:r>
          </w:p>
        </w:tc>
      </w:tr>
      <w:tr w:rsidR="00FA7609" w:rsidRPr="009B751B" w14:paraId="3B07B4E9" w14:textId="77777777" w:rsidTr="00FA7609">
        <w:trPr>
          <w:trHeight w:val="300"/>
        </w:trPr>
        <w:tc>
          <w:tcPr>
            <w:tcW w:w="988" w:type="dxa"/>
          </w:tcPr>
          <w:p w14:paraId="2FC31DB4" w14:textId="77777777" w:rsidR="00FA7609" w:rsidRPr="009B751B" w:rsidRDefault="00FA7609" w:rsidP="00FE1F80">
            <w:pPr>
              <w:pStyle w:val="ListParagraph"/>
              <w:numPr>
                <w:ilvl w:val="0"/>
                <w:numId w:val="1"/>
              </w:numPr>
              <w:tabs>
                <w:tab w:val="left" w:pos="348"/>
              </w:tabs>
              <w:spacing w:after="120"/>
              <w:rPr>
                <w:rFonts w:ascii="Tahoma" w:hAnsi="Tahoma" w:cs="Tahoma"/>
              </w:rPr>
            </w:pPr>
          </w:p>
        </w:tc>
        <w:tc>
          <w:tcPr>
            <w:tcW w:w="7087" w:type="dxa"/>
          </w:tcPr>
          <w:p w14:paraId="36758CD9"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Pirkimo sąlygų 6 priedas Sutarties projektas specialiosios sąlygos“ punktas 5.5: „Atsiskaitymo su Tiekėju terminas ir tvarka“.</w:t>
            </w:r>
          </w:p>
          <w:p w14:paraId="56A939B2"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„Duomenų integravimo testavimo etapas baigtas“ - prašome atsisakyti ir nesieti šio etapo pabaigos su atsiskaitymu su Tiekėju.</w:t>
            </w:r>
          </w:p>
          <w:p w14:paraId="35174BD7"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lastRenderedPageBreak/>
              <w:t xml:space="preserve">Šio etapo viena iš veiklų: „Tiekėjas atlieka testavimą su duomenų tiekėjais ir gavėjais Perkančiosios organizacijos </w:t>
            </w:r>
            <w:proofErr w:type="spellStart"/>
            <w:r w:rsidRPr="00FA7609">
              <w:rPr>
                <w:rFonts w:ascii="Tahoma" w:hAnsi="Tahoma" w:cs="Tahoma"/>
                <w:color w:val="00241A"/>
                <w:shd w:val="clear" w:color="auto" w:fill="FFFFFF"/>
              </w:rPr>
              <w:t>testinėje</w:t>
            </w:r>
            <w:proofErr w:type="spellEnd"/>
            <w:r w:rsidRPr="00FA7609">
              <w:rPr>
                <w:rFonts w:ascii="Tahoma" w:hAnsi="Tahoma" w:cs="Tahoma"/>
                <w:color w:val="00241A"/>
                <w:shd w:val="clear" w:color="auto" w:fill="FFFFFF"/>
              </w:rPr>
              <w:t xml:space="preserve"> aplinkoje;“</w:t>
            </w:r>
          </w:p>
          <w:p w14:paraId="59C53957"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xml:space="preserve">Paslaugų tiekėjas neturi tiesioginės kontrolės kitų duomenų tiekėjų ir gavėjų parengties lygmens. Tai reiškia, kad šio etapo sėkmė gali priklausyti nuo išorinių veiksnių, kurių tiekėjas negali kontroliuoti. Jei atsiskaitymas būtų susietas su šio etapo pabaiga, tiekėjas gali susidurti su nenumatytais vėlavimais dėl kitų šalių </w:t>
            </w:r>
            <w:proofErr w:type="spellStart"/>
            <w:r w:rsidRPr="00FA7609">
              <w:rPr>
                <w:rFonts w:ascii="Tahoma" w:hAnsi="Tahoma" w:cs="Tahoma"/>
                <w:color w:val="00241A"/>
                <w:shd w:val="clear" w:color="auto" w:fill="FFFFFF"/>
              </w:rPr>
              <w:t>neparengties</w:t>
            </w:r>
            <w:proofErr w:type="spellEnd"/>
            <w:r w:rsidRPr="00FA7609">
              <w:rPr>
                <w:rFonts w:ascii="Tahoma" w:hAnsi="Tahoma" w:cs="Tahoma"/>
                <w:color w:val="00241A"/>
                <w:shd w:val="clear" w:color="auto" w:fill="FFFFFF"/>
              </w:rPr>
              <w:t xml:space="preserve"> ar techninių problemų. Tiekėjas yra atlikęs visus reikalingus darbus, galėtų pradėti integracinį testavimo, bet negali to padaryti, nes kiti duomenų tiekėjai ar gavėjai nepasiruošia. Kodėl Tiekėjas turėtų dėl to nukentėti finansiškai?</w:t>
            </w:r>
          </w:p>
          <w:p w14:paraId="7E35AE52"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„UAT etapas baigtas“ - prašome atsisakyti ir nesieti šio etapo pabaigos su atsiskaitymu su Tiekėju.</w:t>
            </w:r>
          </w:p>
          <w:p w14:paraId="6C6D7952"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Tos pačios priežastys kaip ir „integravimo etapo“.</w:t>
            </w:r>
          </w:p>
          <w:p w14:paraId="3ED4309B"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„Diegimas į gamybos etapą baigtas“ – prašome atsisakyti ir nesieti šio etapo pabaigos su atsiskaitymu su Tiekėju</w:t>
            </w:r>
          </w:p>
          <w:p w14:paraId="6D5980D9"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Diegimo į gamybinę aplinką etapas yra sudėtingas ir gali užtrukti ilgiau nei planuota dėl įvairių techninių ir organizacinių priežasčių ne dėl Tiekėjo kaltės. Todėl atsiskaitymo su tiekėju nesiejimas su šio etapo pabaiga padeda išvengti galimų vėlavimų ir užtikrina, kad tiekėjas gaus apmokėjimą už atliktus darbus laiku.</w:t>
            </w:r>
          </w:p>
          <w:p w14:paraId="1DB0FD2B"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Siūlome pilnai atsiskaityti su Tiekėju po Diegimo į Testavimo aplinką etapo, nes jau programavimo etape yra pateikiama:</w:t>
            </w:r>
          </w:p>
          <w:p w14:paraId="29ED29AC"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vidinio testavimo ataskaita, kurioje aprašyti atlikto vidinio saugumo testavimo rezultatai ir vidinio testavimo rezultatai (apimtis, vykdymo metodika, testavimo tipai, procedūra, įėjimo/išėjimo kriterijai, testavimo aplinka), pateikiant informaciją apie posistemės sritis, į kurias reikia atkreipti papildomą dėmesį testavimo metu</w:t>
            </w:r>
          </w:p>
          <w:p w14:paraId="0A64772A"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 Parengta programinė įranga diegimui;</w:t>
            </w:r>
          </w:p>
          <w:p w14:paraId="4B3C4B44"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lastRenderedPageBreak/>
              <w:t>- Pagal poreikį atnaujinta detalios analizės ir projektavimo dokumentacija.</w:t>
            </w:r>
          </w:p>
          <w:p w14:paraId="6B5757BB" w14:textId="632054B4"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Šiame etape programinė įranga yra išbandoma, siekiant užtikrinti, kad ji atitinka visus reikalavimus ir veikia tinkamai. Kai testavimo rezultatai yra patenkinami, galima atlikti mokėjimą, nes tiekėjas jau atliko savo darbą.</w:t>
            </w:r>
          </w:p>
        </w:tc>
        <w:tc>
          <w:tcPr>
            <w:tcW w:w="6521" w:type="dxa"/>
            <w:vAlign w:val="center"/>
          </w:tcPr>
          <w:p w14:paraId="10CD9CDE" w14:textId="69F8AFAF" w:rsidR="00FA7609" w:rsidRPr="009E7AAF" w:rsidRDefault="00FA7609" w:rsidP="00FA7609">
            <w:pPr>
              <w:spacing w:after="0"/>
              <w:jc w:val="both"/>
              <w:rPr>
                <w:rFonts w:ascii="Tahoma" w:hAnsi="Tahoma" w:cs="Tahoma"/>
              </w:rPr>
            </w:pPr>
            <w:r w:rsidRPr="00FA7609">
              <w:rPr>
                <w:rFonts w:ascii="Tahoma" w:hAnsi="Tahoma" w:cs="Tahoma"/>
              </w:rPr>
              <w:lastRenderedPageBreak/>
              <w:t xml:space="preserve">Suprantame išsakytą riziką dėl priklausomybės nuo kitų šalių, tačiau šis reikalavimas yra suderintas su projekto priežiūros institucijomis ir negali būti keičiamas, nes priešingu atveju projekto įgyvendinimas nebus patvirtintas.  Perkančioji organizacija bus atsakinga už komunikaciją su trečiosiomis šalimis </w:t>
            </w:r>
            <w:r w:rsidRPr="00FA7609">
              <w:rPr>
                <w:rFonts w:ascii="Tahoma" w:hAnsi="Tahoma" w:cs="Tahoma"/>
              </w:rPr>
              <w:lastRenderedPageBreak/>
              <w:t xml:space="preserve">bei susijusių veiklų koordinavimą, tačiau Tiekėjas bus atsakingas už reikalingos dokumentacijos parengimą, atsakymų į klausimus ar informacijos teikimą trečiosioms šalims ir t.t. Tiekėjas negaudamas reikalingų atsakymų iš trečiųjų šalių vadovaudamasis nustatytomis projekto valdymo procedūromis turės apie tai informuoti Perkančiąją organizaciją dėl tolimesnės problemos </w:t>
            </w:r>
            <w:proofErr w:type="spellStart"/>
            <w:r w:rsidRPr="00FA7609">
              <w:rPr>
                <w:rFonts w:ascii="Tahoma" w:hAnsi="Tahoma" w:cs="Tahoma"/>
              </w:rPr>
              <w:t>eskalacijos</w:t>
            </w:r>
            <w:proofErr w:type="spellEnd"/>
            <w:r w:rsidRPr="00FA7609">
              <w:rPr>
                <w:rFonts w:ascii="Tahoma" w:hAnsi="Tahoma" w:cs="Tahoma"/>
              </w:rPr>
              <w:t>.</w:t>
            </w:r>
          </w:p>
        </w:tc>
      </w:tr>
      <w:tr w:rsidR="00FA7609" w:rsidRPr="009B751B" w14:paraId="25683FB9" w14:textId="77777777" w:rsidTr="00FA7609">
        <w:trPr>
          <w:trHeight w:val="300"/>
        </w:trPr>
        <w:tc>
          <w:tcPr>
            <w:tcW w:w="988" w:type="dxa"/>
          </w:tcPr>
          <w:p w14:paraId="42CBEF04" w14:textId="77777777" w:rsidR="00FA7609" w:rsidRPr="009B751B" w:rsidRDefault="00FA7609" w:rsidP="003A414E">
            <w:pPr>
              <w:pStyle w:val="ListParagraph"/>
              <w:numPr>
                <w:ilvl w:val="0"/>
                <w:numId w:val="1"/>
              </w:numPr>
              <w:tabs>
                <w:tab w:val="left" w:pos="348"/>
              </w:tabs>
              <w:spacing w:after="120"/>
              <w:rPr>
                <w:rFonts w:ascii="Tahoma" w:hAnsi="Tahoma" w:cs="Tahoma"/>
              </w:rPr>
            </w:pPr>
          </w:p>
        </w:tc>
        <w:tc>
          <w:tcPr>
            <w:tcW w:w="7087" w:type="dxa"/>
          </w:tcPr>
          <w:p w14:paraId="4039A36F"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Sveiki</w:t>
            </w:r>
          </w:p>
          <w:p w14:paraId="7E3FA287" w14:textId="77777777" w:rsidR="00FA7609" w:rsidRPr="00FA7609"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Įvertinę viešojo pirkimo turinį ir apimtis, VĮ Registrų centras vienu metu organizuojamus viešuosius pirkimus ir siekdami pateikti kokybišką pasiūlymą, prašome pratęsti pasiūlymo teikimo terminą iki 2025 06 06 imtinai.</w:t>
            </w:r>
          </w:p>
          <w:p w14:paraId="249D368F" w14:textId="6A4B00A3" w:rsidR="00FA7609" w:rsidRPr="009E7AAF" w:rsidRDefault="00FA7609" w:rsidP="00FA7609">
            <w:pPr>
              <w:jc w:val="both"/>
              <w:rPr>
                <w:rFonts w:ascii="Tahoma" w:hAnsi="Tahoma" w:cs="Tahoma"/>
                <w:color w:val="00241A"/>
                <w:shd w:val="clear" w:color="auto" w:fill="FFFFFF"/>
              </w:rPr>
            </w:pPr>
            <w:r w:rsidRPr="00FA7609">
              <w:rPr>
                <w:rFonts w:ascii="Tahoma" w:hAnsi="Tahoma" w:cs="Tahoma"/>
                <w:color w:val="00241A"/>
                <w:shd w:val="clear" w:color="auto" w:fill="FFFFFF"/>
              </w:rPr>
              <w:t>Ačiū</w:t>
            </w:r>
          </w:p>
        </w:tc>
        <w:tc>
          <w:tcPr>
            <w:tcW w:w="6521" w:type="dxa"/>
            <w:vAlign w:val="center"/>
          </w:tcPr>
          <w:p w14:paraId="3E42D814" w14:textId="693FA00E" w:rsidR="00FA7609" w:rsidRPr="009E7AAF" w:rsidRDefault="00FA7609" w:rsidP="00FA7609">
            <w:pPr>
              <w:spacing w:after="0"/>
              <w:jc w:val="both"/>
              <w:rPr>
                <w:rFonts w:ascii="Tahoma" w:hAnsi="Tahoma" w:cs="Tahoma"/>
              </w:rPr>
            </w:pPr>
            <w:r w:rsidRPr="00FA7609">
              <w:rPr>
                <w:rFonts w:ascii="Tahoma" w:hAnsi="Tahoma" w:cs="Tahoma"/>
              </w:rPr>
              <w:t>Prašymas nebus tenkinamas.</w:t>
            </w:r>
          </w:p>
        </w:tc>
      </w:tr>
    </w:tbl>
    <w:p w14:paraId="15EFDE82" w14:textId="77777777" w:rsidR="002A7375" w:rsidRPr="00F350AC" w:rsidRDefault="002A7375">
      <w:pPr>
        <w:rPr>
          <w:rFonts w:cs="Tahoma"/>
        </w:rPr>
      </w:pPr>
    </w:p>
    <w:sectPr w:rsidR="002A7375" w:rsidRPr="00F350AC" w:rsidSect="003A414E">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81E1" w14:textId="77777777" w:rsidR="00FD4E57" w:rsidRDefault="00FD4E57" w:rsidP="00DD3A79">
      <w:pPr>
        <w:spacing w:line="240" w:lineRule="auto"/>
      </w:pPr>
      <w:r>
        <w:separator/>
      </w:r>
    </w:p>
  </w:endnote>
  <w:endnote w:type="continuationSeparator" w:id="0">
    <w:p w14:paraId="0D3F8148" w14:textId="77777777" w:rsidR="00FD4E57" w:rsidRDefault="00FD4E5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5A63" w14:textId="77777777" w:rsidR="00FD4E57" w:rsidRDefault="00FD4E57" w:rsidP="00DD3A79">
      <w:pPr>
        <w:spacing w:line="240" w:lineRule="auto"/>
      </w:pPr>
      <w:r>
        <w:separator/>
      </w:r>
    </w:p>
  </w:footnote>
  <w:footnote w:type="continuationSeparator" w:id="0">
    <w:p w14:paraId="14880C7E" w14:textId="77777777" w:rsidR="00FD4E57" w:rsidRDefault="00FD4E5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2100488">
    <w:abstractNumId w:val="4"/>
  </w:num>
  <w:num w:numId="2" w16cid:durableId="1252811170">
    <w:abstractNumId w:val="3"/>
  </w:num>
  <w:num w:numId="3" w16cid:durableId="952441458">
    <w:abstractNumId w:val="0"/>
  </w:num>
  <w:num w:numId="4" w16cid:durableId="659425354">
    <w:abstractNumId w:val="1"/>
  </w:num>
  <w:num w:numId="5" w16cid:durableId="208637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85DB4"/>
    <w:rsid w:val="000C4665"/>
    <w:rsid w:val="00237F0F"/>
    <w:rsid w:val="002A7375"/>
    <w:rsid w:val="003820EC"/>
    <w:rsid w:val="003A414E"/>
    <w:rsid w:val="003E373E"/>
    <w:rsid w:val="003E48E6"/>
    <w:rsid w:val="004E5473"/>
    <w:rsid w:val="00554F2C"/>
    <w:rsid w:val="005821DE"/>
    <w:rsid w:val="005C4A5E"/>
    <w:rsid w:val="00672D56"/>
    <w:rsid w:val="006E52A4"/>
    <w:rsid w:val="00706ADA"/>
    <w:rsid w:val="00802F1C"/>
    <w:rsid w:val="008435F7"/>
    <w:rsid w:val="00897456"/>
    <w:rsid w:val="00900CEE"/>
    <w:rsid w:val="009B751B"/>
    <w:rsid w:val="009E7AAF"/>
    <w:rsid w:val="00AB57A3"/>
    <w:rsid w:val="00AC656B"/>
    <w:rsid w:val="00B63621"/>
    <w:rsid w:val="00B76466"/>
    <w:rsid w:val="00B80A77"/>
    <w:rsid w:val="00C66990"/>
    <w:rsid w:val="00C76A13"/>
    <w:rsid w:val="00C91EC3"/>
    <w:rsid w:val="00CD61D5"/>
    <w:rsid w:val="00D661FD"/>
    <w:rsid w:val="00DD3A79"/>
    <w:rsid w:val="00EB5640"/>
    <w:rsid w:val="00EC26AA"/>
    <w:rsid w:val="00F350AC"/>
    <w:rsid w:val="00F4353E"/>
    <w:rsid w:val="00FA4FE2"/>
    <w:rsid w:val="00FA744D"/>
    <w:rsid w:val="00FA7609"/>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4E"/>
    <w:pPr>
      <w:spacing w:after="160"/>
      <w:ind w:firstLine="0"/>
    </w:pPr>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414E"/>
    <w:pPr>
      <w:ind w:left="720"/>
      <w:contextualSpacing/>
    </w:pPr>
  </w:style>
  <w:style w:type="table" w:styleId="TableGrid">
    <w:name w:val="Table Grid"/>
    <w:basedOn w:val="TableNorma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751B"/>
    <w:rPr>
      <w:rFonts w:asciiTheme="minorHAnsi" w:hAnsiTheme="minorHAnsi"/>
    </w:rPr>
  </w:style>
  <w:style w:type="paragraph" w:styleId="Revision">
    <w:name w:val="Revision"/>
    <w:hidden/>
    <w:uiPriority w:val="99"/>
    <w:semiHidden/>
    <w:rsid w:val="006E52A4"/>
    <w:pPr>
      <w:spacing w:line="240" w:lineRule="auto"/>
      <w:ind w:firstLine="0"/>
    </w:pPr>
    <w:rPr>
      <w:rFonts w:asciiTheme="minorHAnsi" w:hAnsiTheme="minorHAnsi"/>
    </w:rPr>
  </w:style>
  <w:style w:type="character" w:styleId="CommentReference">
    <w:name w:val="annotation reference"/>
    <w:basedOn w:val="DefaultParagraphFont"/>
    <w:uiPriority w:val="99"/>
    <w:semiHidden/>
    <w:unhideWhenUsed/>
    <w:rsid w:val="00237F0F"/>
    <w:rPr>
      <w:sz w:val="16"/>
      <w:szCs w:val="16"/>
    </w:rPr>
  </w:style>
  <w:style w:type="paragraph" w:styleId="CommentText">
    <w:name w:val="annotation text"/>
    <w:basedOn w:val="Normal"/>
    <w:link w:val="CommentTextChar"/>
    <w:uiPriority w:val="99"/>
    <w:unhideWhenUsed/>
    <w:rsid w:val="00237F0F"/>
    <w:pPr>
      <w:spacing w:line="240" w:lineRule="auto"/>
    </w:pPr>
    <w:rPr>
      <w:sz w:val="20"/>
      <w:szCs w:val="20"/>
    </w:rPr>
  </w:style>
  <w:style w:type="character" w:customStyle="1" w:styleId="CommentTextChar">
    <w:name w:val="Comment Text Char"/>
    <w:basedOn w:val="DefaultParagraphFont"/>
    <w:link w:val="CommentText"/>
    <w:uiPriority w:val="99"/>
    <w:rsid w:val="00237F0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7F0F"/>
    <w:rPr>
      <w:b/>
      <w:bCs/>
    </w:rPr>
  </w:style>
  <w:style w:type="character" w:customStyle="1" w:styleId="CommentSubjectChar">
    <w:name w:val="Comment Subject Char"/>
    <w:basedOn w:val="CommentTextChar"/>
    <w:link w:val="CommentSubject"/>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7518</Words>
  <Characters>4286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Aidas Gudavičius</cp:lastModifiedBy>
  <cp:revision>3</cp:revision>
  <dcterms:created xsi:type="dcterms:W3CDTF">2025-05-20T11:43:00Z</dcterms:created>
  <dcterms:modified xsi:type="dcterms:W3CDTF">2025-05-20T11:50:00Z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