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7CBF" w14:textId="43D929D3" w:rsidR="00F36481" w:rsidRPr="00735AA3" w:rsidRDefault="00735AA3" w:rsidP="00A15CDF">
      <w:pPr>
        <w:pStyle w:val="Heading2"/>
        <w:ind w:left="666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Specialiųjų p</w:t>
      </w:r>
      <w:r w:rsidR="00F36481"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irkimo sąlygų 2 priedas „Techninė specifikacija“</w:t>
      </w:r>
      <w:bookmarkEnd w:id="0"/>
      <w:bookmarkEnd w:id="1"/>
      <w:bookmarkEnd w:id="2"/>
      <w:bookmarkEnd w:id="3"/>
      <w:bookmarkEnd w:id="4"/>
    </w:p>
    <w:p w14:paraId="381A90D7" w14:textId="77777777" w:rsidR="00F36481" w:rsidRPr="004225AA" w:rsidRDefault="00F36481" w:rsidP="00F36481">
      <w:pPr>
        <w:jc w:val="right"/>
      </w:pPr>
    </w:p>
    <w:p w14:paraId="43EB1677" w14:textId="76423738" w:rsidR="00F36481" w:rsidRDefault="00F36481" w:rsidP="002E0314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654D4D30" w14:textId="35CA90AD" w:rsidR="00FC2B41" w:rsidRDefault="00FC2B41" w:rsidP="002E0314">
      <w:pPr>
        <w:jc w:val="center"/>
        <w:rPr>
          <w:b/>
        </w:rPr>
      </w:pPr>
      <w:r>
        <w:rPr>
          <w:b/>
        </w:rPr>
        <w:t>2 PIRKIMO DALIS</w:t>
      </w:r>
    </w:p>
    <w:p w14:paraId="1B645591" w14:textId="52B0CF7A" w:rsidR="00B710DC" w:rsidRDefault="00FC2B41" w:rsidP="00F36481">
      <w:pPr>
        <w:jc w:val="center"/>
        <w:rPr>
          <w:b/>
          <w:bCs/>
        </w:rPr>
      </w:pPr>
      <w:bookmarkStart w:id="5" w:name="_Hlk195256477"/>
      <w:r>
        <w:rPr>
          <w:b/>
          <w:bCs/>
        </w:rPr>
        <w:t>Lazerinės ir mechaninės spausdintųjų plokščių</w:t>
      </w:r>
      <w:r w:rsidR="00F3242F">
        <w:rPr>
          <w:b/>
          <w:bCs/>
        </w:rPr>
        <w:t xml:space="preserve"> staklės</w:t>
      </w:r>
      <w:r w:rsidR="002E5DAE">
        <w:rPr>
          <w:b/>
          <w:bCs/>
        </w:rPr>
        <w:t xml:space="preserve"> su priedais</w:t>
      </w:r>
    </w:p>
    <w:bookmarkEnd w:id="5"/>
    <w:p w14:paraId="2CC9B52A" w14:textId="065F91AD" w:rsidR="00F36481" w:rsidRPr="004225AA" w:rsidRDefault="00F36481" w:rsidP="00F36481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0A51172D" w14:textId="77777777" w:rsidR="00AE42FC" w:rsidRPr="00DC42C8" w:rsidRDefault="00F36481" w:rsidP="00AE42FC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6C36DA">
        <w:rPr>
          <w:rFonts w:eastAsia="Times New Roman"/>
          <w:iCs/>
          <w:bdr w:val="none" w:sz="0" w:space="0" w:color="auto" w:frame="1"/>
        </w:rPr>
        <w:t>Techninėje specifikacijoje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o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 xml:space="preserve"> ne atkartoti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>Pateikti oficialius gamintojo parengtus techninius dokumentus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(brošiūras, įrangos techninių duomenų lapus ar kt.). </w:t>
      </w:r>
      <w:r w:rsidR="00AE42FC" w:rsidRPr="00872AD1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="00AE42FC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="00AE42FC" w:rsidRPr="00872AD1">
        <w:rPr>
          <w:rFonts w:eastAsia="Times New Roman"/>
          <w:iCs/>
          <w:bdr w:val="none" w:sz="0" w:space="0" w:color="auto" w:frame="1"/>
        </w:rPr>
        <w:t xml:space="preserve">kalba. </w:t>
      </w:r>
      <w:r w:rsidR="00AE42FC" w:rsidRPr="002B5024">
        <w:rPr>
          <w:rFonts w:eastAsia="Times New Roman"/>
          <w:iCs/>
          <w:bdr w:val="none" w:sz="0" w:space="0" w:color="auto" w:frame="1"/>
        </w:rPr>
        <w:t>I</w:t>
      </w:r>
      <w:r w:rsidR="00AE42FC" w:rsidRPr="002B5024">
        <w:rPr>
          <w:rFonts w:eastAsia="Times New Roman"/>
          <w:bCs/>
          <w:iCs/>
          <w:bdr w:val="none" w:sz="0" w:space="0" w:color="auto" w:frame="1"/>
        </w:rPr>
        <w:t xml:space="preserve">nformaciją apie kiekvieno reikalaujamo techninio parametro tikslią vietą pateiktame dokumente (puslapis, punktas ir pan.) </w:t>
      </w:r>
      <w:r w:rsidR="00AE42FC" w:rsidRPr="002B5024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eilutės</w:t>
      </w:r>
      <w:r w:rsidR="00AE42FC"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65166632" w14:textId="73CB3648" w:rsidR="00F36481" w:rsidRDefault="00AE42FC" w:rsidP="00AE42FC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="00F36481"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1F7FB9AD" w:rsidR="00F36481" w:rsidRPr="004225AA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 w:rsidR="005C2D4A" w:rsidRPr="005C2D4A">
        <w:rPr>
          <w:rFonts w:eastAsia="Times New Roman"/>
          <w:iCs/>
          <w:color w:val="000000" w:themeColor="text1"/>
          <w:bdr w:val="none" w:sz="0" w:space="0" w:color="auto" w:frame="1"/>
        </w:rPr>
        <w:t xml:space="preserve"> </w:t>
      </w:r>
      <w:r w:rsidR="005C2D4A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="005C2D4A"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A9478A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A9478A" w:rsidRPr="00A9478A">
        <w:rPr>
          <w:rFonts w:eastAsia="Times New Roman"/>
          <w:iCs/>
          <w:color w:val="201F1E"/>
          <w:bdr w:val="none" w:sz="0" w:space="0" w:color="auto" w:frame="1"/>
        </w:rPr>
        <w:t>6</w:t>
      </w:r>
      <w:r w:rsidRPr="00A9478A">
        <w:rPr>
          <w:rFonts w:eastAsia="Times New Roman"/>
          <w:iCs/>
          <w:color w:val="201F1E"/>
          <w:bdr w:val="none" w:sz="0" w:space="0" w:color="auto" w:frame="1"/>
        </w:rPr>
        <w:t>.3 p</w:t>
      </w:r>
      <w:r w:rsidRPr="00720174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Pasiūlymai,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7CB7B43E" w14:textId="6F685D5C" w:rsidR="00F36481" w:rsidRPr="004225AA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lang w:eastAsia="ar-SA"/>
        </w:rPr>
        <w:t xml:space="preserve">2. </w:t>
      </w:r>
      <w:r>
        <w:rPr>
          <w:rFonts w:eastAsia="Calibri"/>
        </w:rPr>
        <w:t>Įrangai</w:t>
      </w:r>
      <w:r w:rsidRPr="004225AA">
        <w:rPr>
          <w:rFonts w:eastAsia="Calibri"/>
        </w:rPr>
        <w:t xml:space="preserve"> s</w:t>
      </w:r>
      <w:r w:rsidRPr="004225AA">
        <w:rPr>
          <w:rFonts w:eastAsia="Times New Roman"/>
          <w:bCs/>
        </w:rPr>
        <w:t>uteikiama</w:t>
      </w:r>
      <w:r>
        <w:rPr>
          <w:rFonts w:eastAsia="Times New Roman"/>
          <w:bCs/>
        </w:rPr>
        <w:t>s</w:t>
      </w:r>
      <w:r w:rsidRPr="004225AA">
        <w:rPr>
          <w:rFonts w:eastAsia="Times New Roman"/>
          <w:bCs/>
        </w:rPr>
        <w:t xml:space="preserve"> garanti</w:t>
      </w:r>
      <w:r>
        <w:rPr>
          <w:rFonts w:eastAsia="Times New Roman"/>
          <w:bCs/>
        </w:rPr>
        <w:t>nis laikotarpis</w:t>
      </w:r>
      <w:r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2E8AA091" w14:textId="77777777" w:rsidR="00F36481" w:rsidRPr="00B6416C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bCs/>
        </w:rPr>
        <w:t xml:space="preserve">3. Tiekėjas pristatydamas </w:t>
      </w:r>
      <w:r>
        <w:rPr>
          <w:rFonts w:eastAsia="Times New Roman"/>
          <w:bCs/>
        </w:rPr>
        <w:t>įrangą</w:t>
      </w:r>
      <w:r w:rsidRPr="004225AA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>privalo pateikti įrangos naudojimosi instrukciją (lietuvių kalba).</w:t>
      </w:r>
    </w:p>
    <w:p w14:paraId="0BAEBAA7" w14:textId="086919C7" w:rsidR="00F3242F" w:rsidRPr="00F3242F" w:rsidRDefault="00F36481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  <w:lang w:val="en-US"/>
        </w:rPr>
      </w:pPr>
      <w:r w:rsidRPr="00B6416C">
        <w:rPr>
          <w:rFonts w:eastAsia="Times New Roman"/>
          <w:bCs/>
        </w:rPr>
        <w:t>4. Tiekėjas įsipareigoja apmokyti personalą (ne mažiau kaip</w:t>
      </w:r>
      <w:r w:rsidR="00DA67C0" w:rsidRPr="00B6416C">
        <w:rPr>
          <w:rFonts w:eastAsia="Times New Roman"/>
          <w:bCs/>
        </w:rPr>
        <w:t xml:space="preserve"> </w:t>
      </w:r>
      <w:r w:rsidR="00F3242F">
        <w:rPr>
          <w:rFonts w:eastAsia="Times New Roman"/>
          <w:bCs/>
        </w:rPr>
        <w:t>3</w:t>
      </w:r>
      <w:r w:rsidRPr="00B6416C">
        <w:rPr>
          <w:rFonts w:eastAsia="Times New Roman"/>
          <w:bCs/>
        </w:rPr>
        <w:t xml:space="preserve"> asmenis) dirbti su įranga. Mokymai turi vykti </w:t>
      </w:r>
      <w:r w:rsidR="00686340" w:rsidRPr="00B6416C">
        <w:rPr>
          <w:rFonts w:eastAsia="Times New Roman"/>
          <w:b/>
        </w:rPr>
        <w:t>lietuvių kalba</w:t>
      </w:r>
      <w:r w:rsidR="00686340" w:rsidRPr="00B6416C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 xml:space="preserve">Perkančiosios organizacijos patalpose adresu </w:t>
      </w:r>
      <w:bookmarkStart w:id="6" w:name="_Hlk194912567"/>
      <w:proofErr w:type="spellStart"/>
      <w:r w:rsidR="00B710DC" w:rsidRPr="00B6416C">
        <w:rPr>
          <w:rFonts w:eastAsia="Times New Roman"/>
          <w:bCs/>
        </w:rPr>
        <w:t>J.Jasinskio</w:t>
      </w:r>
      <w:proofErr w:type="spellEnd"/>
      <w:r w:rsidRPr="00B6416C">
        <w:rPr>
          <w:rFonts w:eastAsia="Times New Roman"/>
          <w:bCs/>
        </w:rPr>
        <w:t xml:space="preserve"> g. 1</w:t>
      </w:r>
      <w:r w:rsidR="00B710DC" w:rsidRPr="00B6416C">
        <w:rPr>
          <w:rFonts w:eastAsia="Times New Roman"/>
          <w:bCs/>
        </w:rPr>
        <w:t>5</w:t>
      </w:r>
      <w:r w:rsidRPr="00B6416C">
        <w:rPr>
          <w:rFonts w:eastAsia="Times New Roman"/>
          <w:bCs/>
        </w:rPr>
        <w:t>, Vilnius</w:t>
      </w:r>
      <w:bookmarkEnd w:id="6"/>
      <w:r w:rsidRPr="00B6416C">
        <w:rPr>
          <w:rFonts w:eastAsia="Times New Roman"/>
          <w:bCs/>
        </w:rPr>
        <w:t xml:space="preserve">. Mokymų trukmė – ne mažiau </w:t>
      </w:r>
      <w:r w:rsidR="003C25DC">
        <w:rPr>
          <w:rFonts w:eastAsia="Times New Roman"/>
          <w:bCs/>
        </w:rPr>
        <w:t>4</w:t>
      </w:r>
      <w:r w:rsidR="00F3242F">
        <w:rPr>
          <w:rFonts w:eastAsia="Times New Roman"/>
          <w:bCs/>
        </w:rPr>
        <w:t>0</w:t>
      </w:r>
      <w:r w:rsidRPr="00B6416C">
        <w:rPr>
          <w:rFonts w:eastAsia="Times New Roman"/>
          <w:bCs/>
        </w:rPr>
        <w:t xml:space="preserve"> val. pagal iš anksto suderintą grafiką. </w:t>
      </w:r>
      <w:r w:rsidR="00F3242F">
        <w:rPr>
          <w:rFonts w:eastAsia="Times New Roman"/>
          <w:bCs/>
        </w:rPr>
        <w:t xml:space="preserve">Mokymų metu turi būti </w:t>
      </w:r>
      <w:r w:rsidR="00F3242F" w:rsidRPr="00F3242F">
        <w:rPr>
          <w:rFonts w:eastAsia="Times New Roman"/>
          <w:bCs/>
        </w:rPr>
        <w:t>pademonstruotos visos kiekvieno įrenginio ir programinės įrangos funkcijos bei galimybės. </w:t>
      </w:r>
      <w:r w:rsidR="00F3242F" w:rsidRPr="00F3242F">
        <w:rPr>
          <w:rFonts w:eastAsia="Times New Roman"/>
          <w:bCs/>
          <w:lang w:val="en-US"/>
        </w:rPr>
        <w:t> </w:t>
      </w:r>
    </w:p>
    <w:p w14:paraId="173E9FD6" w14:textId="3A7EB44D" w:rsidR="00F36481" w:rsidRPr="00B6416C" w:rsidRDefault="00F3242F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F3242F">
        <w:rPr>
          <w:rFonts w:eastAsia="Times New Roman"/>
          <w:bCs/>
        </w:rPr>
        <w:t>Mokymus vedantis asmuo privalo pateikti sertifikatą, kad jis yra gamintojo atstovas arba patvirtinti, kad jis yra išklausęs įrangos gamintojo mokymus</w:t>
      </w:r>
      <w:r>
        <w:rPr>
          <w:rFonts w:eastAsia="Times New Roman"/>
          <w:bCs/>
        </w:rPr>
        <w:t xml:space="preserve">. </w:t>
      </w:r>
      <w:r w:rsidR="00F36481" w:rsidRPr="00B6416C">
        <w:rPr>
          <w:rFonts w:eastAsia="Times New Roman"/>
          <w:bCs/>
        </w:rPr>
        <w:t>Mokymai turi būti suteikti per 14 k. d. nuo įrangos pristatymo, su</w:t>
      </w:r>
      <w:r w:rsidR="00A00F3E">
        <w:rPr>
          <w:rFonts w:eastAsia="Times New Roman"/>
          <w:bCs/>
        </w:rPr>
        <w:t>rinkimo</w:t>
      </w:r>
      <w:r w:rsidR="00F36481" w:rsidRPr="00B6416C">
        <w:rPr>
          <w:rFonts w:eastAsia="Times New Roman"/>
          <w:bCs/>
        </w:rPr>
        <w:t>/suderinimo dienos.</w:t>
      </w:r>
    </w:p>
    <w:p w14:paraId="5886A151" w14:textId="24A8B6FC" w:rsidR="00F36481" w:rsidRDefault="00F36481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 w:rsidRPr="00B6416C">
        <w:rPr>
          <w:rFonts w:eastAsia="Times New Roman"/>
          <w:bCs/>
        </w:rPr>
        <w:t>5</w:t>
      </w:r>
      <w:r w:rsidRPr="00B6416C">
        <w:rPr>
          <w:rFonts w:eastAsia="Arial"/>
        </w:rPr>
        <w:t xml:space="preserve">. </w:t>
      </w:r>
      <w:r w:rsidRPr="00B6416C">
        <w:rPr>
          <w:rFonts w:eastAsia="Aptos"/>
          <w:kern w:val="2"/>
          <w14:ligatures w14:val="standardContextual"/>
        </w:rPr>
        <w:t>Įranga turi būti nauja, nenaudota, neremontuota.</w:t>
      </w:r>
    </w:p>
    <w:p w14:paraId="3F5F5981" w14:textId="08BBFFFB" w:rsidR="00A84722" w:rsidRDefault="00A15CDF" w:rsidP="00A84722">
      <w:pPr>
        <w:spacing w:after="60" w:line="20" w:lineRule="atLeast"/>
        <w:ind w:firstLine="567"/>
        <w:jc w:val="both"/>
        <w:rPr>
          <w:rFonts w:eastAsia="Aptos"/>
        </w:rPr>
      </w:pPr>
      <w:r>
        <w:rPr>
          <w:rFonts w:eastAsia="Aptos"/>
          <w:kern w:val="2"/>
          <w14:ligatures w14:val="standardContextual"/>
        </w:rPr>
        <w:t>6.</w:t>
      </w:r>
      <w:r w:rsidR="00A9478A">
        <w:rPr>
          <w:rFonts w:eastAsia="Aptos"/>
          <w:kern w:val="2"/>
          <w14:ligatures w14:val="standardContextual"/>
        </w:rPr>
        <w:t xml:space="preserve"> Visi siūlomi </w:t>
      </w:r>
      <w:r w:rsidR="00A9478A" w:rsidRPr="00D20E68">
        <w:rPr>
          <w:rFonts w:eastAsia="Aptos"/>
          <w:kern w:val="2"/>
          <w14:ligatures w14:val="standardContextual"/>
        </w:rPr>
        <w:t xml:space="preserve">elektriniai prietaisai privalo būti suderinami su standartine vardine </w:t>
      </w:r>
      <w:r w:rsidR="005238B6">
        <w:rPr>
          <w:rFonts w:eastAsia="Aptos"/>
          <w:kern w:val="2"/>
          <w14:ligatures w14:val="standardContextual"/>
        </w:rPr>
        <w:t xml:space="preserve">žemosios </w:t>
      </w:r>
      <w:r w:rsidR="00A84722">
        <w:rPr>
          <w:rFonts w:eastAsia="Aptos"/>
        </w:rPr>
        <w:t xml:space="preserve">įtampos </w:t>
      </w:r>
      <w:hyperlink r:id="rId9" w:history="1">
        <w:r w:rsidR="00A84722">
          <w:rPr>
            <w:rStyle w:val="Hyperlink"/>
            <w:rFonts w:eastAsia="Aptos"/>
          </w:rPr>
          <w:t>1 fazės sistema</w:t>
        </w:r>
        <w:r w:rsidR="00A84722">
          <w:rPr>
            <w:rStyle w:val="Hyperlink"/>
            <w:rFonts w:eastAsia="Aptos"/>
            <w:lang w:val="en-US"/>
          </w:rPr>
          <w:t xml:space="preserve"> 230 V ± 10% </w:t>
        </w:r>
        <w:r w:rsidR="00A84722">
          <w:rPr>
            <w:rStyle w:val="Hyperlink"/>
            <w:rFonts w:eastAsia="Times New Roman"/>
            <w:lang w:val="en-US"/>
          </w:rPr>
          <w:t>50Hz.</w:t>
        </w:r>
      </w:hyperlink>
    </w:p>
    <w:p w14:paraId="5516A496" w14:textId="059EFD12" w:rsidR="00E761D3" w:rsidRDefault="00A15CDF" w:rsidP="00A84722">
      <w:pPr>
        <w:spacing w:after="60" w:line="20" w:lineRule="atLeast"/>
        <w:ind w:firstLine="567"/>
        <w:jc w:val="both"/>
      </w:pPr>
      <w:r>
        <w:rPr>
          <w:rFonts w:eastAsia="Arial"/>
        </w:rPr>
        <w:t>7</w:t>
      </w:r>
      <w:r w:rsidR="00E761D3">
        <w:rPr>
          <w:rFonts w:eastAsia="Arial"/>
        </w:rPr>
        <w:t xml:space="preserve">. </w:t>
      </w:r>
      <w:r w:rsidR="00E761D3"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0" w:history="1">
        <w:r w:rsidR="00E761D3"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="00E761D3" w:rsidRPr="00A14598">
        <w:rPr>
          <w:color w:val="00B050"/>
        </w:rPr>
        <w:t>“ 4.4.4. punktu</w:t>
      </w:r>
      <w:r w:rsidR="00E761D3">
        <w:rPr>
          <w:color w:val="00B050"/>
        </w:rPr>
        <w:t>.</w:t>
      </w:r>
      <w:r w:rsidR="00E761D3" w:rsidRPr="000647E2">
        <w:t xml:space="preserve"> </w:t>
      </w:r>
    </w:p>
    <w:p w14:paraId="60B50361" w14:textId="77777777" w:rsidR="00E761D3" w:rsidRDefault="00E761D3" w:rsidP="00E761D3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1B4F87DE" w14:textId="77777777" w:rsidR="00E761D3" w:rsidRPr="00A9478A" w:rsidRDefault="00E761D3" w:rsidP="00A9478A">
      <w:pPr>
        <w:spacing w:after="0" w:line="240" w:lineRule="auto"/>
        <w:ind w:firstLine="142"/>
        <w:jc w:val="right"/>
        <w:rPr>
          <w:i/>
        </w:rPr>
      </w:pPr>
      <w:r w:rsidRPr="00A9478A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E761D3" w:rsidRPr="009C3352" w14:paraId="566FD0EC" w14:textId="77777777" w:rsidTr="00C977DA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0B24" w14:textId="77777777" w:rsidR="00E761D3" w:rsidRPr="009C3352" w:rsidRDefault="00E761D3" w:rsidP="00C977DA">
            <w:pPr>
              <w:rPr>
                <w:bCs/>
              </w:rPr>
            </w:pPr>
            <w:r w:rsidRPr="009C3352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4676" w14:textId="77777777" w:rsidR="00E761D3" w:rsidRPr="009C3352" w:rsidRDefault="00E761D3" w:rsidP="00C977DA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bookmarkStart w:id="7" w:name="part_18ef865fcabf41e988041f2ec6f4e99c"/>
            <w:bookmarkEnd w:id="7"/>
            <w:r>
              <w:t>įranga</w:t>
            </w:r>
            <w:r w:rsidRPr="009C3352">
              <w:t xml:space="preserve"> yra tvirta, ilgaamžė, funkcionali, ji ar jos sudedamosios dalys tinkamos naudoti daug kartų ir (ar) lengvai pataisomos ir (ar) pakeičiamos;</w:t>
            </w:r>
          </w:p>
          <w:p w14:paraId="636FE34C" w14:textId="77777777" w:rsidR="00E761D3" w:rsidRPr="009C3352" w:rsidRDefault="00E761D3" w:rsidP="00C977DA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>
              <w:t>įrangos</w:t>
            </w:r>
            <w:r w:rsidRPr="009C3352">
              <w:t xml:space="preserve"> tarnavimo laikas ne trumpesnis kaip 5 metai.</w:t>
            </w:r>
          </w:p>
        </w:tc>
      </w:tr>
      <w:tr w:rsidR="00E761D3" w:rsidRPr="009C3352" w14:paraId="4F65A6E6" w14:textId="77777777" w:rsidTr="00C977DA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04F" w14:textId="77777777" w:rsidR="00E761D3" w:rsidRPr="009C3352" w:rsidRDefault="00E761D3" w:rsidP="00C977DA">
            <w:pPr>
              <w:rPr>
                <w:bCs/>
              </w:rPr>
            </w:pPr>
            <w:r w:rsidRPr="009C3352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09F" w14:textId="77777777" w:rsidR="00E761D3" w:rsidRPr="009C3352" w:rsidRDefault="00E761D3" w:rsidP="00C977DA">
            <w:pPr>
              <w:tabs>
                <w:tab w:val="left" w:pos="181"/>
              </w:tabs>
              <w:jc w:val="both"/>
            </w:pPr>
            <w:r>
              <w:rPr>
                <w:b/>
                <w:iCs/>
              </w:rPr>
              <w:t>P</w:t>
            </w:r>
            <w:r w:rsidRPr="009C3352">
              <w:rPr>
                <w:b/>
                <w:iCs/>
              </w:rPr>
              <w:t>ateikiamas</w:t>
            </w:r>
            <w:r w:rsidRPr="009C3352">
              <w:rPr>
                <w:iCs/>
              </w:rPr>
              <w:t xml:space="preserve"> gamintojo ir (ar) importuotojo/tiekėjo raštiškas patvirtinimas apie </w:t>
            </w:r>
            <w:r>
              <w:rPr>
                <w:iCs/>
              </w:rPr>
              <w:t>įrangos</w:t>
            </w:r>
            <w:r w:rsidRPr="009C3352">
              <w:rPr>
                <w:iCs/>
              </w:rPr>
              <w:t xml:space="preserve"> atitiktį </w:t>
            </w:r>
            <w:r w:rsidRPr="009C3352">
              <w:rPr>
                <w:bCs/>
              </w:rPr>
              <w:t xml:space="preserve">aplinkos apsaugos kriterijams </w:t>
            </w:r>
            <w:r w:rsidRPr="009C3352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3FE792B1" w14:textId="77777777" w:rsidR="00F36481" w:rsidRPr="004225AA" w:rsidRDefault="00F36481" w:rsidP="00F36481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31F36A37" w14:textId="1EAC6667" w:rsidR="00F36481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t>Special</w:t>
      </w:r>
      <w:r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56E14739" w14:textId="097CCA4F" w:rsidR="00F87350" w:rsidRPr="004225AA" w:rsidRDefault="00F87350" w:rsidP="00551486">
      <w:pPr>
        <w:spacing w:after="0" w:line="20" w:lineRule="atLeast"/>
        <w:jc w:val="both"/>
        <w:rPr>
          <w:rFonts w:eastAsia="Arial Unicode MS"/>
          <w:b/>
          <w:bdr w:val="nil"/>
        </w:rPr>
      </w:pPr>
    </w:p>
    <w:tbl>
      <w:tblPr>
        <w:tblW w:w="526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07"/>
        <w:gridCol w:w="3546"/>
        <w:gridCol w:w="3542"/>
      </w:tblGrid>
      <w:tr w:rsidR="00F36481" w:rsidRPr="00A15CDF" w14:paraId="31B8AB6F" w14:textId="77777777" w:rsidTr="00834918">
        <w:tc>
          <w:tcPr>
            <w:tcW w:w="396" w:type="pct"/>
            <w:vAlign w:val="center"/>
          </w:tcPr>
          <w:p w14:paraId="623E989E" w14:textId="77777777" w:rsidR="00F36481" w:rsidRPr="00A15CDF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15CDF">
              <w:rPr>
                <w:b/>
              </w:rPr>
              <w:t>Eil.</w:t>
            </w:r>
          </w:p>
          <w:p w14:paraId="1671E108" w14:textId="77777777" w:rsidR="00F36481" w:rsidRPr="00A15CDF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15CDF">
              <w:rPr>
                <w:b/>
              </w:rPr>
              <w:t>Nr.</w:t>
            </w:r>
          </w:p>
        </w:tc>
        <w:tc>
          <w:tcPr>
            <w:tcW w:w="1306" w:type="pct"/>
            <w:vAlign w:val="center"/>
          </w:tcPr>
          <w:p w14:paraId="29D2BE82" w14:textId="77777777" w:rsidR="00F36481" w:rsidRPr="00A15CDF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15CDF">
              <w:rPr>
                <w:b/>
              </w:rPr>
              <w:t>Prekių ir jų dalių pavadinimai</w:t>
            </w:r>
          </w:p>
        </w:tc>
        <w:tc>
          <w:tcPr>
            <w:tcW w:w="1650" w:type="pct"/>
            <w:vAlign w:val="center"/>
          </w:tcPr>
          <w:p w14:paraId="14E34976" w14:textId="77777777" w:rsidR="00F36481" w:rsidRPr="00A15CDF" w:rsidRDefault="00F36481" w:rsidP="00834918">
            <w:pPr>
              <w:spacing w:after="0" w:line="240" w:lineRule="auto"/>
              <w:jc w:val="center"/>
              <w:rPr>
                <w:b/>
              </w:rPr>
            </w:pPr>
            <w:r w:rsidRPr="00A15CDF">
              <w:rPr>
                <w:b/>
              </w:rPr>
              <w:t>Minimalūs reikalaujami prekių parametrai</w:t>
            </w:r>
          </w:p>
        </w:tc>
        <w:tc>
          <w:tcPr>
            <w:tcW w:w="1648" w:type="pct"/>
            <w:vAlign w:val="center"/>
          </w:tcPr>
          <w:p w14:paraId="6E85EB3D" w14:textId="77777777" w:rsidR="00F36481" w:rsidRPr="00A15CDF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A15CDF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229E65EB" w14:textId="77777777" w:rsidR="00F36481" w:rsidRPr="00A15CDF" w:rsidRDefault="00F36481" w:rsidP="00A828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5CDF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F36481" w:rsidRPr="00A15CDF" w14:paraId="514BF570" w14:textId="77777777" w:rsidTr="00834918">
        <w:tc>
          <w:tcPr>
            <w:tcW w:w="396" w:type="pct"/>
            <w:vAlign w:val="center"/>
          </w:tcPr>
          <w:p w14:paraId="14958A9B" w14:textId="77777777" w:rsidR="00F36481" w:rsidRPr="00A15CDF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15CDF">
              <w:rPr>
                <w:b/>
              </w:rPr>
              <w:t>I</w:t>
            </w:r>
          </w:p>
        </w:tc>
        <w:tc>
          <w:tcPr>
            <w:tcW w:w="1306" w:type="pct"/>
            <w:vAlign w:val="center"/>
          </w:tcPr>
          <w:p w14:paraId="47F32883" w14:textId="77777777" w:rsidR="00F36481" w:rsidRPr="00A15CDF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15CDF">
              <w:rPr>
                <w:b/>
              </w:rPr>
              <w:t>II</w:t>
            </w:r>
          </w:p>
        </w:tc>
        <w:tc>
          <w:tcPr>
            <w:tcW w:w="1650" w:type="pct"/>
            <w:vAlign w:val="center"/>
          </w:tcPr>
          <w:p w14:paraId="5665F903" w14:textId="77777777" w:rsidR="00F36481" w:rsidRPr="00A15CDF" w:rsidRDefault="00F36481" w:rsidP="00834918">
            <w:pPr>
              <w:spacing w:after="0" w:line="240" w:lineRule="auto"/>
              <w:jc w:val="center"/>
              <w:rPr>
                <w:b/>
              </w:rPr>
            </w:pPr>
            <w:r w:rsidRPr="00A15CDF">
              <w:rPr>
                <w:b/>
              </w:rPr>
              <w:t>III</w:t>
            </w:r>
          </w:p>
        </w:tc>
        <w:tc>
          <w:tcPr>
            <w:tcW w:w="1648" w:type="pct"/>
            <w:vAlign w:val="center"/>
          </w:tcPr>
          <w:p w14:paraId="210ED69C" w14:textId="77777777" w:rsidR="00F36481" w:rsidRPr="00A15CDF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A15CDF"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F36481" w:rsidRPr="00A15CDF" w14:paraId="7EDA831D" w14:textId="77777777" w:rsidTr="00834918">
        <w:tc>
          <w:tcPr>
            <w:tcW w:w="396" w:type="pct"/>
            <w:vAlign w:val="center"/>
          </w:tcPr>
          <w:p w14:paraId="6A13B090" w14:textId="6FCDDA46" w:rsidR="00F36481" w:rsidRPr="00A15CDF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15CDF">
              <w:rPr>
                <w:b/>
              </w:rPr>
              <w:t>1.</w:t>
            </w:r>
          </w:p>
        </w:tc>
        <w:tc>
          <w:tcPr>
            <w:tcW w:w="1306" w:type="pct"/>
            <w:vAlign w:val="center"/>
          </w:tcPr>
          <w:p w14:paraId="10696D37" w14:textId="3175A134" w:rsidR="00F36481" w:rsidRPr="00A15CDF" w:rsidRDefault="0027572D" w:rsidP="00B710DC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  <w:b/>
                <w:bCs/>
              </w:rPr>
              <w:t>Precizinės lazerinio ir mechaninio apdirbimo automatizuotos spausdintųjų plokščių gamybos staklės</w:t>
            </w:r>
            <w:r w:rsidR="00A15CDF" w:rsidRPr="00A15CDF">
              <w:rPr>
                <w:rFonts w:eastAsia="Times New Roman"/>
                <w:b/>
                <w:bCs/>
              </w:rPr>
              <w:t>,</w:t>
            </w:r>
            <w:r w:rsidR="00751AAB" w:rsidRPr="00A15CDF">
              <w:rPr>
                <w:rFonts w:eastAsia="Times New Roman"/>
                <w:b/>
                <w:bCs/>
              </w:rPr>
              <w:t xml:space="preserve"> </w:t>
            </w:r>
            <w:r w:rsidR="000E4F99" w:rsidRPr="00A15CDF">
              <w:rPr>
                <w:rFonts w:eastAsia="Times New Roman"/>
                <w:b/>
                <w:bCs/>
              </w:rPr>
              <w:t>1vnt.</w:t>
            </w:r>
          </w:p>
        </w:tc>
        <w:tc>
          <w:tcPr>
            <w:tcW w:w="1650" w:type="pct"/>
            <w:vAlign w:val="center"/>
          </w:tcPr>
          <w:p w14:paraId="378F95D9" w14:textId="77777777" w:rsidR="00F36481" w:rsidRPr="00A15CDF" w:rsidRDefault="00F36481" w:rsidP="00834918">
            <w:pPr>
              <w:spacing w:after="0" w:line="20" w:lineRule="atLeast"/>
              <w:rPr>
                <w:b/>
              </w:rPr>
            </w:pPr>
            <w:r w:rsidRPr="00A15CDF">
              <w:rPr>
                <w:b/>
              </w:rPr>
              <w:t>Nurodyti siūlomą gamintoją ir gamintojo modelį</w:t>
            </w:r>
          </w:p>
        </w:tc>
        <w:tc>
          <w:tcPr>
            <w:tcW w:w="1648" w:type="pct"/>
            <w:vAlign w:val="center"/>
          </w:tcPr>
          <w:p w14:paraId="1A746885" w14:textId="41F6C3A9" w:rsidR="00F36481" w:rsidRPr="00A15CDF" w:rsidRDefault="00F36481" w:rsidP="00A8281D">
            <w:pPr>
              <w:spacing w:after="0" w:line="240" w:lineRule="auto"/>
              <w:rPr>
                <w:bCs/>
              </w:rPr>
            </w:pPr>
          </w:p>
        </w:tc>
      </w:tr>
      <w:tr w:rsidR="00F04D0E" w:rsidRPr="00A15CDF" w14:paraId="32B3D8AC" w14:textId="77777777" w:rsidTr="00834918">
        <w:tc>
          <w:tcPr>
            <w:tcW w:w="396" w:type="pct"/>
            <w:vAlign w:val="center"/>
          </w:tcPr>
          <w:p w14:paraId="204420FF" w14:textId="176439FB" w:rsidR="00F04D0E" w:rsidRPr="00A15CDF" w:rsidRDefault="00F04D0E" w:rsidP="00F04D0E">
            <w:pPr>
              <w:spacing w:after="0"/>
              <w:ind w:left="-104" w:right="-111"/>
              <w:jc w:val="center"/>
            </w:pPr>
            <w:r w:rsidRPr="00A15CDF">
              <w:t>1.1.</w:t>
            </w:r>
          </w:p>
        </w:tc>
        <w:tc>
          <w:tcPr>
            <w:tcW w:w="1306" w:type="pct"/>
            <w:vAlign w:val="center"/>
          </w:tcPr>
          <w:p w14:paraId="70B2A948" w14:textId="65875F42" w:rsidR="00F04D0E" w:rsidRPr="00A15CDF" w:rsidRDefault="00F04D0E" w:rsidP="00F04D0E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Paskirtis 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111521EA" w14:textId="1088D069" w:rsidR="00F04D0E" w:rsidRPr="004533EA" w:rsidRDefault="00F04D0E" w:rsidP="00F04D0E">
            <w:pPr>
              <w:spacing w:after="0" w:line="20" w:lineRule="atLeast"/>
              <w:rPr>
                <w:b/>
              </w:rPr>
            </w:pPr>
            <w:r w:rsidRPr="004533EA">
              <w:rPr>
                <w:rFonts w:eastAsia="Times New Roman"/>
              </w:rPr>
              <w:t>Bekontaktis paviršių apdirbimas lazeriu.</w:t>
            </w:r>
          </w:p>
        </w:tc>
        <w:tc>
          <w:tcPr>
            <w:tcW w:w="1648" w:type="pct"/>
            <w:vAlign w:val="center"/>
          </w:tcPr>
          <w:p w14:paraId="72C2B558" w14:textId="32BCF3AD" w:rsidR="00F04D0E" w:rsidRPr="00F04D0E" w:rsidRDefault="00F04D0E" w:rsidP="00F04D0E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4BB54A9B" w14:textId="77777777" w:rsidTr="00834918">
        <w:tc>
          <w:tcPr>
            <w:tcW w:w="396" w:type="pct"/>
            <w:vAlign w:val="center"/>
          </w:tcPr>
          <w:p w14:paraId="1059F435" w14:textId="7B112055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1.2.</w:t>
            </w:r>
          </w:p>
        </w:tc>
        <w:tc>
          <w:tcPr>
            <w:tcW w:w="1306" w:type="pct"/>
            <w:vAlign w:val="center"/>
          </w:tcPr>
          <w:p w14:paraId="65FA4CEC" w14:textId="60365210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Ruošinio išmatavimai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FC14084" w14:textId="77777777" w:rsidR="00054279" w:rsidRPr="00A15CDF" w:rsidRDefault="00054279" w:rsidP="00054279">
            <w:pPr>
              <w:spacing w:after="0" w:line="20" w:lineRule="atLeast"/>
              <w:rPr>
                <w:rFonts w:eastAsia="Times New Roman"/>
              </w:rPr>
            </w:pPr>
            <w:r w:rsidRPr="00A15CDF">
              <w:rPr>
                <w:rFonts w:eastAsia="Times New Roman"/>
              </w:rPr>
              <w:t xml:space="preserve">≥ (X/Y/Z) </w:t>
            </w:r>
          </w:p>
          <w:p w14:paraId="4E65F85D" w14:textId="3696517F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310 mm x 230 mm x 8 mm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8F5E093" w14:textId="15DD000D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5300BE8B" w14:textId="77777777" w:rsidTr="00834918">
        <w:tc>
          <w:tcPr>
            <w:tcW w:w="396" w:type="pct"/>
            <w:vAlign w:val="center"/>
          </w:tcPr>
          <w:p w14:paraId="00258EB6" w14:textId="5B124806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1.3.</w:t>
            </w:r>
          </w:p>
        </w:tc>
        <w:tc>
          <w:tcPr>
            <w:tcW w:w="1306" w:type="pct"/>
            <w:vAlign w:val="center"/>
          </w:tcPr>
          <w:p w14:paraId="3BE09A9C" w14:textId="0B16C558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Lazerio valdymo dažnio intervalas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29818E2" w14:textId="039D86A8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 xml:space="preserve">Turi būti suderinamas su 25–400 </w:t>
            </w:r>
            <w:proofErr w:type="spellStart"/>
            <w:r w:rsidRPr="00A15CDF">
              <w:rPr>
                <w:rFonts w:eastAsia="Times New Roman"/>
              </w:rPr>
              <w:t>kHz</w:t>
            </w:r>
            <w:proofErr w:type="spellEnd"/>
            <w:r w:rsidRPr="00A15CDF">
              <w:rPr>
                <w:rFonts w:eastAsia="Times New Roman"/>
              </w:rPr>
              <w:t>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0FFF5F89" w14:textId="5A57C225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18D4D358" w14:textId="77777777" w:rsidTr="00834918">
        <w:tc>
          <w:tcPr>
            <w:tcW w:w="396" w:type="pct"/>
            <w:vAlign w:val="center"/>
          </w:tcPr>
          <w:p w14:paraId="302D64F5" w14:textId="676204CA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1.4.</w:t>
            </w:r>
          </w:p>
        </w:tc>
        <w:tc>
          <w:tcPr>
            <w:tcW w:w="1306" w:type="pct"/>
            <w:vAlign w:val="center"/>
          </w:tcPr>
          <w:p w14:paraId="5886CD04" w14:textId="4D438BA9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Lazerio bangos ilgis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673ED44" w14:textId="3351A7D0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1064nm ± 60nm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6862293C" w14:textId="73BFF3F5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6F673C50" w14:textId="77777777" w:rsidTr="00834918">
        <w:tc>
          <w:tcPr>
            <w:tcW w:w="396" w:type="pct"/>
            <w:vAlign w:val="center"/>
          </w:tcPr>
          <w:p w14:paraId="5FA97C8F" w14:textId="365EA7D4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1.5.</w:t>
            </w:r>
          </w:p>
        </w:tc>
        <w:tc>
          <w:tcPr>
            <w:tcW w:w="1306" w:type="pct"/>
            <w:vAlign w:val="center"/>
          </w:tcPr>
          <w:p w14:paraId="041C52F8" w14:textId="5E9FB319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Maksimali lazerio galia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DA79F7A" w14:textId="40EA0095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>≥20 W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29DEBAE" w14:textId="25FEFB23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1FFDDD15" w14:textId="77777777" w:rsidTr="00834918">
        <w:tc>
          <w:tcPr>
            <w:tcW w:w="396" w:type="pct"/>
            <w:vAlign w:val="center"/>
          </w:tcPr>
          <w:p w14:paraId="75CA06AF" w14:textId="68593FD0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1.6.</w:t>
            </w:r>
          </w:p>
        </w:tc>
        <w:tc>
          <w:tcPr>
            <w:tcW w:w="1306" w:type="pct"/>
            <w:vAlign w:val="center"/>
          </w:tcPr>
          <w:p w14:paraId="626F6514" w14:textId="2831FCD0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Fokusuoto lazerio spindulio diametras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68593B2" w14:textId="04BF80E5" w:rsidR="00054279" w:rsidRPr="00A15CDF" w:rsidRDefault="00054279" w:rsidP="00054279">
            <w:pPr>
              <w:spacing w:after="0" w:line="20" w:lineRule="atLeast"/>
              <w:rPr>
                <w:rFonts w:eastAsia="Times New Roman"/>
              </w:rPr>
            </w:pPr>
            <w:r w:rsidRPr="00A15CDF">
              <w:rPr>
                <w:rFonts w:eastAsia="Times New Roman"/>
              </w:rPr>
              <w:t>≤ 25 ± 2 µm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D7FEEEE" w14:textId="41F52E61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18F4C2F1" w14:textId="77777777" w:rsidTr="00834918">
        <w:tc>
          <w:tcPr>
            <w:tcW w:w="396" w:type="pct"/>
            <w:vAlign w:val="center"/>
          </w:tcPr>
          <w:p w14:paraId="60D94CC7" w14:textId="42F1F98F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1.7.</w:t>
            </w:r>
          </w:p>
        </w:tc>
        <w:tc>
          <w:tcPr>
            <w:tcW w:w="1306" w:type="pct"/>
            <w:vAlign w:val="center"/>
          </w:tcPr>
          <w:p w14:paraId="0B634D88" w14:textId="77AB0D12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Struktūrizavimo greitis 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BA208B5" w14:textId="41C08F62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>≥14 cm</w:t>
            </w:r>
            <w:r w:rsidRPr="00A15CDF">
              <w:rPr>
                <w:rFonts w:eastAsia="Times New Roman"/>
                <w:vertAlign w:val="superscript"/>
              </w:rPr>
              <w:t>2</w:t>
            </w:r>
            <w:r w:rsidRPr="00A15CDF">
              <w:rPr>
                <w:rFonts w:eastAsia="Times New Roman"/>
              </w:rPr>
              <w:t>/min ant laminuotų plokščių esant 18μm vario sluoksniui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23511B3" w14:textId="76010FB5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5878F927" w14:textId="77777777" w:rsidTr="00834918">
        <w:tc>
          <w:tcPr>
            <w:tcW w:w="396" w:type="pct"/>
            <w:vAlign w:val="center"/>
          </w:tcPr>
          <w:p w14:paraId="3268825F" w14:textId="57FFCB79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1.8.</w:t>
            </w:r>
          </w:p>
        </w:tc>
        <w:tc>
          <w:tcPr>
            <w:tcW w:w="1306" w:type="pct"/>
            <w:vAlign w:val="center"/>
          </w:tcPr>
          <w:p w14:paraId="6E5E48EE" w14:textId="312CF804" w:rsidR="00054279" w:rsidRPr="00A15CDF" w:rsidRDefault="00054279" w:rsidP="00054279">
            <w:pPr>
              <w:spacing w:after="0" w:line="20" w:lineRule="atLeast"/>
              <w:rPr>
                <w:b/>
              </w:rPr>
            </w:pPr>
            <w:r w:rsidRPr="00A15CDF">
              <w:rPr>
                <w:rFonts w:eastAsia="Times New Roman"/>
              </w:rPr>
              <w:t>Minimalus takelio plotis 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220CB2C" w14:textId="6A99B911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 xml:space="preserve">≤ 100 </w:t>
            </w:r>
            <w:proofErr w:type="spellStart"/>
            <w:r w:rsidRPr="00A15CDF">
              <w:rPr>
                <w:rFonts w:eastAsia="Times New Roman"/>
              </w:rPr>
              <w:t>μm</w:t>
            </w:r>
            <w:proofErr w:type="spellEnd"/>
            <w:r w:rsidRPr="00A15CDF">
              <w:rPr>
                <w:rFonts w:eastAsia="Times New Roman"/>
              </w:rPr>
              <w:t> ant FR4  esant 18μm vario sluoksniui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F1F2270" w14:textId="21C4961B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0B78BE67" w14:textId="77777777" w:rsidTr="00834918">
        <w:tc>
          <w:tcPr>
            <w:tcW w:w="396" w:type="pct"/>
            <w:vAlign w:val="center"/>
          </w:tcPr>
          <w:p w14:paraId="14349BB2" w14:textId="0B2DC9B6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1.9.</w:t>
            </w:r>
          </w:p>
        </w:tc>
        <w:tc>
          <w:tcPr>
            <w:tcW w:w="1306" w:type="pct"/>
            <w:vAlign w:val="center"/>
          </w:tcPr>
          <w:p w14:paraId="4145B1C3" w14:textId="43BEA193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>Minimalus tarpas tarp takelių 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29C1653A" w14:textId="74D94307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 xml:space="preserve">≤ 30 </w:t>
            </w:r>
            <w:proofErr w:type="spellStart"/>
            <w:r w:rsidRPr="00A15CDF">
              <w:rPr>
                <w:rFonts w:eastAsia="Times New Roman"/>
              </w:rPr>
              <w:t>μm</w:t>
            </w:r>
            <w:proofErr w:type="spellEnd"/>
            <w:r w:rsidRPr="00A15CDF">
              <w:rPr>
                <w:rFonts w:eastAsia="Times New Roman"/>
              </w:rPr>
              <w:t xml:space="preserve"> ant FR4  esant 18 </w:t>
            </w:r>
            <w:proofErr w:type="spellStart"/>
            <w:r w:rsidRPr="00A15CDF">
              <w:rPr>
                <w:rFonts w:eastAsia="Times New Roman"/>
              </w:rPr>
              <w:t>μm</w:t>
            </w:r>
            <w:proofErr w:type="spellEnd"/>
            <w:r w:rsidRPr="00A15CDF">
              <w:rPr>
                <w:rFonts w:eastAsia="Times New Roman"/>
              </w:rPr>
              <w:t xml:space="preserve"> vario sluoksniui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B551E4F" w14:textId="0DBF4D53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17F1AFC8" w14:textId="77777777" w:rsidTr="00834918">
        <w:tc>
          <w:tcPr>
            <w:tcW w:w="396" w:type="pct"/>
            <w:vAlign w:val="center"/>
          </w:tcPr>
          <w:p w14:paraId="617C8C5B" w14:textId="769FFC0B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1.10.</w:t>
            </w:r>
          </w:p>
        </w:tc>
        <w:tc>
          <w:tcPr>
            <w:tcW w:w="1306" w:type="pct"/>
            <w:vAlign w:val="center"/>
          </w:tcPr>
          <w:p w14:paraId="022170CE" w14:textId="3282ED3F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>Skenerio skiriamoji geba nuskaitymo lauke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57F137F8" w14:textId="2865D922" w:rsidR="00054279" w:rsidRPr="00F04D0E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 xml:space="preserve">≤ 1 </w:t>
            </w:r>
            <w:proofErr w:type="spellStart"/>
            <w:r w:rsidRPr="00A15CDF">
              <w:rPr>
                <w:rFonts w:eastAsia="Times New Roman"/>
              </w:rPr>
              <w:t>μm</w:t>
            </w:r>
            <w:proofErr w:type="spellEnd"/>
            <w:r w:rsidRPr="00A15CDF">
              <w:rPr>
                <w:rFonts w:eastAsia="Times New Roman"/>
              </w:rPr>
              <w:t>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5BFD1A95" w14:textId="7F060F83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75E65028" w14:textId="77777777" w:rsidTr="00834918">
        <w:tc>
          <w:tcPr>
            <w:tcW w:w="396" w:type="pct"/>
            <w:vAlign w:val="center"/>
          </w:tcPr>
          <w:p w14:paraId="586052DB" w14:textId="72952349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rPr>
                <w:rFonts w:eastAsia="Times New Roman"/>
              </w:rPr>
              <w:t>1.11.</w:t>
            </w:r>
          </w:p>
        </w:tc>
        <w:tc>
          <w:tcPr>
            <w:tcW w:w="1306" w:type="pct"/>
            <w:vAlign w:val="center"/>
          </w:tcPr>
          <w:p w14:paraId="0257880F" w14:textId="63A15AA9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>Nustatytos koordinatės darbo lauke pakartojamumas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30B5B86" w14:textId="690527BD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 xml:space="preserve">≤ ± 1,8 </w:t>
            </w:r>
            <w:proofErr w:type="spellStart"/>
            <w:r w:rsidRPr="00A15CDF">
              <w:rPr>
                <w:rFonts w:eastAsia="Times New Roman"/>
              </w:rPr>
              <w:t>μm</w:t>
            </w:r>
            <w:proofErr w:type="spellEnd"/>
            <w:r w:rsidRPr="00A15CDF">
              <w:rPr>
                <w:rFonts w:eastAsia="Times New Roman"/>
              </w:rPr>
              <w:t>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5C306BD" w14:textId="268E14CB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01F14015" w14:textId="77777777" w:rsidTr="00834918">
        <w:tc>
          <w:tcPr>
            <w:tcW w:w="396" w:type="pct"/>
            <w:vAlign w:val="center"/>
          </w:tcPr>
          <w:p w14:paraId="0EAC6F05" w14:textId="6F49756F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t>1.12.</w:t>
            </w:r>
          </w:p>
        </w:tc>
        <w:tc>
          <w:tcPr>
            <w:tcW w:w="1306" w:type="pct"/>
            <w:vAlign w:val="center"/>
          </w:tcPr>
          <w:p w14:paraId="082BD6EE" w14:textId="64F50524" w:rsidR="00054279" w:rsidRPr="00A15CDF" w:rsidRDefault="00054279" w:rsidP="00054279">
            <w:pPr>
              <w:spacing w:after="0" w:line="20" w:lineRule="atLeast"/>
              <w:rPr>
                <w:rFonts w:eastAsia="Times New Roman"/>
              </w:rPr>
            </w:pPr>
            <w:r w:rsidRPr="00A15CDF">
              <w:rPr>
                <w:rFonts w:eastAsia="Times New Roman"/>
              </w:rPr>
              <w:t>Nustatytos koordinatės darbo lauke paklaida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14E12036" w14:textId="772AB958" w:rsidR="00054279" w:rsidRPr="00A15CDF" w:rsidRDefault="00054279" w:rsidP="00054279">
            <w:pPr>
              <w:spacing w:after="0" w:line="20" w:lineRule="atLeast"/>
              <w:rPr>
                <w:rFonts w:eastAsia="Times New Roman"/>
              </w:rPr>
            </w:pPr>
            <w:r w:rsidRPr="00A15CDF">
              <w:rPr>
                <w:rFonts w:eastAsia="Times New Roman"/>
              </w:rPr>
              <w:t xml:space="preserve">≤ ± 10 </w:t>
            </w:r>
            <w:proofErr w:type="spellStart"/>
            <w:r w:rsidRPr="00A15CDF">
              <w:rPr>
                <w:rFonts w:eastAsia="Times New Roman"/>
              </w:rPr>
              <w:t>μm</w:t>
            </w:r>
            <w:proofErr w:type="spellEnd"/>
            <w:r w:rsidRPr="00A15CDF">
              <w:rPr>
                <w:rFonts w:eastAsia="Times New Roman"/>
              </w:rPr>
              <w:t>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B9D707E" w14:textId="33C0817E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0AB60F04" w14:textId="77777777" w:rsidTr="00834918">
        <w:tc>
          <w:tcPr>
            <w:tcW w:w="396" w:type="pct"/>
            <w:vAlign w:val="center"/>
          </w:tcPr>
          <w:p w14:paraId="2E63B066" w14:textId="48C3E007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t>1.13.</w:t>
            </w:r>
          </w:p>
        </w:tc>
        <w:tc>
          <w:tcPr>
            <w:tcW w:w="1306" w:type="pct"/>
            <w:vAlign w:val="center"/>
          </w:tcPr>
          <w:p w14:paraId="4172F42C" w14:textId="2D09FD63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 xml:space="preserve">Maksimalios </w:t>
            </w:r>
            <w:proofErr w:type="spellStart"/>
            <w:r w:rsidRPr="00A15CDF">
              <w:rPr>
                <w:rFonts w:eastAsia="Times New Roman"/>
              </w:rPr>
              <w:t>špindelio</w:t>
            </w:r>
            <w:proofErr w:type="spellEnd"/>
            <w:r w:rsidRPr="00A15CDF">
              <w:rPr>
                <w:rFonts w:eastAsia="Times New Roman"/>
              </w:rPr>
              <w:t xml:space="preserve"> apsukos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20E21E2" w14:textId="74E06875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>≥ 100 000 aps./min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336DC81" w14:textId="7B349F21" w:rsidR="00054279" w:rsidRPr="00A15CDF" w:rsidRDefault="00054279" w:rsidP="00054279">
            <w:pPr>
              <w:spacing w:after="0" w:line="240" w:lineRule="auto"/>
              <w:rPr>
                <w:bCs/>
              </w:rPr>
            </w:pPr>
          </w:p>
        </w:tc>
      </w:tr>
      <w:tr w:rsidR="00054279" w:rsidRPr="00A15CDF" w14:paraId="09F6AAB9" w14:textId="77777777" w:rsidTr="00834918">
        <w:tc>
          <w:tcPr>
            <w:tcW w:w="396" w:type="pct"/>
            <w:vAlign w:val="center"/>
          </w:tcPr>
          <w:p w14:paraId="2241DC00" w14:textId="0BABB9CE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t>1.14.</w:t>
            </w:r>
          </w:p>
        </w:tc>
        <w:tc>
          <w:tcPr>
            <w:tcW w:w="1306" w:type="pct"/>
            <w:vAlign w:val="center"/>
          </w:tcPr>
          <w:p w14:paraId="53A1ABEA" w14:textId="0BE9B5A5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  <w:color w:val="000000"/>
              </w:rPr>
              <w:t>Įrankių keitimas </w:t>
            </w:r>
            <w:r w:rsidRPr="00A15CDF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C4D0785" w14:textId="6BFEC948" w:rsidR="00054279" w:rsidRPr="004533EA" w:rsidRDefault="00F04D0E" w:rsidP="00054279">
            <w:pPr>
              <w:spacing w:after="0" w:line="20" w:lineRule="atLeast"/>
              <w:rPr>
                <w:b/>
              </w:rPr>
            </w:pPr>
            <w:r w:rsidRPr="004533EA">
              <w:rPr>
                <w:rFonts w:eastAsia="Times New Roman"/>
                <w:color w:val="000000"/>
              </w:rPr>
              <w:t>Į</w:t>
            </w:r>
            <w:r w:rsidR="00054279" w:rsidRPr="004533EA">
              <w:rPr>
                <w:rFonts w:eastAsia="Times New Roman"/>
                <w:color w:val="000000"/>
              </w:rPr>
              <w:t>rankių vietų skaičius ≥ 14 vnt. </w:t>
            </w:r>
            <w:r w:rsidR="00054279" w:rsidRPr="004533EA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2267F84" w14:textId="2CC9A575" w:rsidR="00054279" w:rsidRPr="00054279" w:rsidRDefault="00054279" w:rsidP="00054279">
            <w:pPr>
              <w:spacing w:after="0" w:line="240" w:lineRule="auto"/>
              <w:rPr>
                <w:bCs/>
                <w:highlight w:val="cyan"/>
              </w:rPr>
            </w:pPr>
          </w:p>
        </w:tc>
      </w:tr>
      <w:tr w:rsidR="00054279" w:rsidRPr="00A15CDF" w14:paraId="3D3F5051" w14:textId="77777777" w:rsidTr="00834918">
        <w:tc>
          <w:tcPr>
            <w:tcW w:w="396" w:type="pct"/>
            <w:vAlign w:val="center"/>
          </w:tcPr>
          <w:p w14:paraId="1FE4F6B5" w14:textId="244F8FE9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t>1.15.</w:t>
            </w:r>
          </w:p>
        </w:tc>
        <w:tc>
          <w:tcPr>
            <w:tcW w:w="1306" w:type="pct"/>
            <w:vAlign w:val="center"/>
          </w:tcPr>
          <w:p w14:paraId="2DD94B4E" w14:textId="78C6B0BA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>Įrankio ilgio kalibravimo tikslumo paklaida 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042AC91B" w14:textId="38974F9A" w:rsidR="00054279" w:rsidRPr="00A15CDF" w:rsidRDefault="00054279" w:rsidP="00054279">
            <w:pPr>
              <w:spacing w:after="0" w:line="20" w:lineRule="atLeast"/>
              <w:rPr>
                <w:rFonts w:eastAsia="Times New Roman"/>
                <w:b/>
              </w:rPr>
            </w:pPr>
            <w:r w:rsidRPr="00A15CDF">
              <w:rPr>
                <w:rFonts w:eastAsia="Times New Roman"/>
              </w:rPr>
              <w:t xml:space="preserve">≤ ± 5 </w:t>
            </w:r>
            <w:proofErr w:type="spellStart"/>
            <w:r w:rsidRPr="00A15CDF">
              <w:rPr>
                <w:rFonts w:eastAsia="Times New Roman"/>
              </w:rPr>
              <w:t>μm</w:t>
            </w:r>
            <w:proofErr w:type="spellEnd"/>
            <w:r w:rsidRPr="00A15CDF">
              <w:rPr>
                <w:rFonts w:eastAsia="Times New Roman"/>
              </w:rPr>
              <w:t>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871B525" w14:textId="4EDD45B5" w:rsidR="00054279" w:rsidRPr="00A15CDF" w:rsidRDefault="00054279" w:rsidP="0005427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54279" w:rsidRPr="00A15CDF" w14:paraId="00D6A1F2" w14:textId="77777777" w:rsidTr="00834918">
        <w:tc>
          <w:tcPr>
            <w:tcW w:w="396" w:type="pct"/>
            <w:vAlign w:val="center"/>
          </w:tcPr>
          <w:p w14:paraId="6328AE53" w14:textId="190415A3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t>1.16.</w:t>
            </w:r>
          </w:p>
        </w:tc>
        <w:tc>
          <w:tcPr>
            <w:tcW w:w="1306" w:type="pct"/>
            <w:vAlign w:val="center"/>
          </w:tcPr>
          <w:p w14:paraId="2AB4883C" w14:textId="5B89CDA5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>Išoriniai prietaiso matmenys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ADB36B8" w14:textId="11BD3CAD" w:rsidR="00054279" w:rsidRPr="00A15CDF" w:rsidRDefault="00054279" w:rsidP="00054279">
            <w:pPr>
              <w:spacing w:after="0" w:line="20" w:lineRule="atLeast"/>
              <w:rPr>
                <w:rFonts w:eastAsia="Times New Roman"/>
              </w:rPr>
            </w:pPr>
            <w:r w:rsidRPr="00A15CDF">
              <w:rPr>
                <w:rFonts w:eastAsia="Times New Roman"/>
              </w:rPr>
              <w:t>Bendra prietaiso matmenų suma (ilgis, plotis, aukštis)  ≤ 2250mm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6CF1146" w14:textId="19C8002E" w:rsidR="00054279" w:rsidRPr="00A15CDF" w:rsidRDefault="00054279" w:rsidP="0005427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54279" w:rsidRPr="00A15CDF" w14:paraId="64ACF194" w14:textId="77777777" w:rsidTr="00834918">
        <w:tc>
          <w:tcPr>
            <w:tcW w:w="396" w:type="pct"/>
            <w:vAlign w:val="center"/>
          </w:tcPr>
          <w:p w14:paraId="6CA8AAFF" w14:textId="24898BC0" w:rsidR="00054279" w:rsidRPr="00A15CDF" w:rsidRDefault="00054279" w:rsidP="00054279">
            <w:pPr>
              <w:spacing w:after="0"/>
              <w:ind w:left="-104" w:right="-111"/>
              <w:jc w:val="center"/>
            </w:pPr>
            <w:r w:rsidRPr="00A15CDF">
              <w:t>1.17.</w:t>
            </w:r>
          </w:p>
        </w:tc>
        <w:tc>
          <w:tcPr>
            <w:tcW w:w="1306" w:type="pct"/>
            <w:vAlign w:val="center"/>
          </w:tcPr>
          <w:p w14:paraId="1DB4F5D8" w14:textId="5572F25A" w:rsidR="00054279" w:rsidRPr="00A15CDF" w:rsidRDefault="00054279" w:rsidP="00054279">
            <w:pPr>
              <w:spacing w:after="0" w:line="20" w:lineRule="atLeast"/>
            </w:pPr>
            <w:r w:rsidRPr="00A15CDF">
              <w:rPr>
                <w:rFonts w:eastAsia="Times New Roman"/>
              </w:rPr>
              <w:t>Įrenginio vartojamoji galia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2482707" w14:textId="1AD87CCB" w:rsidR="00054279" w:rsidRPr="00A15CDF" w:rsidRDefault="00054279" w:rsidP="00054279">
            <w:pPr>
              <w:spacing w:after="0" w:line="20" w:lineRule="atLeast"/>
              <w:rPr>
                <w:rFonts w:eastAsia="Times New Roman"/>
              </w:rPr>
            </w:pPr>
            <w:r w:rsidRPr="00A15CDF">
              <w:rPr>
                <w:rFonts w:eastAsia="Times New Roman"/>
              </w:rPr>
              <w:t>≤ 500W </w:t>
            </w:r>
            <w:r w:rsidRPr="00A15CD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650DFCED" w14:textId="28BBACDE" w:rsidR="00054279" w:rsidRPr="00A15CDF" w:rsidRDefault="00054279" w:rsidP="0005427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03BCB" w:rsidRPr="00162757" w14:paraId="6E57D294" w14:textId="77777777" w:rsidTr="00834918">
        <w:tc>
          <w:tcPr>
            <w:tcW w:w="396" w:type="pct"/>
            <w:vAlign w:val="center"/>
          </w:tcPr>
          <w:p w14:paraId="7F01E5E5" w14:textId="461EA73A" w:rsidR="00D03BCB" w:rsidRPr="00162757" w:rsidRDefault="00D03BCB" w:rsidP="00D03BCB">
            <w:pPr>
              <w:spacing w:after="0"/>
              <w:ind w:left="-104" w:right="-111"/>
              <w:jc w:val="center"/>
              <w:rPr>
                <w:highlight w:val="yellow"/>
              </w:rPr>
            </w:pPr>
            <w:r w:rsidRPr="00936FEB">
              <w:t>1.18.</w:t>
            </w:r>
          </w:p>
        </w:tc>
        <w:tc>
          <w:tcPr>
            <w:tcW w:w="1306" w:type="pct"/>
            <w:vAlign w:val="center"/>
          </w:tcPr>
          <w:p w14:paraId="06DD895E" w14:textId="53595F0F" w:rsidR="00D03BCB" w:rsidRPr="004533EA" w:rsidRDefault="00D03BCB" w:rsidP="00D03BCB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  <w:b/>
              </w:rPr>
              <w:t>Programinė įranga</w:t>
            </w:r>
          </w:p>
        </w:tc>
        <w:tc>
          <w:tcPr>
            <w:tcW w:w="1650" w:type="pct"/>
            <w:vAlign w:val="center"/>
          </w:tcPr>
          <w:p w14:paraId="7BEB8255" w14:textId="61A0F182" w:rsidR="00D03BCB" w:rsidRPr="00936FEB" w:rsidRDefault="00D03BCB" w:rsidP="00D03BCB">
            <w:pPr>
              <w:spacing w:after="0" w:line="20" w:lineRule="atLeast"/>
              <w:rPr>
                <w:rFonts w:eastAsia="Times New Roman"/>
              </w:rPr>
            </w:pPr>
            <w:r w:rsidRPr="00936FEB">
              <w:rPr>
                <w:rFonts w:eastAsia="Times New Roman"/>
              </w:rPr>
              <w:t>Staklės turi būti pateiktos su visa reikiama originalia gamintojo programine įranga</w:t>
            </w:r>
          </w:p>
        </w:tc>
        <w:tc>
          <w:tcPr>
            <w:tcW w:w="1648" w:type="pct"/>
            <w:vAlign w:val="center"/>
          </w:tcPr>
          <w:p w14:paraId="14F3F702" w14:textId="42E3976A" w:rsidR="00D03BCB" w:rsidRPr="00936FEB" w:rsidRDefault="00D03BCB" w:rsidP="00D03BC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03BCB" w:rsidRPr="00162757" w14:paraId="65AD71DF" w14:textId="77777777" w:rsidTr="00834918">
        <w:tc>
          <w:tcPr>
            <w:tcW w:w="396" w:type="pct"/>
            <w:vAlign w:val="center"/>
          </w:tcPr>
          <w:p w14:paraId="05E87438" w14:textId="31A19C23" w:rsidR="00D03BCB" w:rsidRPr="00916632" w:rsidRDefault="00D03BCB" w:rsidP="00D03BCB">
            <w:pPr>
              <w:spacing w:after="0"/>
              <w:ind w:left="-104" w:right="-111"/>
              <w:jc w:val="center"/>
              <w:rPr>
                <w:highlight w:val="red"/>
              </w:rPr>
            </w:pPr>
            <w:r w:rsidRPr="00F04D0E">
              <w:rPr>
                <w:b/>
              </w:rPr>
              <w:lastRenderedPageBreak/>
              <w:t>2</w:t>
            </w:r>
            <w:r w:rsidRPr="00F04D0E">
              <w:t>.</w:t>
            </w:r>
          </w:p>
        </w:tc>
        <w:tc>
          <w:tcPr>
            <w:tcW w:w="1306" w:type="pct"/>
            <w:vAlign w:val="center"/>
          </w:tcPr>
          <w:p w14:paraId="41BF45DC" w14:textId="34AED4AE" w:rsidR="00D03BCB" w:rsidRPr="004533EA" w:rsidRDefault="00D03BCB" w:rsidP="00D03BCB">
            <w:pPr>
              <w:spacing w:after="0" w:line="20" w:lineRule="atLeast"/>
            </w:pPr>
            <w:r w:rsidRPr="004533EA">
              <w:rPr>
                <w:rFonts w:eastAsia="Times New Roman"/>
                <w:b/>
                <w:bCs/>
              </w:rPr>
              <w:t>Lazerinių automatizuotų spausdintųjų plokščių dulkių nusiurbimo įrenginys  1vnt.</w:t>
            </w:r>
          </w:p>
        </w:tc>
        <w:tc>
          <w:tcPr>
            <w:tcW w:w="1650" w:type="pct"/>
            <w:vAlign w:val="center"/>
          </w:tcPr>
          <w:p w14:paraId="61E7E7A1" w14:textId="27BFB4C1" w:rsidR="00D03BCB" w:rsidRPr="00974391" w:rsidRDefault="00D03BCB" w:rsidP="00D03BCB">
            <w:pPr>
              <w:spacing w:after="0" w:line="20" w:lineRule="atLeast"/>
              <w:rPr>
                <w:rFonts w:eastAsia="Times New Roman"/>
              </w:rPr>
            </w:pPr>
            <w:r w:rsidRPr="00974391">
              <w:rPr>
                <w:b/>
              </w:rPr>
              <w:t>Nurodyti siūlomą gamintoją ir gamintojo modelį</w:t>
            </w:r>
          </w:p>
        </w:tc>
        <w:tc>
          <w:tcPr>
            <w:tcW w:w="1648" w:type="pct"/>
            <w:vAlign w:val="center"/>
          </w:tcPr>
          <w:p w14:paraId="18ADFC1C" w14:textId="3034A463" w:rsidR="00974391" w:rsidRPr="00974391" w:rsidRDefault="00974391" w:rsidP="00D03BCB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293554" w:rsidRPr="00162757" w14:paraId="7685838F" w14:textId="77777777" w:rsidTr="00834918">
        <w:tc>
          <w:tcPr>
            <w:tcW w:w="396" w:type="pct"/>
            <w:vAlign w:val="center"/>
          </w:tcPr>
          <w:p w14:paraId="4039755A" w14:textId="69D8284C" w:rsidR="00293554" w:rsidRPr="00B745AA" w:rsidRDefault="00293554" w:rsidP="00293554">
            <w:pPr>
              <w:spacing w:after="0"/>
              <w:ind w:left="-104" w:right="-111"/>
              <w:jc w:val="center"/>
            </w:pPr>
            <w:r w:rsidRPr="00B745AA">
              <w:t>2.1.</w:t>
            </w:r>
          </w:p>
        </w:tc>
        <w:tc>
          <w:tcPr>
            <w:tcW w:w="1306" w:type="pct"/>
          </w:tcPr>
          <w:p w14:paraId="7757C3C0" w14:textId="23479F4B" w:rsidR="00293554" w:rsidRPr="00B745AA" w:rsidRDefault="00293554" w:rsidP="00293554">
            <w:pPr>
              <w:spacing w:after="0" w:line="20" w:lineRule="atLeast"/>
            </w:pPr>
            <w:r w:rsidRPr="00B745AA">
              <w:rPr>
                <w:rFonts w:eastAsia="Times New Roman"/>
              </w:rPr>
              <w:t>Maksimalus vakuuminis slėgis 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CFD9694" w14:textId="38BA081B" w:rsidR="00293554" w:rsidRPr="00B745A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B745AA">
              <w:rPr>
                <w:rFonts w:eastAsia="Times New Roman"/>
              </w:rPr>
              <w:t>≥ 21000Pa 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786B975" w14:textId="6E932C80" w:rsidR="00293554" w:rsidRPr="00B745AA" w:rsidRDefault="00293554" w:rsidP="0029355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93554" w:rsidRPr="00162757" w14:paraId="7EC64FA0" w14:textId="77777777" w:rsidTr="00834918">
        <w:tc>
          <w:tcPr>
            <w:tcW w:w="396" w:type="pct"/>
            <w:vAlign w:val="center"/>
          </w:tcPr>
          <w:p w14:paraId="336A9C6A" w14:textId="248EDA95" w:rsidR="00293554" w:rsidRPr="00B745AA" w:rsidRDefault="00293554" w:rsidP="00293554">
            <w:pPr>
              <w:spacing w:after="0"/>
              <w:ind w:left="-104" w:right="-111"/>
              <w:jc w:val="center"/>
            </w:pPr>
            <w:r w:rsidRPr="00B745AA">
              <w:t>2.2.</w:t>
            </w:r>
          </w:p>
        </w:tc>
        <w:tc>
          <w:tcPr>
            <w:tcW w:w="1306" w:type="pct"/>
            <w:vAlign w:val="center"/>
          </w:tcPr>
          <w:p w14:paraId="1BFF6FC5" w14:textId="53D5D8D0" w:rsidR="00293554" w:rsidRPr="00B745AA" w:rsidRDefault="00293554" w:rsidP="00293554">
            <w:pPr>
              <w:spacing w:after="0" w:line="20" w:lineRule="atLeast"/>
            </w:pPr>
            <w:r w:rsidRPr="00B745AA">
              <w:rPr>
                <w:rFonts w:eastAsia="Times New Roman"/>
              </w:rPr>
              <w:t>Oro srautas 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16F8EB4" w14:textId="58D64C2A" w:rsidR="00293554" w:rsidRPr="00B745A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B745AA">
              <w:rPr>
                <w:rFonts w:eastAsia="Times New Roman"/>
              </w:rPr>
              <w:t>≥ 320 m</w:t>
            </w:r>
            <w:r w:rsidRPr="00B745AA">
              <w:rPr>
                <w:rFonts w:eastAsia="Times New Roman"/>
                <w:vertAlign w:val="superscript"/>
              </w:rPr>
              <w:t>3</w:t>
            </w:r>
            <w:r w:rsidRPr="00B745AA">
              <w:rPr>
                <w:rFonts w:eastAsia="Times New Roman"/>
              </w:rPr>
              <w:t>/val.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FC25F14" w14:textId="1F1F0FBB" w:rsidR="00293554" w:rsidRPr="00B745AA" w:rsidRDefault="00293554" w:rsidP="0029355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93554" w:rsidRPr="00162757" w14:paraId="3B25AF2A" w14:textId="77777777" w:rsidTr="00834918">
        <w:tc>
          <w:tcPr>
            <w:tcW w:w="396" w:type="pct"/>
            <w:vAlign w:val="center"/>
          </w:tcPr>
          <w:p w14:paraId="0720B22F" w14:textId="1A87C0CF" w:rsidR="00293554" w:rsidRPr="00B745AA" w:rsidRDefault="00293554" w:rsidP="00293554">
            <w:pPr>
              <w:spacing w:after="0"/>
              <w:ind w:left="-104" w:right="-111"/>
              <w:jc w:val="center"/>
            </w:pPr>
            <w:r w:rsidRPr="00B745AA">
              <w:t>2.3.</w:t>
            </w:r>
          </w:p>
        </w:tc>
        <w:tc>
          <w:tcPr>
            <w:tcW w:w="1306" w:type="pct"/>
            <w:vAlign w:val="center"/>
          </w:tcPr>
          <w:p w14:paraId="0C6068DA" w14:textId="020470F3" w:rsidR="00293554" w:rsidRPr="00B745AA" w:rsidRDefault="00293554" w:rsidP="00293554">
            <w:pPr>
              <w:spacing w:after="0" w:line="20" w:lineRule="atLeast"/>
            </w:pPr>
            <w:r w:rsidRPr="00B745AA">
              <w:rPr>
                <w:rFonts w:eastAsia="Times New Roman"/>
              </w:rPr>
              <w:t>Įrenginio vartojamoji galia 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9A33A60" w14:textId="0AFC5735" w:rsidR="00293554" w:rsidRPr="00B745A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B745AA">
              <w:rPr>
                <w:rFonts w:eastAsia="Times New Roman"/>
              </w:rPr>
              <w:t>≤ 1,6 kW 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6036425" w14:textId="05AB3BB3" w:rsidR="00293554" w:rsidRPr="00B745AA" w:rsidRDefault="00293554" w:rsidP="0029355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93554" w:rsidRPr="00162757" w14:paraId="300CDA9E" w14:textId="77777777" w:rsidTr="00834918">
        <w:tc>
          <w:tcPr>
            <w:tcW w:w="396" w:type="pct"/>
            <w:vAlign w:val="center"/>
          </w:tcPr>
          <w:p w14:paraId="21654ACA" w14:textId="4D8E38BD" w:rsidR="00293554" w:rsidRPr="00B745AA" w:rsidRDefault="00293554" w:rsidP="00293554">
            <w:pPr>
              <w:spacing w:after="0"/>
              <w:ind w:left="-104" w:right="-111"/>
              <w:jc w:val="center"/>
            </w:pPr>
            <w:r w:rsidRPr="00B745AA">
              <w:t>2.4.</w:t>
            </w:r>
          </w:p>
        </w:tc>
        <w:tc>
          <w:tcPr>
            <w:tcW w:w="1306" w:type="pct"/>
            <w:vAlign w:val="center"/>
          </w:tcPr>
          <w:p w14:paraId="45F2DE15" w14:textId="43CD99B8" w:rsidR="00293554" w:rsidRPr="00B745AA" w:rsidRDefault="00293554" w:rsidP="00293554">
            <w:pPr>
              <w:spacing w:after="0" w:line="20" w:lineRule="atLeast"/>
            </w:pPr>
            <w:r w:rsidRPr="00B745AA">
              <w:rPr>
                <w:rFonts w:eastAsia="Times New Roman"/>
              </w:rPr>
              <w:t>Leistinas prietaiso triukšmo lygis 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113E9609" w14:textId="40125D06" w:rsidR="00293554" w:rsidRPr="00B745A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B745AA">
              <w:rPr>
                <w:rFonts w:eastAsia="Times New Roman"/>
              </w:rPr>
              <w:t xml:space="preserve">≤ 65 </w:t>
            </w:r>
            <w:proofErr w:type="spellStart"/>
            <w:r w:rsidRPr="00B745AA">
              <w:rPr>
                <w:rFonts w:eastAsia="Times New Roman"/>
              </w:rPr>
              <w:t>dB</w:t>
            </w:r>
            <w:proofErr w:type="spellEnd"/>
            <w:r w:rsidRPr="00B745AA">
              <w:rPr>
                <w:rFonts w:eastAsia="Times New Roman"/>
              </w:rPr>
              <w:t>(A) 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90E98E9" w14:textId="151DEF70" w:rsidR="00293554" w:rsidRPr="00B745AA" w:rsidRDefault="00293554" w:rsidP="0029355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93554" w:rsidRPr="00162757" w14:paraId="38459A10" w14:textId="77777777" w:rsidTr="00834918">
        <w:tc>
          <w:tcPr>
            <w:tcW w:w="396" w:type="pct"/>
            <w:vAlign w:val="center"/>
          </w:tcPr>
          <w:p w14:paraId="0E354667" w14:textId="4531ED5F" w:rsidR="00293554" w:rsidRPr="00B745AA" w:rsidRDefault="00293554" w:rsidP="00293554">
            <w:pPr>
              <w:spacing w:after="0"/>
              <w:ind w:left="-104" w:right="-111"/>
              <w:jc w:val="center"/>
            </w:pPr>
            <w:r w:rsidRPr="00B745AA">
              <w:t>2.</w:t>
            </w:r>
            <w:r w:rsidR="00F04D0E" w:rsidRPr="00B745AA">
              <w:t>5</w:t>
            </w:r>
            <w:r w:rsidRPr="00B745AA">
              <w:t>.</w:t>
            </w:r>
          </w:p>
        </w:tc>
        <w:tc>
          <w:tcPr>
            <w:tcW w:w="1306" w:type="pct"/>
            <w:vAlign w:val="center"/>
          </w:tcPr>
          <w:p w14:paraId="2CDA85CE" w14:textId="56FACB5A" w:rsidR="00293554" w:rsidRPr="00B745AA" w:rsidRDefault="00293554" w:rsidP="00293554">
            <w:pPr>
              <w:spacing w:after="0" w:line="20" w:lineRule="atLeast"/>
            </w:pPr>
            <w:r w:rsidRPr="00B745AA">
              <w:rPr>
                <w:rFonts w:eastAsia="Times New Roman"/>
              </w:rPr>
              <w:t>Dulkių siurblio valdymas 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564C0601" w14:textId="27A5FAF9" w:rsidR="00293554" w:rsidRPr="00B745A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B745AA">
              <w:rPr>
                <w:rFonts w:eastAsia="Times New Roman"/>
              </w:rPr>
              <w:t>Įjungimas ir išjungimas turi būti automatinis</w:t>
            </w:r>
            <w:r w:rsidR="00974391" w:rsidRPr="00B745AA">
              <w:rPr>
                <w:rFonts w:eastAsia="Times New Roman"/>
              </w:rPr>
              <w:t xml:space="preserve"> bei galimybė valdyti nuotoliu programos pagalba</w:t>
            </w:r>
          </w:p>
        </w:tc>
        <w:tc>
          <w:tcPr>
            <w:tcW w:w="1648" w:type="pct"/>
            <w:vAlign w:val="center"/>
          </w:tcPr>
          <w:p w14:paraId="3D8F29DB" w14:textId="38775203" w:rsidR="00293554" w:rsidRPr="00B745AA" w:rsidRDefault="00293554" w:rsidP="0029355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93554" w:rsidRPr="00162757" w14:paraId="3E7686D0" w14:textId="77777777" w:rsidTr="00834918">
        <w:tc>
          <w:tcPr>
            <w:tcW w:w="396" w:type="pct"/>
            <w:vAlign w:val="center"/>
          </w:tcPr>
          <w:p w14:paraId="12A9425E" w14:textId="7CA95522" w:rsidR="00293554" w:rsidRPr="00B745AA" w:rsidRDefault="00293554" w:rsidP="00293554">
            <w:pPr>
              <w:spacing w:after="0"/>
              <w:ind w:left="-104" w:right="-111"/>
              <w:jc w:val="center"/>
            </w:pPr>
            <w:r w:rsidRPr="00B745AA">
              <w:t>2.</w:t>
            </w:r>
            <w:r w:rsidR="00F04D0E" w:rsidRPr="00B745AA">
              <w:t>6</w:t>
            </w:r>
            <w:r w:rsidRPr="00B745AA">
              <w:t>.</w:t>
            </w:r>
          </w:p>
        </w:tc>
        <w:tc>
          <w:tcPr>
            <w:tcW w:w="1306" w:type="pct"/>
            <w:vAlign w:val="center"/>
          </w:tcPr>
          <w:p w14:paraId="0263D623" w14:textId="261FBAB4" w:rsidR="00293554" w:rsidRPr="00B745AA" w:rsidRDefault="00293554" w:rsidP="00293554">
            <w:pPr>
              <w:spacing w:after="0" w:line="20" w:lineRule="atLeast"/>
            </w:pPr>
            <w:proofErr w:type="spellStart"/>
            <w:r w:rsidRPr="00B745AA">
              <w:rPr>
                <w:rFonts w:eastAsia="Times New Roman"/>
              </w:rPr>
              <w:t>Priešfiltri</w:t>
            </w:r>
            <w:r w:rsidR="00974391" w:rsidRPr="00B745AA">
              <w:rPr>
                <w:rFonts w:eastAsia="Times New Roman"/>
              </w:rPr>
              <w:t>o</w:t>
            </w:r>
            <w:proofErr w:type="spellEnd"/>
            <w:r w:rsidR="00974391" w:rsidRPr="00B745AA">
              <w:rPr>
                <w:rFonts w:eastAsia="Times New Roman"/>
              </w:rPr>
              <w:t xml:space="preserve"> filtras</w:t>
            </w:r>
          </w:p>
        </w:tc>
        <w:tc>
          <w:tcPr>
            <w:tcW w:w="1650" w:type="pct"/>
            <w:vAlign w:val="center"/>
          </w:tcPr>
          <w:p w14:paraId="4B1AA2DA" w14:textId="3FB5AF35" w:rsidR="00293554" w:rsidRPr="00B745A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B745AA">
              <w:rPr>
                <w:rFonts w:eastAsia="Times New Roman"/>
              </w:rPr>
              <w:t>turi būti suderinamas su lazerinių automatizuotų spausdintųjų plokščių dulkių nusiurbimo įrenginiu, ≥ 6vnt.  </w:t>
            </w:r>
          </w:p>
        </w:tc>
        <w:tc>
          <w:tcPr>
            <w:tcW w:w="1648" w:type="pct"/>
            <w:vAlign w:val="center"/>
          </w:tcPr>
          <w:p w14:paraId="57E6707E" w14:textId="54920B04" w:rsidR="00293554" w:rsidRPr="00B745AA" w:rsidRDefault="00293554" w:rsidP="0029355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93554" w:rsidRPr="00A15CDF" w14:paraId="462438E9" w14:textId="77777777" w:rsidTr="00834918">
        <w:tc>
          <w:tcPr>
            <w:tcW w:w="396" w:type="pct"/>
            <w:vAlign w:val="center"/>
          </w:tcPr>
          <w:p w14:paraId="14D3B183" w14:textId="705B49EF" w:rsidR="00293554" w:rsidRPr="00B745AA" w:rsidRDefault="00293554" w:rsidP="00293554">
            <w:pPr>
              <w:spacing w:after="0"/>
              <w:ind w:left="-104" w:right="-111"/>
              <w:jc w:val="center"/>
            </w:pPr>
            <w:r w:rsidRPr="00B745AA">
              <w:t>2.</w:t>
            </w:r>
            <w:r w:rsidR="00F04D0E" w:rsidRPr="00B745AA">
              <w:t>7</w:t>
            </w:r>
            <w:r w:rsidRPr="00B745AA">
              <w:t>.</w:t>
            </w:r>
          </w:p>
        </w:tc>
        <w:tc>
          <w:tcPr>
            <w:tcW w:w="1306" w:type="pct"/>
            <w:vAlign w:val="center"/>
          </w:tcPr>
          <w:p w14:paraId="184DA328" w14:textId="5C03F3F5" w:rsidR="00293554" w:rsidRPr="00B745AA" w:rsidRDefault="00293554" w:rsidP="00293554">
            <w:pPr>
              <w:spacing w:after="0" w:line="20" w:lineRule="atLeast"/>
            </w:pPr>
            <w:r w:rsidRPr="00B745AA">
              <w:rPr>
                <w:rFonts w:eastAsia="Times New Roman"/>
              </w:rPr>
              <w:t>Išmetimo filtras  </w:t>
            </w:r>
            <w:r w:rsidRPr="00B745A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578E5F8" w14:textId="2045B1B4" w:rsidR="00293554" w:rsidRPr="00B745A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B745AA">
              <w:rPr>
                <w:rFonts w:eastAsia="Times New Roman"/>
              </w:rPr>
              <w:t>turi būti suderinamas su lazerinių automatizuotų spausdintųjų plokščių dulkių nusiurbimo įrenginiu, ≥ 5vnt.   </w:t>
            </w:r>
          </w:p>
        </w:tc>
        <w:tc>
          <w:tcPr>
            <w:tcW w:w="1648" w:type="pct"/>
            <w:vAlign w:val="center"/>
          </w:tcPr>
          <w:p w14:paraId="3A1B58A3" w14:textId="01BD6EB3" w:rsidR="00293554" w:rsidRPr="00B745AA" w:rsidRDefault="00293554" w:rsidP="0029355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93554" w:rsidRPr="00293554" w14:paraId="210008EA" w14:textId="77777777" w:rsidTr="00834918">
        <w:tc>
          <w:tcPr>
            <w:tcW w:w="396" w:type="pct"/>
            <w:vAlign w:val="center"/>
          </w:tcPr>
          <w:p w14:paraId="52BBC064" w14:textId="150A5CE0" w:rsidR="00293554" w:rsidRPr="00010A40" w:rsidRDefault="00293554" w:rsidP="00293554">
            <w:pPr>
              <w:spacing w:after="0"/>
              <w:ind w:left="-104" w:right="-111"/>
              <w:jc w:val="center"/>
              <w:rPr>
                <w:b/>
              </w:rPr>
            </w:pPr>
            <w:r w:rsidRPr="00010A40">
              <w:rPr>
                <w:b/>
              </w:rPr>
              <w:t xml:space="preserve">3. </w:t>
            </w:r>
          </w:p>
        </w:tc>
        <w:tc>
          <w:tcPr>
            <w:tcW w:w="1306" w:type="pct"/>
            <w:vAlign w:val="center"/>
          </w:tcPr>
          <w:p w14:paraId="07D092A6" w14:textId="59EF2363" w:rsidR="00293554" w:rsidRPr="00010A40" w:rsidRDefault="00293554" w:rsidP="00293554">
            <w:pPr>
              <w:spacing w:after="0" w:line="20" w:lineRule="atLeast"/>
            </w:pPr>
            <w:r w:rsidRPr="00010A40">
              <w:rPr>
                <w:rFonts w:eastAsia="Times New Roman"/>
                <w:b/>
                <w:bCs/>
              </w:rPr>
              <w:t>Kompresorius  1vnt.</w:t>
            </w:r>
          </w:p>
        </w:tc>
        <w:tc>
          <w:tcPr>
            <w:tcW w:w="1650" w:type="pct"/>
            <w:vAlign w:val="center"/>
          </w:tcPr>
          <w:p w14:paraId="6796A75F" w14:textId="147231E8" w:rsidR="00293554" w:rsidRPr="00010A40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010A40">
              <w:rPr>
                <w:b/>
              </w:rPr>
              <w:t>Nurodyti siūlomą gamintoją ir gamintojo modelį</w:t>
            </w:r>
          </w:p>
        </w:tc>
        <w:tc>
          <w:tcPr>
            <w:tcW w:w="1648" w:type="pct"/>
            <w:vAlign w:val="center"/>
          </w:tcPr>
          <w:p w14:paraId="199FC2C7" w14:textId="5B4C7F20" w:rsidR="00293554" w:rsidRPr="00293554" w:rsidRDefault="00293554" w:rsidP="00293554">
            <w:pPr>
              <w:spacing w:after="0" w:line="240" w:lineRule="auto"/>
              <w:rPr>
                <w:rFonts w:eastAsia="Times New Roman"/>
                <w:highlight w:val="red"/>
              </w:rPr>
            </w:pPr>
          </w:p>
        </w:tc>
      </w:tr>
      <w:tr w:rsidR="00293554" w:rsidRPr="00293554" w14:paraId="3C055675" w14:textId="77777777" w:rsidTr="00834918">
        <w:tc>
          <w:tcPr>
            <w:tcW w:w="396" w:type="pct"/>
            <w:vAlign w:val="center"/>
          </w:tcPr>
          <w:p w14:paraId="59037C19" w14:textId="7A6868B4" w:rsidR="00293554" w:rsidRPr="00010A40" w:rsidRDefault="00293554" w:rsidP="00293554">
            <w:pPr>
              <w:spacing w:after="0"/>
              <w:ind w:left="-104" w:right="-111"/>
              <w:jc w:val="center"/>
            </w:pPr>
            <w:r w:rsidRPr="00010A40">
              <w:t>3.1.</w:t>
            </w:r>
          </w:p>
        </w:tc>
        <w:tc>
          <w:tcPr>
            <w:tcW w:w="1306" w:type="pct"/>
            <w:vAlign w:val="center"/>
          </w:tcPr>
          <w:p w14:paraId="75BCBD7F" w14:textId="3969DBDE" w:rsidR="00293554" w:rsidRPr="00010A40" w:rsidRDefault="00293554" w:rsidP="00293554">
            <w:pPr>
              <w:spacing w:after="0" w:line="20" w:lineRule="atLeast"/>
            </w:pPr>
            <w:r w:rsidRPr="00010A40">
              <w:rPr>
                <w:rFonts w:eastAsia="Times New Roman"/>
              </w:rPr>
              <w:t>Priedai </w:t>
            </w:r>
            <w:r w:rsidRPr="00010A40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4BE98FC" w14:textId="1B547FDC" w:rsidR="00293554" w:rsidRPr="00010A40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010A40">
              <w:rPr>
                <w:rFonts w:eastAsia="Times New Roman"/>
              </w:rPr>
              <w:t>Turi būti kondensato separatorius ir filtras </w:t>
            </w:r>
            <w:r w:rsidRPr="00010A40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EFFF274" w14:textId="77777777" w:rsidR="00293554" w:rsidRPr="00293554" w:rsidRDefault="00293554" w:rsidP="00293554">
            <w:pPr>
              <w:spacing w:after="0" w:line="240" w:lineRule="auto"/>
              <w:rPr>
                <w:rFonts w:eastAsia="Times New Roman"/>
                <w:highlight w:val="red"/>
              </w:rPr>
            </w:pPr>
          </w:p>
        </w:tc>
      </w:tr>
      <w:tr w:rsidR="00293554" w:rsidRPr="00293554" w14:paraId="5D737B6B" w14:textId="77777777" w:rsidTr="00834918">
        <w:tc>
          <w:tcPr>
            <w:tcW w:w="396" w:type="pct"/>
            <w:vAlign w:val="center"/>
          </w:tcPr>
          <w:p w14:paraId="49533995" w14:textId="22919891" w:rsidR="00293554" w:rsidRPr="00010A40" w:rsidRDefault="00293554" w:rsidP="00293554">
            <w:pPr>
              <w:spacing w:after="0"/>
              <w:ind w:left="-104" w:right="-111"/>
              <w:jc w:val="center"/>
            </w:pPr>
            <w:r w:rsidRPr="00010A40">
              <w:t>3.2.</w:t>
            </w:r>
          </w:p>
        </w:tc>
        <w:tc>
          <w:tcPr>
            <w:tcW w:w="1306" w:type="pct"/>
            <w:vAlign w:val="center"/>
          </w:tcPr>
          <w:p w14:paraId="18D4D782" w14:textId="5D26ED48" w:rsidR="00293554" w:rsidRPr="004533EA" w:rsidRDefault="00293554" w:rsidP="00293554">
            <w:pPr>
              <w:spacing w:after="0" w:line="20" w:lineRule="atLeast"/>
            </w:pPr>
            <w:r w:rsidRPr="004533EA">
              <w:rPr>
                <w:rFonts w:eastAsia="Times New Roman"/>
              </w:rPr>
              <w:t>Oro rezervuaro talpa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85C498E" w14:textId="7EEC4982" w:rsidR="00293554" w:rsidRPr="004533E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 xml:space="preserve">≥ </w:t>
            </w:r>
            <w:r w:rsidR="00010A40" w:rsidRPr="004533EA">
              <w:rPr>
                <w:rFonts w:eastAsia="Times New Roman"/>
              </w:rPr>
              <w:t>9</w:t>
            </w:r>
            <w:r w:rsidRPr="004533EA">
              <w:rPr>
                <w:rFonts w:eastAsia="Times New Roman"/>
              </w:rPr>
              <w:t>0 litrų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477E9052" w14:textId="77777777" w:rsidR="00293554" w:rsidRPr="00293554" w:rsidRDefault="00293554" w:rsidP="00293554">
            <w:pPr>
              <w:spacing w:after="0" w:line="240" w:lineRule="auto"/>
              <w:rPr>
                <w:rFonts w:eastAsia="Times New Roman"/>
                <w:highlight w:val="red"/>
              </w:rPr>
            </w:pPr>
          </w:p>
        </w:tc>
      </w:tr>
      <w:tr w:rsidR="00293554" w:rsidRPr="00293554" w14:paraId="7DB9D3E0" w14:textId="77777777" w:rsidTr="00834918">
        <w:tc>
          <w:tcPr>
            <w:tcW w:w="396" w:type="pct"/>
            <w:vAlign w:val="center"/>
          </w:tcPr>
          <w:p w14:paraId="0C216B54" w14:textId="76D56640" w:rsidR="00293554" w:rsidRPr="00010A40" w:rsidRDefault="00293554" w:rsidP="00293554">
            <w:pPr>
              <w:spacing w:after="0"/>
              <w:ind w:left="-104" w:right="-111"/>
              <w:jc w:val="center"/>
            </w:pPr>
            <w:r w:rsidRPr="00010A40">
              <w:t>3.3.</w:t>
            </w:r>
          </w:p>
        </w:tc>
        <w:tc>
          <w:tcPr>
            <w:tcW w:w="1306" w:type="pct"/>
            <w:vAlign w:val="center"/>
          </w:tcPr>
          <w:p w14:paraId="791F332E" w14:textId="6C3F8D91" w:rsidR="00293554" w:rsidRPr="004533EA" w:rsidRDefault="00293554" w:rsidP="00293554">
            <w:pPr>
              <w:spacing w:after="0" w:line="20" w:lineRule="atLeast"/>
            </w:pPr>
            <w:r w:rsidRPr="004533EA">
              <w:rPr>
                <w:rFonts w:eastAsia="Times New Roman"/>
              </w:rPr>
              <w:t>Maksimalus slėgis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CFB585C" w14:textId="7C76208E" w:rsidR="00293554" w:rsidRPr="004533E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>≥ 10 barų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1798396" w14:textId="77777777" w:rsidR="00293554" w:rsidRPr="00293554" w:rsidRDefault="00293554" w:rsidP="00293554">
            <w:pPr>
              <w:spacing w:after="0" w:line="240" w:lineRule="auto"/>
              <w:rPr>
                <w:rFonts w:eastAsia="Times New Roman"/>
                <w:highlight w:val="red"/>
              </w:rPr>
            </w:pPr>
          </w:p>
        </w:tc>
      </w:tr>
      <w:tr w:rsidR="00293554" w:rsidRPr="00293554" w14:paraId="7C4788DE" w14:textId="77777777" w:rsidTr="00834918">
        <w:tc>
          <w:tcPr>
            <w:tcW w:w="396" w:type="pct"/>
            <w:vAlign w:val="center"/>
          </w:tcPr>
          <w:p w14:paraId="5257C142" w14:textId="4B7E00F5" w:rsidR="00293554" w:rsidRPr="00010A40" w:rsidRDefault="00293554" w:rsidP="00293554">
            <w:pPr>
              <w:spacing w:after="0"/>
              <w:ind w:left="-104" w:right="-111"/>
              <w:jc w:val="center"/>
            </w:pPr>
            <w:r w:rsidRPr="00010A40">
              <w:t>3.4.</w:t>
            </w:r>
          </w:p>
        </w:tc>
        <w:tc>
          <w:tcPr>
            <w:tcW w:w="1306" w:type="pct"/>
            <w:vAlign w:val="center"/>
          </w:tcPr>
          <w:p w14:paraId="0B9DDA85" w14:textId="757A3491" w:rsidR="00293554" w:rsidRPr="004533EA" w:rsidRDefault="00293554" w:rsidP="00293554">
            <w:pPr>
              <w:spacing w:after="0" w:line="20" w:lineRule="atLeast"/>
            </w:pPr>
            <w:r w:rsidRPr="004533EA">
              <w:rPr>
                <w:rFonts w:eastAsia="Times New Roman"/>
              </w:rPr>
              <w:t>Našumas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1D4D61D" w14:textId="59BE6BDA" w:rsidR="00293554" w:rsidRPr="004533E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>≥ 2</w:t>
            </w:r>
            <w:r w:rsidR="00010A40" w:rsidRPr="004533EA">
              <w:rPr>
                <w:rFonts w:eastAsia="Times New Roman"/>
              </w:rPr>
              <w:t>7</w:t>
            </w:r>
            <w:r w:rsidRPr="004533EA">
              <w:rPr>
                <w:rFonts w:eastAsia="Times New Roman"/>
              </w:rPr>
              <w:t>0 l/min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D270069" w14:textId="77777777" w:rsidR="00293554" w:rsidRPr="00293554" w:rsidRDefault="00293554" w:rsidP="00293554">
            <w:pPr>
              <w:spacing w:after="0" w:line="240" w:lineRule="auto"/>
              <w:rPr>
                <w:rFonts w:eastAsia="Times New Roman"/>
                <w:highlight w:val="red"/>
              </w:rPr>
            </w:pPr>
          </w:p>
        </w:tc>
      </w:tr>
      <w:tr w:rsidR="00293554" w:rsidRPr="00293554" w14:paraId="1F09807E" w14:textId="77777777" w:rsidTr="00834918">
        <w:tc>
          <w:tcPr>
            <w:tcW w:w="396" w:type="pct"/>
            <w:vAlign w:val="center"/>
          </w:tcPr>
          <w:p w14:paraId="707372E0" w14:textId="4C0D7521" w:rsidR="00293554" w:rsidRPr="00010A40" w:rsidRDefault="00293554" w:rsidP="00293554">
            <w:pPr>
              <w:spacing w:after="0"/>
              <w:ind w:left="-104" w:right="-111"/>
              <w:jc w:val="center"/>
            </w:pPr>
            <w:r w:rsidRPr="00010A40">
              <w:t>3.5.</w:t>
            </w:r>
          </w:p>
        </w:tc>
        <w:tc>
          <w:tcPr>
            <w:tcW w:w="1306" w:type="pct"/>
            <w:vAlign w:val="center"/>
          </w:tcPr>
          <w:p w14:paraId="180AEA32" w14:textId="0F597214" w:rsidR="00293554" w:rsidRPr="004533EA" w:rsidRDefault="00293554" w:rsidP="00293554">
            <w:pPr>
              <w:spacing w:after="0" w:line="20" w:lineRule="atLeast"/>
            </w:pPr>
            <w:r w:rsidRPr="004533EA">
              <w:rPr>
                <w:rFonts w:eastAsia="Times New Roman"/>
              </w:rPr>
              <w:t>Leistinas prietaiso triukšmo lygis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5C74C83" w14:textId="1C3E25CC" w:rsidR="00293554" w:rsidRPr="004533EA" w:rsidRDefault="00293554" w:rsidP="00293554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 xml:space="preserve">Akustinis slėgis ≤ </w:t>
            </w:r>
            <w:r w:rsidR="00010A40" w:rsidRPr="004533EA">
              <w:rPr>
                <w:rFonts w:eastAsia="Times New Roman"/>
              </w:rPr>
              <w:t>6</w:t>
            </w:r>
            <w:r w:rsidRPr="004533EA">
              <w:rPr>
                <w:rFonts w:eastAsia="Times New Roman"/>
              </w:rPr>
              <w:t xml:space="preserve">5 </w:t>
            </w:r>
            <w:proofErr w:type="spellStart"/>
            <w:r w:rsidRPr="004533EA">
              <w:rPr>
                <w:rFonts w:eastAsia="Times New Roman"/>
              </w:rPr>
              <w:t>dB</w:t>
            </w:r>
            <w:proofErr w:type="spellEnd"/>
            <w:r w:rsidRPr="004533EA">
              <w:rPr>
                <w:rFonts w:eastAsia="Times New Roman"/>
              </w:rPr>
              <w:t>(A)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9CF4150" w14:textId="77777777" w:rsidR="00293554" w:rsidRPr="00293554" w:rsidRDefault="00293554" w:rsidP="00293554">
            <w:pPr>
              <w:spacing w:after="0" w:line="240" w:lineRule="auto"/>
              <w:rPr>
                <w:rFonts w:eastAsia="Times New Roman"/>
                <w:highlight w:val="red"/>
              </w:rPr>
            </w:pPr>
          </w:p>
        </w:tc>
      </w:tr>
      <w:tr w:rsidR="00293554" w:rsidRPr="00A15CDF" w14:paraId="091E85B8" w14:textId="77777777" w:rsidTr="00834918">
        <w:tc>
          <w:tcPr>
            <w:tcW w:w="396" w:type="pct"/>
            <w:vAlign w:val="center"/>
          </w:tcPr>
          <w:p w14:paraId="1F0EBCC3" w14:textId="2CB11045" w:rsidR="00293554" w:rsidRPr="00010A40" w:rsidRDefault="00293554" w:rsidP="00293554">
            <w:pPr>
              <w:spacing w:after="0"/>
              <w:ind w:left="-104" w:right="-111"/>
              <w:jc w:val="center"/>
              <w:rPr>
                <w:b/>
              </w:rPr>
            </w:pPr>
            <w:r w:rsidRPr="00010A40">
              <w:rPr>
                <w:b/>
              </w:rPr>
              <w:t>4.</w:t>
            </w:r>
          </w:p>
        </w:tc>
        <w:tc>
          <w:tcPr>
            <w:tcW w:w="4604" w:type="pct"/>
            <w:gridSpan w:val="3"/>
            <w:vAlign w:val="center"/>
          </w:tcPr>
          <w:p w14:paraId="34179E3E" w14:textId="197B23C3" w:rsidR="00293554" w:rsidRPr="004533EA" w:rsidRDefault="00293554" w:rsidP="00293554">
            <w:pPr>
              <w:spacing w:after="0" w:line="240" w:lineRule="auto"/>
              <w:rPr>
                <w:rFonts w:eastAsia="Times New Roman"/>
              </w:rPr>
            </w:pPr>
            <w:r w:rsidRPr="004533EA">
              <w:rPr>
                <w:rFonts w:eastAsia="Times New Roman"/>
                <w:b/>
                <w:bCs/>
              </w:rPr>
              <w:t>Eksploatacinių medžiagų ir įrankių rinkinys suderinamas su precizinėmis lazerinio ir mechaninio apdirbimo spausdintųjų plokščių gamybos staklėmis</w:t>
            </w:r>
            <w:r w:rsidRPr="004533EA">
              <w:rPr>
                <w:rFonts w:eastAsia="Times New Roman"/>
              </w:rPr>
              <w:t xml:space="preserve">  </w:t>
            </w:r>
            <w:r w:rsidRPr="004533EA">
              <w:rPr>
                <w:rFonts w:eastAsia="Times New Roman"/>
                <w:b/>
              </w:rPr>
              <w:t>1vnt.</w:t>
            </w:r>
          </w:p>
        </w:tc>
      </w:tr>
      <w:tr w:rsidR="006D092B" w:rsidRPr="00A15CDF" w14:paraId="0D5555B6" w14:textId="77777777" w:rsidTr="00834918">
        <w:tc>
          <w:tcPr>
            <w:tcW w:w="396" w:type="pct"/>
            <w:vAlign w:val="center"/>
          </w:tcPr>
          <w:p w14:paraId="49F68EF1" w14:textId="7720F249" w:rsidR="006D092B" w:rsidRPr="00162757" w:rsidRDefault="006D092B" w:rsidP="006D092B">
            <w:pPr>
              <w:spacing w:after="0"/>
              <w:ind w:left="-104" w:right="-111"/>
              <w:jc w:val="center"/>
              <w:rPr>
                <w:highlight w:val="yellow"/>
              </w:rPr>
            </w:pPr>
            <w:r w:rsidRPr="00010A40">
              <w:t>4.1.</w:t>
            </w:r>
          </w:p>
        </w:tc>
        <w:tc>
          <w:tcPr>
            <w:tcW w:w="1306" w:type="pct"/>
            <w:vAlign w:val="center"/>
          </w:tcPr>
          <w:p w14:paraId="12D6A1C6" w14:textId="4100B27B" w:rsidR="006D092B" w:rsidRPr="004533EA" w:rsidRDefault="002D0FD9" w:rsidP="004533EA">
            <w:pPr>
              <w:spacing w:after="0" w:line="20" w:lineRule="atLeast"/>
            </w:pPr>
            <w:r w:rsidRPr="004533EA">
              <w:rPr>
                <w:rFonts w:eastAsia="Times New Roman"/>
              </w:rPr>
              <w:t>Gręžimo pakloto lakštai</w:t>
            </w:r>
          </w:p>
        </w:tc>
        <w:tc>
          <w:tcPr>
            <w:tcW w:w="1650" w:type="pct"/>
            <w:vAlign w:val="center"/>
          </w:tcPr>
          <w:p w14:paraId="4F08E3D3" w14:textId="462327C2" w:rsidR="006D092B" w:rsidRPr="004533EA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>Turi būti A4 formato ir 2 mm ± 0.5 mm storio, ≥26 vnt. </w:t>
            </w:r>
          </w:p>
        </w:tc>
        <w:tc>
          <w:tcPr>
            <w:tcW w:w="1648" w:type="pct"/>
            <w:vAlign w:val="center"/>
          </w:tcPr>
          <w:p w14:paraId="2318E6A7" w14:textId="32805D08" w:rsidR="006D092B" w:rsidRPr="002D0FD9" w:rsidRDefault="006D092B" w:rsidP="006D09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D092B" w:rsidRPr="00A15CDF" w14:paraId="7CE3EC92" w14:textId="77777777" w:rsidTr="00834918">
        <w:tc>
          <w:tcPr>
            <w:tcW w:w="396" w:type="pct"/>
            <w:vAlign w:val="center"/>
          </w:tcPr>
          <w:p w14:paraId="74BE3952" w14:textId="56A9A6AC" w:rsidR="006D092B" w:rsidRPr="00F60208" w:rsidRDefault="006D092B" w:rsidP="006D092B">
            <w:pPr>
              <w:spacing w:after="0"/>
              <w:ind w:left="-104" w:right="-111"/>
              <w:jc w:val="center"/>
            </w:pPr>
            <w:r w:rsidRPr="00F60208">
              <w:t>4.2.</w:t>
            </w:r>
          </w:p>
        </w:tc>
        <w:tc>
          <w:tcPr>
            <w:tcW w:w="1306" w:type="pct"/>
            <w:vAlign w:val="center"/>
          </w:tcPr>
          <w:p w14:paraId="40A9FFD1" w14:textId="71C5F8A7" w:rsidR="006D092B" w:rsidRPr="004533EA" w:rsidRDefault="002D0FD9" w:rsidP="006D092B">
            <w:pPr>
              <w:spacing w:after="0" w:line="20" w:lineRule="atLeast"/>
            </w:pPr>
            <w:r w:rsidRPr="004533EA">
              <w:rPr>
                <w:rFonts w:eastAsia="Times New Roman"/>
              </w:rPr>
              <w:t>Pagrindo</w:t>
            </w:r>
            <w:r w:rsidR="006D092B" w:rsidRPr="004533EA">
              <w:rPr>
                <w:rFonts w:eastAsia="Times New Roman"/>
              </w:rPr>
              <w:t xml:space="preserve"> plokštė </w:t>
            </w:r>
            <w:r w:rsidR="006D092B"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26727E4B" w14:textId="4DAA04C5" w:rsidR="006D092B" w:rsidRPr="004533EA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>FR4</w:t>
            </w:r>
            <w:r w:rsidR="002D0FD9" w:rsidRPr="004533EA">
              <w:rPr>
                <w:rFonts w:eastAsia="Times New Roman"/>
              </w:rPr>
              <w:t xml:space="preserve"> tipo</w:t>
            </w:r>
            <w:r w:rsidRPr="004533EA">
              <w:rPr>
                <w:rFonts w:eastAsia="Times New Roman"/>
              </w:rPr>
              <w:t xml:space="preserve">, </w:t>
            </w:r>
          </w:p>
          <w:p w14:paraId="75596F22" w14:textId="5251CBF4" w:rsidR="006D092B" w:rsidRPr="004533EA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 xml:space="preserve">≥ 229mm×305mm×1,5mm, vario sluoksnio storis </w:t>
            </w:r>
            <w:r w:rsidR="002D0FD9" w:rsidRPr="004533EA">
              <w:rPr>
                <w:rFonts w:eastAsia="Times New Roman"/>
              </w:rPr>
              <w:t>0/</w:t>
            </w:r>
            <w:r w:rsidRPr="004533EA">
              <w:rPr>
                <w:rFonts w:eastAsia="Times New Roman"/>
              </w:rPr>
              <w:t>18μm ±1μm</w:t>
            </w:r>
          </w:p>
          <w:p w14:paraId="54C7C6AC" w14:textId="66A8C29B" w:rsidR="006D092B" w:rsidRPr="004533EA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 xml:space="preserve">su paruoštomis </w:t>
            </w:r>
            <w:proofErr w:type="spellStart"/>
            <w:r w:rsidRPr="004533EA">
              <w:rPr>
                <w:rFonts w:eastAsia="Times New Roman"/>
              </w:rPr>
              <w:t>koordinatinėmis</w:t>
            </w:r>
            <w:proofErr w:type="spellEnd"/>
            <w:r w:rsidRPr="004533EA">
              <w:rPr>
                <w:rFonts w:eastAsia="Times New Roman"/>
              </w:rPr>
              <w:t xml:space="preserve"> kiaurymėmis, ≥ 26vnt.  </w:t>
            </w:r>
          </w:p>
        </w:tc>
        <w:tc>
          <w:tcPr>
            <w:tcW w:w="1648" w:type="pct"/>
            <w:vAlign w:val="center"/>
          </w:tcPr>
          <w:p w14:paraId="0F1D94D8" w14:textId="017DC3B1" w:rsidR="006D092B" w:rsidRPr="00162757" w:rsidRDefault="006D092B" w:rsidP="006D092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6D092B" w:rsidRPr="00A15CDF" w14:paraId="28AB81FE" w14:textId="77777777" w:rsidTr="00834918">
        <w:tc>
          <w:tcPr>
            <w:tcW w:w="396" w:type="pct"/>
            <w:vAlign w:val="center"/>
          </w:tcPr>
          <w:p w14:paraId="6A2AC0D9" w14:textId="3429EC95" w:rsidR="006D092B" w:rsidRPr="00F60208" w:rsidRDefault="006D092B" w:rsidP="006D092B">
            <w:pPr>
              <w:spacing w:after="0"/>
              <w:ind w:left="-104" w:right="-111"/>
              <w:jc w:val="center"/>
            </w:pPr>
            <w:r w:rsidRPr="00F60208">
              <w:t>4.3.</w:t>
            </w:r>
          </w:p>
        </w:tc>
        <w:tc>
          <w:tcPr>
            <w:tcW w:w="1306" w:type="pct"/>
            <w:vAlign w:val="center"/>
          </w:tcPr>
          <w:p w14:paraId="0535353A" w14:textId="12E674CD" w:rsidR="006D092B" w:rsidRPr="004533EA" w:rsidRDefault="006D092B" w:rsidP="006D092B">
            <w:pPr>
              <w:spacing w:after="0" w:line="20" w:lineRule="atLeast"/>
            </w:pPr>
            <w:r w:rsidRPr="004533EA">
              <w:rPr>
                <w:rFonts w:eastAsia="Times New Roman"/>
              </w:rPr>
              <w:t>Laminato plėvelė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6002E7D" w14:textId="0E85DD60" w:rsidR="006D092B" w:rsidRPr="004533EA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 xml:space="preserve">104 ML tipo, </w:t>
            </w:r>
          </w:p>
          <w:p w14:paraId="0B41F0EB" w14:textId="2AC46BDE" w:rsidR="006D092B" w:rsidRPr="004533EA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>5</w:t>
            </w:r>
            <w:r w:rsidR="002D0FD9" w:rsidRPr="004533EA">
              <w:rPr>
                <w:rFonts w:eastAsia="Times New Roman"/>
              </w:rPr>
              <w:t>/0</w:t>
            </w:r>
            <w:r w:rsidRPr="004533EA">
              <w:rPr>
                <w:rFonts w:eastAsia="Times New Roman"/>
              </w:rPr>
              <w:t xml:space="preserve"> </w:t>
            </w:r>
            <w:proofErr w:type="spellStart"/>
            <w:r w:rsidRPr="004533EA">
              <w:rPr>
                <w:rFonts w:eastAsia="Times New Roman"/>
              </w:rPr>
              <w:t>μm</w:t>
            </w:r>
            <w:proofErr w:type="spellEnd"/>
            <w:r w:rsidRPr="004533EA">
              <w:rPr>
                <w:rFonts w:eastAsia="Times New Roman"/>
              </w:rPr>
              <w:t xml:space="preserve"> ±0,5 </w:t>
            </w:r>
            <w:proofErr w:type="spellStart"/>
            <w:r w:rsidRPr="004533EA">
              <w:rPr>
                <w:rFonts w:eastAsia="Times New Roman"/>
              </w:rPr>
              <w:t>μm</w:t>
            </w:r>
            <w:proofErr w:type="spellEnd"/>
            <w:r w:rsidRPr="004533EA">
              <w:rPr>
                <w:rFonts w:eastAsia="Times New Roman"/>
              </w:rPr>
              <w:t xml:space="preserve">, </w:t>
            </w:r>
          </w:p>
          <w:p w14:paraId="60FF0E5F" w14:textId="00C6A3E2" w:rsidR="006D092B" w:rsidRPr="004533EA" w:rsidRDefault="006D092B" w:rsidP="006D092B">
            <w:pPr>
              <w:spacing w:after="0" w:line="20" w:lineRule="atLeast"/>
              <w:rPr>
                <w:rFonts w:eastAsia="Times New Roman"/>
                <w:color w:val="FF0000"/>
              </w:rPr>
            </w:pPr>
            <w:r w:rsidRPr="004533EA">
              <w:rPr>
                <w:rFonts w:eastAsia="Times New Roman"/>
              </w:rPr>
              <w:t>≥ 305 mm × 229 mm,</w:t>
            </w:r>
          </w:p>
          <w:p w14:paraId="6547B73A" w14:textId="6F584389" w:rsidR="006D092B" w:rsidRPr="004533EA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>storis  0,2 mm ±0,05 mm su apsauginiu padengimu, ≥ 13vnt.  </w:t>
            </w:r>
          </w:p>
        </w:tc>
        <w:tc>
          <w:tcPr>
            <w:tcW w:w="1648" w:type="pct"/>
            <w:vAlign w:val="center"/>
          </w:tcPr>
          <w:p w14:paraId="0B4D1F04" w14:textId="50C9113A" w:rsidR="006D092B" w:rsidRPr="00162757" w:rsidRDefault="006D092B" w:rsidP="006D092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6D092B" w:rsidRPr="00A15CDF" w14:paraId="79605B75" w14:textId="77777777" w:rsidTr="00834918">
        <w:tc>
          <w:tcPr>
            <w:tcW w:w="396" w:type="pct"/>
            <w:vAlign w:val="center"/>
          </w:tcPr>
          <w:p w14:paraId="295A5FBF" w14:textId="75A3FFAC" w:rsidR="006D092B" w:rsidRPr="00010A40" w:rsidRDefault="006D092B" w:rsidP="006D092B">
            <w:pPr>
              <w:spacing w:after="0"/>
              <w:ind w:left="-104" w:right="-111"/>
              <w:jc w:val="center"/>
            </w:pPr>
            <w:r w:rsidRPr="00010A40">
              <w:t>4.4.</w:t>
            </w:r>
          </w:p>
        </w:tc>
        <w:tc>
          <w:tcPr>
            <w:tcW w:w="1306" w:type="pct"/>
            <w:vAlign w:val="center"/>
          </w:tcPr>
          <w:p w14:paraId="0B17D9C3" w14:textId="7223724F" w:rsidR="006D092B" w:rsidRPr="00F60208" w:rsidRDefault="006D092B" w:rsidP="006D092B">
            <w:pPr>
              <w:spacing w:after="0" w:line="20" w:lineRule="atLeast"/>
            </w:pPr>
            <w:r w:rsidRPr="00F60208">
              <w:rPr>
                <w:rFonts w:eastAsia="Times New Roman"/>
              </w:rPr>
              <w:t>Valiklis </w:t>
            </w:r>
            <w:r w:rsidRPr="00F60208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2D09CA3C" w14:textId="1AD2AF87" w:rsidR="006D092B" w:rsidRPr="00F60208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F60208">
              <w:rPr>
                <w:rFonts w:eastAsia="Times New Roman"/>
              </w:rPr>
              <w:t xml:space="preserve">Oksido sluoksniams nuo varinių paviršių pašalinti (1 </w:t>
            </w:r>
            <w:proofErr w:type="spellStart"/>
            <w:r w:rsidRPr="00F60208">
              <w:rPr>
                <w:rFonts w:eastAsia="Times New Roman"/>
              </w:rPr>
              <w:t>vnt</w:t>
            </w:r>
            <w:proofErr w:type="spellEnd"/>
            <w:r w:rsidRPr="00F60208">
              <w:rPr>
                <w:rFonts w:eastAsia="Times New Roman"/>
              </w:rPr>
              <w:t xml:space="preserve"> = vieno gamybinio proceso sąnaudų minimalus kiekis pagal gamintoją) ≥ 13vnt.   </w:t>
            </w:r>
          </w:p>
        </w:tc>
        <w:tc>
          <w:tcPr>
            <w:tcW w:w="1648" w:type="pct"/>
            <w:vAlign w:val="center"/>
          </w:tcPr>
          <w:p w14:paraId="6BA022B5" w14:textId="4CA6B331" w:rsidR="006D092B" w:rsidRPr="00F60208" w:rsidRDefault="006D092B" w:rsidP="006D09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D092B" w:rsidRPr="00A15CDF" w14:paraId="0AA5ED6D" w14:textId="77777777" w:rsidTr="00834918">
        <w:tc>
          <w:tcPr>
            <w:tcW w:w="396" w:type="pct"/>
            <w:vAlign w:val="center"/>
          </w:tcPr>
          <w:p w14:paraId="19328651" w14:textId="72B928AF" w:rsidR="006D092B" w:rsidRPr="00010A40" w:rsidRDefault="006D092B" w:rsidP="006D092B">
            <w:pPr>
              <w:spacing w:after="0"/>
              <w:ind w:left="-104" w:right="-111"/>
              <w:jc w:val="center"/>
            </w:pPr>
            <w:r w:rsidRPr="00010A40">
              <w:lastRenderedPageBreak/>
              <w:t>4.5.</w:t>
            </w:r>
          </w:p>
        </w:tc>
        <w:tc>
          <w:tcPr>
            <w:tcW w:w="1306" w:type="pct"/>
            <w:vAlign w:val="center"/>
          </w:tcPr>
          <w:p w14:paraId="4257A2F3" w14:textId="78B5BE25" w:rsidR="006D092B" w:rsidRPr="00F60208" w:rsidRDefault="006D092B" w:rsidP="006D092B">
            <w:pPr>
              <w:spacing w:after="0" w:line="20" w:lineRule="atLeast"/>
            </w:pPr>
            <w:r w:rsidRPr="00F60208">
              <w:rPr>
                <w:rFonts w:eastAsia="Times New Roman"/>
              </w:rPr>
              <w:t>Lipni juosta </w:t>
            </w:r>
            <w:r w:rsidRPr="00F60208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7130FBB" w14:textId="01FC44F1" w:rsidR="006D092B" w:rsidRPr="00F60208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F60208">
              <w:rPr>
                <w:rFonts w:eastAsia="Times New Roman"/>
              </w:rPr>
              <w:t>Ne mažiau 19mm×50m pagrindinei medžiagai tvirtinti ≥13vnt. </w:t>
            </w:r>
            <w:r w:rsidRPr="00F60208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14F4F66" w14:textId="32352AEE" w:rsidR="006D092B" w:rsidRPr="00F60208" w:rsidRDefault="006D092B" w:rsidP="006D09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D092B" w:rsidRPr="00A15CDF" w14:paraId="4E0AB37A" w14:textId="77777777" w:rsidTr="00834918">
        <w:tc>
          <w:tcPr>
            <w:tcW w:w="396" w:type="pct"/>
            <w:vAlign w:val="center"/>
          </w:tcPr>
          <w:p w14:paraId="5CAEEDDF" w14:textId="75124AFE" w:rsidR="006D092B" w:rsidRPr="00010A40" w:rsidRDefault="006D092B" w:rsidP="006D092B">
            <w:pPr>
              <w:spacing w:after="0"/>
              <w:ind w:left="-104" w:right="-111"/>
              <w:jc w:val="center"/>
            </w:pPr>
            <w:r w:rsidRPr="00010A40">
              <w:t>4.6.</w:t>
            </w:r>
          </w:p>
        </w:tc>
        <w:tc>
          <w:tcPr>
            <w:tcW w:w="1306" w:type="pct"/>
            <w:vAlign w:val="center"/>
          </w:tcPr>
          <w:p w14:paraId="3DE858E8" w14:textId="68A44B71" w:rsidR="006D092B" w:rsidRPr="00F60208" w:rsidRDefault="006D092B" w:rsidP="006D092B">
            <w:pPr>
              <w:spacing w:after="0" w:line="20" w:lineRule="atLeast"/>
            </w:pPr>
            <w:r w:rsidRPr="00F60208">
              <w:rPr>
                <w:rFonts w:eastAsia="Times New Roman"/>
              </w:rPr>
              <w:t>Spausdintųjų plokščių valiklis  </w:t>
            </w:r>
            <w:r w:rsidRPr="00F60208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15A78E68" w14:textId="4A666674" w:rsidR="006D092B" w:rsidRPr="004533EA" w:rsidRDefault="006D092B" w:rsidP="00F60208">
            <w:pPr>
              <w:spacing w:after="0" w:line="20" w:lineRule="atLeast"/>
              <w:rPr>
                <w:rFonts w:eastAsia="Times New Roman"/>
              </w:rPr>
            </w:pPr>
            <w:r w:rsidRPr="004533EA">
              <w:rPr>
                <w:rFonts w:eastAsia="Times New Roman"/>
              </w:rPr>
              <w:t xml:space="preserve">Valiklis (1 </w:t>
            </w:r>
            <w:proofErr w:type="spellStart"/>
            <w:r w:rsidRPr="004533EA">
              <w:rPr>
                <w:rFonts w:eastAsia="Times New Roman"/>
              </w:rPr>
              <w:t>vnt</w:t>
            </w:r>
            <w:proofErr w:type="spellEnd"/>
            <w:r w:rsidRPr="004533EA">
              <w:rPr>
                <w:rFonts w:eastAsia="Times New Roman"/>
              </w:rPr>
              <w:t xml:space="preserve"> </w:t>
            </w:r>
            <w:r w:rsidRPr="004533EA">
              <w:rPr>
                <w:rFonts w:eastAsia="Times New Roman"/>
                <w:lang w:val="en-US"/>
              </w:rPr>
              <w:t>=</w:t>
            </w:r>
            <w:r w:rsidRPr="004533EA">
              <w:rPr>
                <w:rFonts w:eastAsia="Times New Roman"/>
              </w:rPr>
              <w:t xml:space="preserve"> vieno gamybinio proceso sąnaudų minimalus kiekis pagal gamintoją), ≥13 vnt. </w:t>
            </w:r>
            <w:r w:rsidRPr="004533E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580EE241" w14:textId="3CBCB4EB" w:rsidR="006D092B" w:rsidRPr="00F60208" w:rsidRDefault="006D092B" w:rsidP="00F60208">
            <w:pPr>
              <w:spacing w:after="0" w:line="20" w:lineRule="atLeast"/>
              <w:rPr>
                <w:rFonts w:eastAsia="Times New Roman"/>
              </w:rPr>
            </w:pPr>
          </w:p>
        </w:tc>
      </w:tr>
      <w:tr w:rsidR="006D092B" w:rsidRPr="00162757" w14:paraId="4F7EC828" w14:textId="77777777" w:rsidTr="00834918">
        <w:tc>
          <w:tcPr>
            <w:tcW w:w="396" w:type="pct"/>
            <w:vAlign w:val="center"/>
          </w:tcPr>
          <w:p w14:paraId="1C6ADC68" w14:textId="51988251" w:rsidR="006D092B" w:rsidRPr="00010A40" w:rsidRDefault="006D092B" w:rsidP="006D092B">
            <w:pPr>
              <w:spacing w:after="0"/>
              <w:ind w:left="-104" w:right="-111"/>
              <w:jc w:val="center"/>
              <w:rPr>
                <w:b/>
              </w:rPr>
            </w:pPr>
            <w:r w:rsidRPr="00010A40">
              <w:rPr>
                <w:b/>
              </w:rPr>
              <w:t>5.</w:t>
            </w:r>
          </w:p>
        </w:tc>
        <w:tc>
          <w:tcPr>
            <w:tcW w:w="4604" w:type="pct"/>
            <w:gridSpan w:val="3"/>
            <w:vAlign w:val="center"/>
          </w:tcPr>
          <w:p w14:paraId="1DCFFF38" w14:textId="344D38F1" w:rsidR="006D092B" w:rsidRPr="00162757" w:rsidRDefault="006D092B" w:rsidP="006D092B">
            <w:pPr>
              <w:spacing w:after="0" w:line="240" w:lineRule="auto"/>
              <w:rPr>
                <w:rFonts w:eastAsia="Times New Roman"/>
                <w:highlight w:val="yellow"/>
              </w:rPr>
            </w:pPr>
            <w:r w:rsidRPr="00010A40">
              <w:rPr>
                <w:rFonts w:eastAsia="Times New Roman"/>
                <w:b/>
                <w:bCs/>
              </w:rPr>
              <w:t>Litavimo kaukės formavimo įrankių ir medžiagų rinkinys suderinamas su  lazerinio ir mechaninio apdirbimo staklėmis</w:t>
            </w:r>
            <w:r w:rsidRPr="00010A40">
              <w:rPr>
                <w:rFonts w:eastAsia="Times New Roman"/>
              </w:rPr>
              <w:t xml:space="preserve">  </w:t>
            </w:r>
            <w:r w:rsidRPr="00010A40">
              <w:rPr>
                <w:rFonts w:eastAsia="Times New Roman"/>
                <w:b/>
              </w:rPr>
              <w:t>1vnt.</w:t>
            </w:r>
          </w:p>
        </w:tc>
      </w:tr>
      <w:tr w:rsidR="006D092B" w:rsidRPr="00A15CDF" w14:paraId="11D8A041" w14:textId="77777777" w:rsidTr="006C37E6">
        <w:tc>
          <w:tcPr>
            <w:tcW w:w="396" w:type="pct"/>
            <w:vAlign w:val="center"/>
          </w:tcPr>
          <w:p w14:paraId="628581AC" w14:textId="0AA7EC84" w:rsidR="006D092B" w:rsidRPr="00010A40" w:rsidRDefault="006D092B" w:rsidP="006D092B">
            <w:pPr>
              <w:spacing w:after="0"/>
              <w:ind w:left="-104" w:right="-111"/>
              <w:jc w:val="center"/>
            </w:pPr>
            <w:r w:rsidRPr="00010A40">
              <w:t>5.1.</w:t>
            </w:r>
          </w:p>
        </w:tc>
        <w:tc>
          <w:tcPr>
            <w:tcW w:w="1306" w:type="pct"/>
            <w:vAlign w:val="center"/>
          </w:tcPr>
          <w:p w14:paraId="36CC9E98" w14:textId="58BF8D35" w:rsidR="006D092B" w:rsidRPr="00010A40" w:rsidRDefault="006D092B" w:rsidP="006D092B">
            <w:pPr>
              <w:spacing w:after="0" w:line="20" w:lineRule="atLeast"/>
            </w:pPr>
            <w:r w:rsidRPr="00010A40">
              <w:rPr>
                <w:rFonts w:eastAsia="Times New Roman"/>
                <w:color w:val="000000"/>
              </w:rPr>
              <w:t>Rinkinį turi sudaryti</w:t>
            </w:r>
          </w:p>
        </w:tc>
        <w:tc>
          <w:tcPr>
            <w:tcW w:w="1650" w:type="pct"/>
            <w:vAlign w:val="center"/>
          </w:tcPr>
          <w:p w14:paraId="31F2795F" w14:textId="77777777" w:rsidR="006D092B" w:rsidRPr="004533EA" w:rsidRDefault="006D092B" w:rsidP="006D092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4533EA">
              <w:rPr>
                <w:rFonts w:eastAsia="Times New Roman"/>
                <w:color w:val="000000"/>
              </w:rPr>
              <w:t>Ne mažiau kaip:  </w:t>
            </w:r>
          </w:p>
          <w:p w14:paraId="7BB1A471" w14:textId="11179411" w:rsidR="006D092B" w:rsidRPr="004533EA" w:rsidRDefault="00010A40" w:rsidP="006D092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4533EA">
              <w:rPr>
                <w:rFonts w:eastAsia="Times New Roman"/>
                <w:color w:val="000000"/>
              </w:rPr>
              <w:t>1</w:t>
            </w:r>
            <w:r w:rsidR="006D092B" w:rsidRPr="004533EA">
              <w:rPr>
                <w:rFonts w:eastAsia="Times New Roman"/>
                <w:color w:val="000000"/>
              </w:rPr>
              <w:t>. Cheminių valiklių rinkinys skirtas oksido sluoksniui nuimti (</w:t>
            </w:r>
            <w:r w:rsidR="006D092B" w:rsidRPr="004533EA">
              <w:rPr>
                <w:rFonts w:eastAsia="Times New Roman"/>
              </w:rPr>
              <w:t xml:space="preserve">1 </w:t>
            </w:r>
            <w:proofErr w:type="spellStart"/>
            <w:r w:rsidR="006D092B" w:rsidRPr="004533EA">
              <w:rPr>
                <w:rFonts w:eastAsia="Times New Roman"/>
              </w:rPr>
              <w:t>vnt</w:t>
            </w:r>
            <w:proofErr w:type="spellEnd"/>
            <w:r w:rsidR="006D092B" w:rsidRPr="004533EA">
              <w:rPr>
                <w:rFonts w:eastAsia="Times New Roman"/>
              </w:rPr>
              <w:t xml:space="preserve"> = </w:t>
            </w:r>
            <w:r w:rsidR="006D092B" w:rsidRPr="004533EA">
              <w:rPr>
                <w:rFonts w:eastAsia="Times New Roman"/>
                <w:color w:val="000000"/>
              </w:rPr>
              <w:t>v</w:t>
            </w:r>
            <w:r w:rsidR="006D092B" w:rsidRPr="004533EA">
              <w:rPr>
                <w:rFonts w:eastAsia="Times New Roman"/>
              </w:rPr>
              <w:t>ieno gamybinio proceso sąnaudų minimalus kiekis  pagal gamintoją)</w:t>
            </w:r>
            <w:r w:rsidR="006D092B" w:rsidRPr="004533EA">
              <w:rPr>
                <w:rFonts w:eastAsia="Times New Roman"/>
                <w:color w:val="000000"/>
              </w:rPr>
              <w:t xml:space="preserve"> ≥2vnt.  </w:t>
            </w:r>
          </w:p>
          <w:p w14:paraId="68FE72FE" w14:textId="726973FE" w:rsidR="006D092B" w:rsidRPr="004533EA" w:rsidRDefault="00010A40" w:rsidP="006D092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4533EA">
              <w:rPr>
                <w:rFonts w:eastAsia="Times New Roman"/>
                <w:color w:val="000000"/>
              </w:rPr>
              <w:t>2</w:t>
            </w:r>
            <w:r w:rsidR="006D092B" w:rsidRPr="004533EA">
              <w:rPr>
                <w:rFonts w:eastAsia="Times New Roman"/>
                <w:color w:val="000000"/>
              </w:rPr>
              <w:t>. Putų volelis smulkios frakcijos ≥ Ø35x50mm ≥20vnt.  </w:t>
            </w:r>
          </w:p>
          <w:p w14:paraId="048E6281" w14:textId="1DBB9BFB" w:rsidR="006D092B" w:rsidRPr="004533EA" w:rsidRDefault="00010A40" w:rsidP="006D092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4533EA">
              <w:rPr>
                <w:rFonts w:eastAsia="Times New Roman"/>
                <w:color w:val="000000"/>
              </w:rPr>
              <w:t>3</w:t>
            </w:r>
            <w:r w:rsidR="006D092B" w:rsidRPr="004533EA">
              <w:rPr>
                <w:rFonts w:eastAsia="Times New Roman"/>
                <w:color w:val="000000"/>
              </w:rPr>
              <w:t>. Lipdukas su markiravimo taškais  Ø18mm, juodas ≥ 2vnt.  </w:t>
            </w:r>
          </w:p>
          <w:p w14:paraId="65659560" w14:textId="7A008657" w:rsidR="006D092B" w:rsidRPr="004533EA" w:rsidRDefault="00010A40" w:rsidP="006D092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4533EA">
              <w:rPr>
                <w:rFonts w:eastAsia="Times New Roman"/>
                <w:color w:val="000000"/>
              </w:rPr>
              <w:t>4</w:t>
            </w:r>
            <w:r w:rsidR="006D092B" w:rsidRPr="004533EA">
              <w:rPr>
                <w:rFonts w:eastAsia="Times New Roman"/>
                <w:color w:val="000000"/>
              </w:rPr>
              <w:t>. Pakavimo putų viršutinė dalis ≥2vnt.  </w:t>
            </w:r>
          </w:p>
          <w:p w14:paraId="05206BA8" w14:textId="7787FAF1" w:rsidR="006D092B" w:rsidRPr="004533EA" w:rsidRDefault="00010A40" w:rsidP="006D092B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4533EA">
              <w:rPr>
                <w:rFonts w:eastAsia="Times New Roman"/>
                <w:color w:val="000000"/>
              </w:rPr>
              <w:t>5</w:t>
            </w:r>
            <w:r w:rsidR="006D092B" w:rsidRPr="004533EA">
              <w:rPr>
                <w:rFonts w:eastAsia="Times New Roman"/>
                <w:color w:val="000000"/>
              </w:rPr>
              <w:t>. Pakavimo putų apatinė dalis ≥2vnt. </w:t>
            </w:r>
            <w:r w:rsidR="006D092B" w:rsidRPr="004533EA">
              <w:rPr>
                <w:rFonts w:eastAsia="Times New Roman"/>
                <w:color w:val="000000"/>
                <w:lang w:val="en-US"/>
              </w:rPr>
              <w:t> </w:t>
            </w:r>
          </w:p>
          <w:p w14:paraId="47CEAF19" w14:textId="0848CBFA" w:rsidR="006D092B" w:rsidRPr="004533EA" w:rsidRDefault="00010A40" w:rsidP="006D092B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4533EA">
              <w:rPr>
                <w:rFonts w:eastAsia="Times New Roman"/>
                <w:color w:val="000000"/>
              </w:rPr>
              <w:t>6</w:t>
            </w:r>
            <w:r w:rsidR="006D092B" w:rsidRPr="004533EA">
              <w:rPr>
                <w:rFonts w:eastAsia="Times New Roman"/>
                <w:color w:val="000000"/>
              </w:rPr>
              <w:t xml:space="preserve">. Apsauginės pirštinės su sutvirtinta delno </w:t>
            </w:r>
            <w:r w:rsidRPr="004533EA">
              <w:rPr>
                <w:rFonts w:eastAsia="Times New Roman"/>
                <w:color w:val="000000"/>
              </w:rPr>
              <w:t>dalimi</w:t>
            </w:r>
            <w:r w:rsidR="006D092B" w:rsidRPr="004533EA">
              <w:rPr>
                <w:rFonts w:eastAsia="Times New Roman"/>
                <w:color w:val="000000"/>
              </w:rPr>
              <w:t xml:space="preserve"> (L dydžio)≥2vnt. </w:t>
            </w:r>
            <w:r w:rsidR="006D092B" w:rsidRPr="004533EA">
              <w:rPr>
                <w:rFonts w:eastAsia="Times New Roman"/>
                <w:color w:val="000000"/>
                <w:lang w:val="en-US"/>
              </w:rPr>
              <w:t> </w:t>
            </w:r>
          </w:p>
          <w:p w14:paraId="5F202C38" w14:textId="22577D00" w:rsidR="006D092B" w:rsidRPr="004533EA" w:rsidRDefault="00010A40" w:rsidP="006D092B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4533EA">
              <w:rPr>
                <w:rFonts w:eastAsia="Times New Roman"/>
                <w:color w:val="000000"/>
              </w:rPr>
              <w:t>7</w:t>
            </w:r>
            <w:r w:rsidR="006D092B" w:rsidRPr="004533EA">
              <w:rPr>
                <w:rFonts w:eastAsia="Times New Roman"/>
                <w:color w:val="000000"/>
              </w:rPr>
              <w:t>. Valymo padas skirtas spausdintosioms plokštėms ≥2vnt. </w:t>
            </w:r>
            <w:r w:rsidR="006D092B" w:rsidRPr="004533EA">
              <w:rPr>
                <w:rFonts w:eastAsia="Times New Roman"/>
                <w:color w:val="000000"/>
                <w:lang w:val="en-US"/>
              </w:rPr>
              <w:t> </w:t>
            </w:r>
          </w:p>
          <w:p w14:paraId="704D4DE3" w14:textId="23B275B3" w:rsidR="006D092B" w:rsidRPr="004533EA" w:rsidRDefault="00010A40" w:rsidP="006D092B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4533EA">
              <w:rPr>
                <w:rFonts w:eastAsia="Times New Roman"/>
                <w:color w:val="000000"/>
              </w:rPr>
              <w:t>8</w:t>
            </w:r>
            <w:r w:rsidR="006D092B" w:rsidRPr="004533EA">
              <w:rPr>
                <w:rFonts w:eastAsia="Times New Roman"/>
                <w:color w:val="000000"/>
              </w:rPr>
              <w:t>. Medinė mentelė cheminių medžiagų maišymui ir tepimui ≥18x150mm – ≥40vnt. </w:t>
            </w:r>
            <w:r w:rsidR="006D092B" w:rsidRPr="004533EA">
              <w:rPr>
                <w:rFonts w:eastAsia="Times New Roman"/>
                <w:color w:val="000000"/>
                <w:lang w:val="en-US"/>
              </w:rPr>
              <w:t> </w:t>
            </w:r>
          </w:p>
          <w:p w14:paraId="62ECF167" w14:textId="3647D83D" w:rsidR="006D092B" w:rsidRPr="004533EA" w:rsidRDefault="00010A40" w:rsidP="00010A40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4533EA">
              <w:rPr>
                <w:rFonts w:eastAsia="Times New Roman"/>
                <w:color w:val="000000"/>
              </w:rPr>
              <w:t>9</w:t>
            </w:r>
            <w:r w:rsidR="006D092B" w:rsidRPr="004533EA">
              <w:rPr>
                <w:rFonts w:eastAsia="Times New Roman"/>
                <w:color w:val="000000"/>
              </w:rPr>
              <w:t>. Spausdintųjų plokščių laikikliai ≥4vnt. </w:t>
            </w:r>
            <w:r w:rsidR="006D092B" w:rsidRPr="004533EA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6F5E17F" w14:textId="5AE09504" w:rsidR="006D092B" w:rsidRPr="00A15CDF" w:rsidRDefault="006D092B" w:rsidP="006D09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D092B" w:rsidRPr="00A73550" w14:paraId="2783B44A" w14:textId="77777777" w:rsidTr="00834918">
        <w:tc>
          <w:tcPr>
            <w:tcW w:w="396" w:type="pct"/>
            <w:vAlign w:val="center"/>
          </w:tcPr>
          <w:p w14:paraId="4AE9A963" w14:textId="4FA8B73F" w:rsidR="006D092B" w:rsidRPr="00010A40" w:rsidRDefault="006D092B" w:rsidP="006D092B">
            <w:pPr>
              <w:spacing w:after="0"/>
              <w:ind w:left="-104" w:right="-111"/>
              <w:jc w:val="center"/>
              <w:rPr>
                <w:b/>
              </w:rPr>
            </w:pPr>
            <w:r w:rsidRPr="00010A40">
              <w:rPr>
                <w:b/>
              </w:rPr>
              <w:t>6.</w:t>
            </w:r>
          </w:p>
        </w:tc>
        <w:tc>
          <w:tcPr>
            <w:tcW w:w="1306" w:type="pct"/>
            <w:vAlign w:val="center"/>
          </w:tcPr>
          <w:p w14:paraId="011410C3" w14:textId="41968747" w:rsidR="006D092B" w:rsidRPr="00010A40" w:rsidRDefault="006D092B" w:rsidP="006D092B">
            <w:pPr>
              <w:spacing w:after="0" w:line="20" w:lineRule="atLeast"/>
              <w:rPr>
                <w:rFonts w:eastAsia="Times New Roman"/>
                <w:bCs/>
              </w:rPr>
            </w:pPr>
            <w:r w:rsidRPr="00010A40">
              <w:rPr>
                <w:rFonts w:eastAsia="Times New Roman"/>
                <w:bCs/>
              </w:rPr>
              <w:t>Garantinis laikotarpis</w:t>
            </w:r>
          </w:p>
        </w:tc>
        <w:tc>
          <w:tcPr>
            <w:tcW w:w="1650" w:type="pct"/>
            <w:vAlign w:val="center"/>
          </w:tcPr>
          <w:p w14:paraId="1F019CA1" w14:textId="77777777" w:rsidR="006D092B" w:rsidRPr="00010A40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010A40">
              <w:rPr>
                <w:rFonts w:eastAsia="Times New Roman"/>
              </w:rPr>
              <w:t xml:space="preserve">≥24 </w:t>
            </w:r>
            <w:proofErr w:type="spellStart"/>
            <w:r w:rsidRPr="00010A40">
              <w:rPr>
                <w:rFonts w:eastAsia="Times New Roman"/>
              </w:rPr>
              <w:t>mėn</w:t>
            </w:r>
            <w:proofErr w:type="spellEnd"/>
            <w:r w:rsidRPr="00010A40">
              <w:rPr>
                <w:rFonts w:eastAsia="Times New Roman"/>
              </w:rPr>
              <w:t> `</w:t>
            </w:r>
          </w:p>
          <w:p w14:paraId="79D3BB7D" w14:textId="1DC1FB8C" w:rsidR="006D092B" w:rsidRPr="00010A40" w:rsidRDefault="006D092B" w:rsidP="006D092B">
            <w:pPr>
              <w:spacing w:after="0" w:line="20" w:lineRule="atLeast"/>
              <w:rPr>
                <w:rFonts w:eastAsia="Times New Roman"/>
              </w:rPr>
            </w:pPr>
            <w:r w:rsidRPr="00010A40">
              <w:rPr>
                <w:rFonts w:eastAsia="Times New Roman"/>
              </w:rPr>
              <w:t>turi būti suteiktas įrangai nurodytai šios techninės specifikacijos 1, 2, 3 punktuose</w:t>
            </w:r>
          </w:p>
        </w:tc>
        <w:tc>
          <w:tcPr>
            <w:tcW w:w="1648" w:type="pct"/>
            <w:vAlign w:val="center"/>
          </w:tcPr>
          <w:p w14:paraId="4ACCA285" w14:textId="77777777" w:rsidR="006D092B" w:rsidRPr="00A73550" w:rsidRDefault="006D092B" w:rsidP="006D092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C879418" w14:textId="77777777" w:rsidR="00A062D9" w:rsidRDefault="00A062D9" w:rsidP="00DC10A2"/>
    <w:sectPr w:rsidR="00A062D9" w:rsidSect="00A14598">
      <w:pgSz w:w="12240" w:h="15840"/>
      <w:pgMar w:top="709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888"/>
    <w:multiLevelType w:val="multilevel"/>
    <w:tmpl w:val="9450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04988"/>
    <w:multiLevelType w:val="multilevel"/>
    <w:tmpl w:val="7B1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15C44"/>
    <w:multiLevelType w:val="multilevel"/>
    <w:tmpl w:val="C75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B5907"/>
    <w:multiLevelType w:val="multilevel"/>
    <w:tmpl w:val="4804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80611"/>
    <w:multiLevelType w:val="multilevel"/>
    <w:tmpl w:val="C2A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F5042"/>
    <w:multiLevelType w:val="multilevel"/>
    <w:tmpl w:val="91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B82EB7"/>
    <w:multiLevelType w:val="multilevel"/>
    <w:tmpl w:val="A78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6B77E6"/>
    <w:multiLevelType w:val="multilevel"/>
    <w:tmpl w:val="286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67C24"/>
    <w:multiLevelType w:val="multilevel"/>
    <w:tmpl w:val="700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3350BE"/>
    <w:multiLevelType w:val="multilevel"/>
    <w:tmpl w:val="972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0F5587"/>
    <w:multiLevelType w:val="multilevel"/>
    <w:tmpl w:val="CF9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A82442"/>
    <w:multiLevelType w:val="multilevel"/>
    <w:tmpl w:val="5F3A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DB37BF"/>
    <w:multiLevelType w:val="multilevel"/>
    <w:tmpl w:val="8D8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1083D"/>
    <w:rsid w:val="00010A40"/>
    <w:rsid w:val="00022F98"/>
    <w:rsid w:val="00054279"/>
    <w:rsid w:val="0009106A"/>
    <w:rsid w:val="000A3108"/>
    <w:rsid w:val="000B2B79"/>
    <w:rsid w:val="000C7FB0"/>
    <w:rsid w:val="000E4F99"/>
    <w:rsid w:val="00105771"/>
    <w:rsid w:val="00107C78"/>
    <w:rsid w:val="001360A5"/>
    <w:rsid w:val="001376AB"/>
    <w:rsid w:val="00162757"/>
    <w:rsid w:val="001A07EF"/>
    <w:rsid w:val="001C2FB8"/>
    <w:rsid w:val="001C6839"/>
    <w:rsid w:val="001E0DC3"/>
    <w:rsid w:val="001E6F15"/>
    <w:rsid w:val="00200806"/>
    <w:rsid w:val="0020288F"/>
    <w:rsid w:val="00224703"/>
    <w:rsid w:val="00270925"/>
    <w:rsid w:val="0027572D"/>
    <w:rsid w:val="0028151B"/>
    <w:rsid w:val="002818D1"/>
    <w:rsid w:val="00287A80"/>
    <w:rsid w:val="00293554"/>
    <w:rsid w:val="002C6C95"/>
    <w:rsid w:val="002D0FD9"/>
    <w:rsid w:val="002D508C"/>
    <w:rsid w:val="002E0314"/>
    <w:rsid w:val="002E3267"/>
    <w:rsid w:val="002E5DAE"/>
    <w:rsid w:val="0031661A"/>
    <w:rsid w:val="00364663"/>
    <w:rsid w:val="00385B18"/>
    <w:rsid w:val="003A4CE5"/>
    <w:rsid w:val="003C213E"/>
    <w:rsid w:val="003C25DC"/>
    <w:rsid w:val="003D41F6"/>
    <w:rsid w:val="003E24E5"/>
    <w:rsid w:val="00404D01"/>
    <w:rsid w:val="00434513"/>
    <w:rsid w:val="00437639"/>
    <w:rsid w:val="004533EA"/>
    <w:rsid w:val="00456802"/>
    <w:rsid w:val="00480AE6"/>
    <w:rsid w:val="004951B5"/>
    <w:rsid w:val="004B3292"/>
    <w:rsid w:val="004B6DFB"/>
    <w:rsid w:val="004D0CA5"/>
    <w:rsid w:val="004D17E9"/>
    <w:rsid w:val="004D25DB"/>
    <w:rsid w:val="004E66BA"/>
    <w:rsid w:val="005121E4"/>
    <w:rsid w:val="00521097"/>
    <w:rsid w:val="00521EB5"/>
    <w:rsid w:val="005238B6"/>
    <w:rsid w:val="00546AD2"/>
    <w:rsid w:val="00551486"/>
    <w:rsid w:val="00587222"/>
    <w:rsid w:val="00594400"/>
    <w:rsid w:val="005C2D4A"/>
    <w:rsid w:val="005D69E5"/>
    <w:rsid w:val="005F6080"/>
    <w:rsid w:val="00644B8F"/>
    <w:rsid w:val="006676FD"/>
    <w:rsid w:val="006743AD"/>
    <w:rsid w:val="00686340"/>
    <w:rsid w:val="00690F8E"/>
    <w:rsid w:val="006C36DA"/>
    <w:rsid w:val="006C37E6"/>
    <w:rsid w:val="006D092B"/>
    <w:rsid w:val="006D0F13"/>
    <w:rsid w:val="00710F1F"/>
    <w:rsid w:val="00720174"/>
    <w:rsid w:val="0072337A"/>
    <w:rsid w:val="00731789"/>
    <w:rsid w:val="00735AA3"/>
    <w:rsid w:val="007465AE"/>
    <w:rsid w:val="00747B2E"/>
    <w:rsid w:val="00751AAB"/>
    <w:rsid w:val="00767B10"/>
    <w:rsid w:val="00793A17"/>
    <w:rsid w:val="00793D46"/>
    <w:rsid w:val="007A54EA"/>
    <w:rsid w:val="007A6533"/>
    <w:rsid w:val="007B6DFF"/>
    <w:rsid w:val="007E3364"/>
    <w:rsid w:val="00834918"/>
    <w:rsid w:val="00892633"/>
    <w:rsid w:val="008A7890"/>
    <w:rsid w:val="008F6BA7"/>
    <w:rsid w:val="00916632"/>
    <w:rsid w:val="00917A02"/>
    <w:rsid w:val="00923BE5"/>
    <w:rsid w:val="00930786"/>
    <w:rsid w:val="00936FEB"/>
    <w:rsid w:val="00941221"/>
    <w:rsid w:val="009733D1"/>
    <w:rsid w:val="00974391"/>
    <w:rsid w:val="009854A9"/>
    <w:rsid w:val="00985E14"/>
    <w:rsid w:val="009D2AF7"/>
    <w:rsid w:val="009F44E0"/>
    <w:rsid w:val="009F63B0"/>
    <w:rsid w:val="00A00F3E"/>
    <w:rsid w:val="00A062D9"/>
    <w:rsid w:val="00A13182"/>
    <w:rsid w:val="00A14598"/>
    <w:rsid w:val="00A15CDF"/>
    <w:rsid w:val="00A46040"/>
    <w:rsid w:val="00A73550"/>
    <w:rsid w:val="00A8281D"/>
    <w:rsid w:val="00A84722"/>
    <w:rsid w:val="00A9478A"/>
    <w:rsid w:val="00AB1ECC"/>
    <w:rsid w:val="00AE42FC"/>
    <w:rsid w:val="00AE65BB"/>
    <w:rsid w:val="00B11A58"/>
    <w:rsid w:val="00B4159D"/>
    <w:rsid w:val="00B6416C"/>
    <w:rsid w:val="00B66FBF"/>
    <w:rsid w:val="00B710DC"/>
    <w:rsid w:val="00B745AA"/>
    <w:rsid w:val="00B82F8B"/>
    <w:rsid w:val="00BC0D02"/>
    <w:rsid w:val="00BC3B8E"/>
    <w:rsid w:val="00BE203E"/>
    <w:rsid w:val="00BF5338"/>
    <w:rsid w:val="00BF6185"/>
    <w:rsid w:val="00C024E7"/>
    <w:rsid w:val="00C07EC6"/>
    <w:rsid w:val="00C14C16"/>
    <w:rsid w:val="00C41DB1"/>
    <w:rsid w:val="00C44676"/>
    <w:rsid w:val="00C55089"/>
    <w:rsid w:val="00C65C1A"/>
    <w:rsid w:val="00C750EF"/>
    <w:rsid w:val="00C977DA"/>
    <w:rsid w:val="00CD6FF1"/>
    <w:rsid w:val="00CF0CEF"/>
    <w:rsid w:val="00D03BCB"/>
    <w:rsid w:val="00D22546"/>
    <w:rsid w:val="00D328FE"/>
    <w:rsid w:val="00D52FEB"/>
    <w:rsid w:val="00D920E5"/>
    <w:rsid w:val="00DA67C0"/>
    <w:rsid w:val="00DB2D94"/>
    <w:rsid w:val="00DB50F3"/>
    <w:rsid w:val="00DC10A2"/>
    <w:rsid w:val="00DC121D"/>
    <w:rsid w:val="00E13DBA"/>
    <w:rsid w:val="00E249DB"/>
    <w:rsid w:val="00E27187"/>
    <w:rsid w:val="00E33768"/>
    <w:rsid w:val="00E542E0"/>
    <w:rsid w:val="00E542E9"/>
    <w:rsid w:val="00E5504B"/>
    <w:rsid w:val="00E66800"/>
    <w:rsid w:val="00E761D3"/>
    <w:rsid w:val="00EB2759"/>
    <w:rsid w:val="00EE5337"/>
    <w:rsid w:val="00EF194D"/>
    <w:rsid w:val="00F02A95"/>
    <w:rsid w:val="00F04D0E"/>
    <w:rsid w:val="00F07C59"/>
    <w:rsid w:val="00F3242F"/>
    <w:rsid w:val="00F36481"/>
    <w:rsid w:val="00F41487"/>
    <w:rsid w:val="00F60208"/>
    <w:rsid w:val="00F8653F"/>
    <w:rsid w:val="00F87350"/>
    <w:rsid w:val="00FA52EA"/>
    <w:rsid w:val="00FA6742"/>
    <w:rsid w:val="00FB14D6"/>
    <w:rsid w:val="00FC2B41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3D33-CE3E-4F65-80F9-9818F4E3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23C7A-3ED5-49E8-A0A1-02E743730F5B}">
  <ds:schemaRefs>
    <ds:schemaRef ds:uri="http://schemas.microsoft.com/office/2006/metadata/properties"/>
    <ds:schemaRef ds:uri="http://schemas.microsoft.com/office/infopath/2007/PartnerControls"/>
    <ds:schemaRef ds:uri="c656aea0-4ea5-4db6-8a19-802664f5a411"/>
    <ds:schemaRef ds:uri="23ff61ea-a57a-4bd3-ae79-8a3ede980598"/>
  </ds:schemaRefs>
</ds:datastoreItem>
</file>

<file path=customXml/itemProps3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C4F72-849F-4320-97C7-582099DB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7</cp:revision>
  <dcterms:created xsi:type="dcterms:W3CDTF">2025-05-20T11:47:00Z</dcterms:created>
  <dcterms:modified xsi:type="dcterms:W3CDTF">2025-05-21T10:47:00Z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