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5D24EB" w:rsidP="0060770C">
      <w:pPr>
        <w:widowControl w:val="0"/>
        <w:pBdr>
          <w:top w:val="nil"/>
          <w:left w:val="nil"/>
          <w:bottom w:val="nil"/>
          <w:right w:val="nil"/>
          <w:between w:val="nil"/>
        </w:pBdr>
        <w:tabs>
          <w:tab w:val="left" w:pos="567"/>
          <w:tab w:val="left" w:pos="851"/>
        </w:tabs>
        <w:jc w:val="center"/>
        <w:rPr>
          <w:b/>
          <w:caps/>
          <w:szCs w:val="24"/>
        </w:rPr>
      </w:pPr>
      <w:r>
        <w:rPr>
          <w:b/>
          <w:caps/>
          <w:szCs w:val="24"/>
        </w:rPr>
        <w:t>PREKIŲ</w:t>
      </w:r>
      <w:r w:rsidR="00BA6B54" w:rsidRPr="00FF2596">
        <w:rPr>
          <w:b/>
          <w:caps/>
          <w:szCs w:val="24"/>
        </w:rPr>
        <w:t xml:space="preserve">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931"/>
      </w:tblGrid>
      <w:tr w:rsidR="0060770C" w:rsidRPr="009E5442" w:rsidTr="009F012F">
        <w:tc>
          <w:tcPr>
            <w:tcW w:w="2689" w:type="dxa"/>
          </w:tcPr>
          <w:p w:rsidR="0060770C" w:rsidRPr="009E5442" w:rsidRDefault="0060770C" w:rsidP="00882136">
            <w:pPr>
              <w:jc w:val="both"/>
              <w:rPr>
                <w:b/>
                <w:bCs/>
                <w:kern w:val="2"/>
                <w:szCs w:val="24"/>
              </w:rPr>
            </w:pPr>
            <w:r w:rsidRPr="009E5442">
              <w:rPr>
                <w:b/>
                <w:bCs/>
                <w:kern w:val="2"/>
                <w:szCs w:val="24"/>
              </w:rPr>
              <w:t>Sutarties pavadinimas</w:t>
            </w:r>
          </w:p>
        </w:tc>
        <w:tc>
          <w:tcPr>
            <w:tcW w:w="7229" w:type="dxa"/>
            <w:gridSpan w:val="3"/>
          </w:tcPr>
          <w:p w:rsidR="0060770C" w:rsidRPr="009E5442" w:rsidRDefault="00683349" w:rsidP="00683349">
            <w:pPr>
              <w:jc w:val="both"/>
              <w:rPr>
                <w:kern w:val="2"/>
                <w:szCs w:val="24"/>
              </w:rPr>
            </w:pPr>
            <w:r>
              <w:rPr>
                <w:kern w:val="2"/>
                <w:szCs w:val="24"/>
              </w:rPr>
              <w:t>Meniskų siuvimo sistema</w:t>
            </w:r>
          </w:p>
        </w:tc>
      </w:tr>
      <w:tr w:rsidR="0060770C" w:rsidRPr="009E5442" w:rsidTr="009F012F">
        <w:tc>
          <w:tcPr>
            <w:tcW w:w="2689" w:type="dxa"/>
          </w:tcPr>
          <w:p w:rsidR="0060770C" w:rsidRPr="009E5442" w:rsidRDefault="0060770C" w:rsidP="00882136">
            <w:pPr>
              <w:jc w:val="both"/>
              <w:rPr>
                <w:b/>
                <w:bCs/>
                <w:kern w:val="2"/>
                <w:szCs w:val="24"/>
              </w:rPr>
            </w:pPr>
            <w:r w:rsidRPr="009E5442">
              <w:rPr>
                <w:b/>
                <w:bCs/>
                <w:kern w:val="2"/>
                <w:szCs w:val="24"/>
              </w:rPr>
              <w:t>Sutarties data</w:t>
            </w:r>
          </w:p>
        </w:tc>
        <w:tc>
          <w:tcPr>
            <w:tcW w:w="1936" w:type="dxa"/>
          </w:tcPr>
          <w:p w:rsidR="0060770C" w:rsidRPr="009E5442" w:rsidRDefault="00532AD9"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93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0770C" w:rsidRPr="009E5442" w:rsidTr="009F012F">
        <w:tc>
          <w:tcPr>
            <w:tcW w:w="991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9F012F">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87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87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87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87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87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87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87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870" w:type="dxa"/>
          </w:tcPr>
          <w:p w:rsidR="0060770C" w:rsidRPr="009E5442" w:rsidRDefault="00683349" w:rsidP="00882136">
            <w:pPr>
              <w:jc w:val="both"/>
              <w:rPr>
                <w:kern w:val="2"/>
                <w:szCs w:val="24"/>
              </w:rPr>
            </w:pPr>
            <w:hyperlink r:id="rId7" w:history="1">
              <w:r w:rsidR="00882136" w:rsidRPr="009E5442">
                <w:rPr>
                  <w:rStyle w:val="Hipersaitas"/>
                </w:rPr>
                <w:t>info@kretingosligonine.lt</w:t>
              </w:r>
            </w:hyperlink>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1.1.9. Šalies atstovas</w:t>
            </w:r>
          </w:p>
        </w:tc>
        <w:tc>
          <w:tcPr>
            <w:tcW w:w="3870" w:type="dxa"/>
          </w:tcPr>
          <w:p w:rsidR="0060770C" w:rsidRPr="009E5442" w:rsidRDefault="00532AD9" w:rsidP="00882136">
            <w:pPr>
              <w:jc w:val="both"/>
            </w:pPr>
            <w:r>
              <w:t xml:space="preserve">Vyriausiasis gydytojas </w:t>
            </w:r>
            <w:proofErr w:type="spellStart"/>
            <w:r>
              <w:t>Romaldas</w:t>
            </w:r>
            <w:proofErr w:type="spellEnd"/>
            <w:r>
              <w:t xml:space="preserve"> Sakalauskas</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870" w:type="dxa"/>
          </w:tcPr>
          <w:p w:rsidR="001D3C42" w:rsidRPr="009E5442" w:rsidRDefault="001D3C42" w:rsidP="00532AD9">
            <w:pPr>
              <w:jc w:val="both"/>
              <w:rPr>
                <w:kern w:val="2"/>
                <w:szCs w:val="24"/>
              </w:rPr>
            </w:pPr>
          </w:p>
        </w:tc>
      </w:tr>
      <w:tr w:rsidR="00921288" w:rsidRPr="009E5442" w:rsidTr="009F012F">
        <w:tc>
          <w:tcPr>
            <w:tcW w:w="2808" w:type="dxa"/>
            <w:vMerge w:val="restart"/>
          </w:tcPr>
          <w:p w:rsidR="00921288" w:rsidRPr="009E5442" w:rsidRDefault="00921288" w:rsidP="00921288">
            <w:pPr>
              <w:rPr>
                <w:b/>
                <w:bCs/>
                <w:kern w:val="2"/>
                <w:szCs w:val="24"/>
              </w:rPr>
            </w:pPr>
          </w:p>
          <w:p w:rsidR="00921288" w:rsidRPr="009E5442" w:rsidRDefault="00921288" w:rsidP="00921288">
            <w:pPr>
              <w:rPr>
                <w:b/>
                <w:bCs/>
                <w:kern w:val="2"/>
                <w:szCs w:val="24"/>
              </w:rPr>
            </w:pPr>
          </w:p>
          <w:p w:rsidR="00921288" w:rsidRPr="009E5442" w:rsidRDefault="00921288" w:rsidP="00921288">
            <w:pPr>
              <w:rPr>
                <w:b/>
                <w:bCs/>
                <w:kern w:val="2"/>
                <w:szCs w:val="24"/>
              </w:rPr>
            </w:pPr>
          </w:p>
          <w:p w:rsidR="00921288" w:rsidRPr="009E5442" w:rsidRDefault="00921288" w:rsidP="00921288">
            <w:pPr>
              <w:rPr>
                <w:b/>
                <w:bCs/>
                <w:kern w:val="2"/>
                <w:szCs w:val="24"/>
              </w:rPr>
            </w:pPr>
            <w:r w:rsidRPr="009E5442">
              <w:rPr>
                <w:b/>
                <w:bCs/>
                <w:kern w:val="2"/>
                <w:szCs w:val="24"/>
              </w:rPr>
              <w:t>1.2. Tiekėjas</w:t>
            </w:r>
          </w:p>
          <w:p w:rsidR="00921288" w:rsidRPr="009E5442" w:rsidRDefault="00921288" w:rsidP="009F012F">
            <w:pPr>
              <w:rPr>
                <w:b/>
                <w:bCs/>
                <w:kern w:val="2"/>
                <w:szCs w:val="24"/>
              </w:rPr>
            </w:pPr>
          </w:p>
        </w:tc>
        <w:tc>
          <w:tcPr>
            <w:tcW w:w="3240" w:type="dxa"/>
          </w:tcPr>
          <w:p w:rsidR="00921288" w:rsidRPr="009E5442" w:rsidRDefault="00921288" w:rsidP="00921288">
            <w:pPr>
              <w:rPr>
                <w:kern w:val="2"/>
                <w:szCs w:val="24"/>
              </w:rPr>
            </w:pPr>
            <w:r w:rsidRPr="009E5442">
              <w:rPr>
                <w:kern w:val="2"/>
                <w:szCs w:val="24"/>
              </w:rPr>
              <w:t>1.2.1. Pavadinimas</w:t>
            </w:r>
          </w:p>
        </w:tc>
        <w:tc>
          <w:tcPr>
            <w:tcW w:w="3870" w:type="dxa"/>
          </w:tcPr>
          <w:p w:rsidR="00921288" w:rsidRPr="0009142E" w:rsidRDefault="00921288" w:rsidP="00921288">
            <w:pPr>
              <w:pStyle w:val="Pagrindinistekstas2"/>
              <w:spacing w:before="0" w:after="0" w:line="240" w:lineRule="auto"/>
              <w:rPr>
                <w:rFonts w:ascii="Times New Roman" w:hAnsi="Times New Roman" w:cs="Times New Roman"/>
                <w:sz w:val="24"/>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1.2.2. Juridinio asmens kodas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1.2.3. Adresas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1.2.4. PVM mokėtojo kodas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1.2.5. Atsiskaitomoji sąskaita</w:t>
            </w:r>
          </w:p>
        </w:tc>
        <w:tc>
          <w:tcPr>
            <w:tcW w:w="3870" w:type="dxa"/>
          </w:tcPr>
          <w:p w:rsidR="00921288" w:rsidRPr="0009142E"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1.2.6. Bankas, banko kodas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1.2.7. Telefonas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1.2.8. El. paštas</w:t>
            </w:r>
          </w:p>
        </w:tc>
        <w:tc>
          <w:tcPr>
            <w:tcW w:w="3870" w:type="dxa"/>
          </w:tcPr>
          <w:p w:rsidR="00921288" w:rsidRPr="0009142E"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1.2.9. Šalies atstovas</w:t>
            </w:r>
          </w:p>
        </w:tc>
        <w:tc>
          <w:tcPr>
            <w:tcW w:w="3870" w:type="dxa"/>
          </w:tcPr>
          <w:p w:rsidR="00921288" w:rsidRPr="006B0AC1" w:rsidRDefault="00921288" w:rsidP="00921288">
            <w:pPr>
              <w:shd w:val="clear" w:color="auto" w:fill="FFFFFF"/>
              <w:rPr>
                <w:rStyle w:val="object"/>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1.2.10. Atstovavimo pagrindas</w:t>
            </w:r>
          </w:p>
        </w:tc>
        <w:tc>
          <w:tcPr>
            <w:tcW w:w="3870" w:type="dxa"/>
          </w:tcPr>
          <w:p w:rsidR="00921288" w:rsidRPr="006B0AC1" w:rsidRDefault="00921288" w:rsidP="00921288">
            <w:pPr>
              <w:shd w:val="clear" w:color="auto" w:fill="FFFFFF"/>
              <w:rPr>
                <w:szCs w:val="24"/>
              </w:rPr>
            </w:pPr>
          </w:p>
        </w:tc>
      </w:tr>
    </w:tbl>
    <w:p w:rsidR="0060770C" w:rsidRPr="009E5442" w:rsidRDefault="0060770C" w:rsidP="0060770C">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
        <w:gridCol w:w="6705"/>
        <w:gridCol w:w="383"/>
      </w:tblGrid>
      <w:tr w:rsidR="0060770C" w:rsidRPr="009E5442" w:rsidTr="00242563">
        <w:trPr>
          <w:trHeight w:val="300"/>
        </w:trPr>
        <w:tc>
          <w:tcPr>
            <w:tcW w:w="9918" w:type="dxa"/>
            <w:gridSpan w:val="4"/>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242563">
        <w:trPr>
          <w:trHeight w:val="300"/>
        </w:trPr>
        <w:tc>
          <w:tcPr>
            <w:tcW w:w="2830" w:type="dxa"/>
            <w:gridSpan w:val="2"/>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Sąskaitų per informacinę sistemą </w:t>
            </w:r>
            <w:r w:rsidR="0062303C">
              <w:rPr>
                <w:b/>
                <w:bCs/>
                <w:kern w:val="2"/>
                <w:szCs w:val="24"/>
              </w:rPr>
              <w:t>SABIS</w:t>
            </w:r>
            <w:r w:rsidRPr="009E5442">
              <w:rPr>
                <w:b/>
                <w:bCs/>
                <w:kern w:val="2"/>
                <w:szCs w:val="24"/>
              </w:rPr>
              <w:t xml:space="preserve">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Sutarties paskelbimą ir Sutarties pakeitimų paskelbimą</w:t>
            </w:r>
          </w:p>
        </w:tc>
        <w:tc>
          <w:tcPr>
            <w:tcW w:w="7088" w:type="dxa"/>
            <w:gridSpan w:val="2"/>
          </w:tcPr>
          <w:p w:rsidR="00465617" w:rsidRPr="009E5442" w:rsidRDefault="00465617" w:rsidP="00882136">
            <w:pPr>
              <w:rPr>
                <w:kern w:val="2"/>
                <w:szCs w:val="24"/>
              </w:rPr>
            </w:pPr>
          </w:p>
          <w:p w:rsidR="00465617" w:rsidRPr="009E5442" w:rsidRDefault="00465617" w:rsidP="00882136">
            <w:pPr>
              <w:rPr>
                <w:kern w:val="2"/>
                <w:szCs w:val="24"/>
              </w:rPr>
            </w:pPr>
          </w:p>
          <w:p w:rsidR="00E95C09" w:rsidRPr="00097251" w:rsidRDefault="00996DDC" w:rsidP="00E95C09">
            <w:pPr>
              <w:rPr>
                <w:kern w:val="2"/>
                <w:szCs w:val="24"/>
              </w:rPr>
            </w:pPr>
            <w:r>
              <w:rPr>
                <w:kern w:val="2"/>
                <w:szCs w:val="24"/>
              </w:rPr>
              <w:t>Sigita Galdikienė</w:t>
            </w:r>
            <w:r w:rsidR="007539D5" w:rsidRPr="009E5442">
              <w:rPr>
                <w:kern w:val="2"/>
                <w:szCs w:val="24"/>
              </w:rPr>
              <w:t xml:space="preserve">, </w:t>
            </w:r>
            <w:r w:rsidR="00AF6FEB">
              <w:rPr>
                <w:kern w:val="2"/>
                <w:szCs w:val="24"/>
              </w:rPr>
              <w:t>Vaistininkė – farmacinės veikl</w:t>
            </w:r>
            <w:r>
              <w:rPr>
                <w:kern w:val="2"/>
                <w:szCs w:val="24"/>
              </w:rPr>
              <w:t>os vadovė</w:t>
            </w:r>
            <w:r w:rsidRPr="00097251">
              <w:rPr>
                <w:kern w:val="2"/>
                <w:szCs w:val="24"/>
              </w:rPr>
              <w:t xml:space="preserve">, </w:t>
            </w:r>
            <w:r w:rsidR="00E95C09" w:rsidRPr="00097251">
              <w:rPr>
                <w:kern w:val="2"/>
                <w:szCs w:val="24"/>
              </w:rPr>
              <w:t>+370 </w:t>
            </w:r>
            <w:r w:rsidR="00097251" w:rsidRPr="00097251">
              <w:rPr>
                <w:kern w:val="2"/>
                <w:szCs w:val="24"/>
              </w:rPr>
              <w:t>445</w:t>
            </w:r>
            <w:r w:rsidR="00E95C09" w:rsidRPr="00097251">
              <w:rPr>
                <w:kern w:val="2"/>
                <w:szCs w:val="24"/>
              </w:rPr>
              <w:t xml:space="preserve"> </w:t>
            </w:r>
            <w:r w:rsidR="00097251">
              <w:rPr>
                <w:kern w:val="2"/>
                <w:szCs w:val="24"/>
              </w:rPr>
              <w:t>79016</w:t>
            </w:r>
            <w:r w:rsidR="00E95C09" w:rsidRPr="00863283">
              <w:rPr>
                <w:kern w:val="2"/>
                <w:szCs w:val="24"/>
              </w:rPr>
              <w:t xml:space="preserve">, </w:t>
            </w:r>
            <w:hyperlink r:id="rId8" w:history="1">
              <w:r w:rsidR="00097251" w:rsidRPr="00097251">
                <w:rPr>
                  <w:rStyle w:val="Hipersaitas"/>
                  <w:color w:val="auto"/>
                  <w:kern w:val="2"/>
                  <w:szCs w:val="24"/>
                  <w:u w:val="none"/>
                </w:rPr>
                <w:t>vaistine@kretingosligonine.lt</w:t>
              </w:r>
            </w:hyperlink>
          </w:p>
          <w:p w:rsidR="00465617" w:rsidRPr="00FF2596" w:rsidRDefault="00465617" w:rsidP="00882136">
            <w:pPr>
              <w:rPr>
                <w:rStyle w:val="Hipersaitas"/>
                <w:color w:val="auto"/>
                <w:szCs w:val="24"/>
                <w:u w:val="none"/>
                <w:shd w:val="clear" w:color="auto" w:fill="FFFFFF"/>
              </w:rPr>
            </w:pPr>
          </w:p>
          <w:p w:rsidR="00465617" w:rsidRPr="001D3C42" w:rsidRDefault="00465617" w:rsidP="00882136">
            <w:pPr>
              <w:rPr>
                <w:rStyle w:val="Hipersaitas"/>
                <w:color w:val="auto"/>
                <w:kern w:val="2"/>
                <w:szCs w:val="24"/>
                <w:u w:val="none"/>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9" w:history="1">
              <w:r w:rsidRPr="001D3C42">
                <w:rPr>
                  <w:rStyle w:val="Hipersaitas"/>
                  <w:color w:val="auto"/>
                  <w:kern w:val="2"/>
                  <w:szCs w:val="24"/>
                  <w:u w:val="none"/>
                </w:rPr>
                <w:t>vilija.lisovskaja@kretingosligonine.lt</w:t>
              </w:r>
            </w:hyperlink>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9F012F">
            <w:pPr>
              <w:jc w:val="both"/>
              <w:rPr>
                <w:kern w:val="2"/>
                <w:szCs w:val="24"/>
              </w:rPr>
            </w:pPr>
            <w:r w:rsidRPr="002A25AB">
              <w:rPr>
                <w:kern w:val="2"/>
                <w:szCs w:val="24"/>
              </w:rPr>
              <w:t xml:space="preserve">Danguolė Paulauskienė, Viešųjų pirkimų specialistė, </w:t>
            </w:r>
          </w:p>
          <w:p w:rsidR="00465617" w:rsidRPr="009E5442" w:rsidRDefault="00465617" w:rsidP="009F012F">
            <w:pPr>
              <w:jc w:val="both"/>
              <w:rPr>
                <w:color w:val="4472C4"/>
                <w:kern w:val="2"/>
                <w:szCs w:val="24"/>
              </w:rPr>
            </w:pPr>
            <w:r w:rsidRPr="009E5442">
              <w:rPr>
                <w:kern w:val="2"/>
                <w:szCs w:val="24"/>
              </w:rPr>
              <w:t xml:space="preserve">+370 698 08479, </w:t>
            </w:r>
            <w:hyperlink r:id="rId10" w:history="1">
              <w:r w:rsidRPr="001D3C42">
                <w:rPr>
                  <w:rStyle w:val="Hipersaitas"/>
                  <w:color w:val="auto"/>
                  <w:kern w:val="2"/>
                  <w:szCs w:val="24"/>
                  <w:u w:val="none"/>
                </w:rPr>
                <w:t>danguole.paulauskiene@kretingosligonine.lt</w:t>
              </w:r>
            </w:hyperlink>
            <w:r w:rsidRPr="001D3C42">
              <w:rPr>
                <w:kern w:val="2"/>
                <w:szCs w:val="24"/>
              </w:rPr>
              <w:t xml:space="preserve"> </w:t>
            </w:r>
            <w:r w:rsidRPr="009E5442">
              <w:rPr>
                <w:kern w:val="2"/>
                <w:szCs w:val="24"/>
              </w:rPr>
              <w:t xml:space="preserve"> </w:t>
            </w:r>
          </w:p>
        </w:tc>
      </w:tr>
      <w:tr w:rsidR="0060770C" w:rsidRPr="009E5442" w:rsidTr="00242563">
        <w:trPr>
          <w:trHeight w:val="300"/>
        </w:trPr>
        <w:tc>
          <w:tcPr>
            <w:tcW w:w="2830" w:type="dxa"/>
            <w:gridSpan w:val="2"/>
          </w:tcPr>
          <w:p w:rsidR="0060770C" w:rsidRPr="009E5442" w:rsidRDefault="0060770C" w:rsidP="00882136">
            <w:pPr>
              <w:rPr>
                <w:b/>
                <w:bCs/>
                <w:kern w:val="2"/>
                <w:szCs w:val="24"/>
              </w:rPr>
            </w:pPr>
            <w:r w:rsidRPr="009E5442">
              <w:rPr>
                <w:b/>
                <w:bCs/>
                <w:kern w:val="2"/>
                <w:szCs w:val="24"/>
              </w:rPr>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xml:space="preserve">), </w:t>
            </w:r>
            <w:r w:rsidRPr="009E5442">
              <w:rPr>
                <w:b/>
                <w:bCs/>
                <w:kern w:val="2"/>
                <w:szCs w:val="24"/>
              </w:rPr>
              <w:lastRenderedPageBreak/>
              <w:t>atsakingas (-i) už Sutarties vykdymą</w:t>
            </w:r>
          </w:p>
        </w:tc>
        <w:tc>
          <w:tcPr>
            <w:tcW w:w="7088" w:type="dxa"/>
            <w:gridSpan w:val="2"/>
          </w:tcPr>
          <w:p w:rsidR="001D3C42" w:rsidRPr="009F012F" w:rsidRDefault="001D3C42" w:rsidP="009F012F">
            <w:pPr>
              <w:jc w:val="both"/>
              <w:rPr>
                <w:color w:val="4472C4"/>
                <w:kern w:val="2"/>
                <w:szCs w:val="24"/>
              </w:rPr>
            </w:pPr>
          </w:p>
        </w:tc>
      </w:tr>
      <w:tr w:rsidR="0060770C" w:rsidRPr="009E5442" w:rsidTr="00242563">
        <w:trPr>
          <w:trHeight w:val="300"/>
        </w:trPr>
        <w:tc>
          <w:tcPr>
            <w:tcW w:w="9918" w:type="dxa"/>
            <w:gridSpan w:val="4"/>
          </w:tcPr>
          <w:p w:rsidR="0060770C" w:rsidRPr="009E5442" w:rsidRDefault="0060770C" w:rsidP="00882136">
            <w:pPr>
              <w:jc w:val="center"/>
              <w:rPr>
                <w:b/>
                <w:bCs/>
                <w:kern w:val="2"/>
                <w:szCs w:val="24"/>
              </w:rPr>
            </w:pPr>
            <w:r w:rsidRPr="009E5442">
              <w:rPr>
                <w:b/>
                <w:bCs/>
                <w:kern w:val="2"/>
                <w:szCs w:val="24"/>
              </w:rPr>
              <w:lastRenderedPageBreak/>
              <w:t>3. SUTARTIES DALYKAS</w:t>
            </w:r>
          </w:p>
        </w:tc>
      </w:tr>
      <w:tr w:rsidR="0060770C" w:rsidRPr="009E5442" w:rsidTr="00242563">
        <w:trPr>
          <w:trHeight w:val="300"/>
        </w:trPr>
        <w:tc>
          <w:tcPr>
            <w:tcW w:w="2830" w:type="dxa"/>
            <w:gridSpan w:val="2"/>
          </w:tcPr>
          <w:p w:rsidR="0060770C" w:rsidRPr="009E5442" w:rsidRDefault="0060770C" w:rsidP="00882136">
            <w:pPr>
              <w:jc w:val="both"/>
              <w:rPr>
                <w:b/>
                <w:bCs/>
                <w:kern w:val="2"/>
                <w:szCs w:val="24"/>
              </w:rPr>
            </w:pPr>
            <w:r w:rsidRPr="009E5442">
              <w:rPr>
                <w:b/>
                <w:bCs/>
                <w:kern w:val="2"/>
                <w:szCs w:val="24"/>
              </w:rPr>
              <w:t xml:space="preserve">3.1. Sutarties dalykas </w:t>
            </w:r>
          </w:p>
        </w:tc>
        <w:tc>
          <w:tcPr>
            <w:tcW w:w="7088" w:type="dxa"/>
            <w:gridSpan w:val="2"/>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6531B4">
              <w:rPr>
                <w:b/>
                <w:i/>
                <w:iCs/>
                <w:kern w:val="2"/>
                <w:szCs w:val="24"/>
              </w:rPr>
              <w:t xml:space="preserve">Prekes </w:t>
            </w:r>
            <w:r w:rsidR="006531B4" w:rsidRPr="00B21144">
              <w:rPr>
                <w:i/>
                <w:iCs/>
                <w:color w:val="FF0000"/>
                <w:kern w:val="2"/>
                <w:szCs w:val="24"/>
              </w:rPr>
              <w:t>(įrašyti pagal pirkimo dalį</w:t>
            </w:r>
            <w:r w:rsidR="006531B4" w:rsidRPr="006531B4">
              <w:rPr>
                <w:i/>
                <w:iCs/>
                <w:kern w:val="2"/>
                <w:szCs w:val="24"/>
              </w:rPr>
              <w:t>)</w:t>
            </w:r>
            <w:r w:rsidRPr="009E5442">
              <w:rPr>
                <w:color w:val="2E74B5" w:themeColor="accent1" w:themeShade="BF"/>
                <w:kern w:val="2"/>
                <w:szCs w:val="24"/>
              </w:rPr>
              <w:t xml:space="preserve">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242563">
        <w:trPr>
          <w:trHeight w:val="300"/>
        </w:trPr>
        <w:tc>
          <w:tcPr>
            <w:tcW w:w="2830" w:type="dxa"/>
            <w:gridSpan w:val="2"/>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7088" w:type="dxa"/>
            <w:gridSpan w:val="2"/>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242563">
        <w:trPr>
          <w:trHeight w:val="300"/>
        </w:trPr>
        <w:tc>
          <w:tcPr>
            <w:tcW w:w="2830" w:type="dxa"/>
            <w:gridSpan w:val="2"/>
          </w:tcPr>
          <w:p w:rsidR="0060770C" w:rsidRPr="009E5442" w:rsidRDefault="0060770C" w:rsidP="00882136">
            <w:pPr>
              <w:jc w:val="both"/>
              <w:rPr>
                <w:b/>
                <w:bCs/>
                <w:kern w:val="2"/>
                <w:szCs w:val="24"/>
              </w:rPr>
            </w:pPr>
            <w:r w:rsidRPr="009E5442">
              <w:rPr>
                <w:b/>
                <w:bCs/>
                <w:kern w:val="2"/>
                <w:szCs w:val="24"/>
              </w:rPr>
              <w:t>3.3. Pirkimo numeris</w:t>
            </w:r>
          </w:p>
        </w:tc>
        <w:tc>
          <w:tcPr>
            <w:tcW w:w="7088" w:type="dxa"/>
            <w:gridSpan w:val="2"/>
          </w:tcPr>
          <w:p w:rsidR="0060770C" w:rsidRPr="009E5442" w:rsidRDefault="0060770C" w:rsidP="00882136">
            <w:pPr>
              <w:jc w:val="both"/>
              <w:rPr>
                <w:rFonts w:eastAsia="Cambria"/>
                <w:color w:val="000000"/>
                <w:kern w:val="2"/>
                <w:szCs w:val="24"/>
              </w:rPr>
            </w:pPr>
          </w:p>
        </w:tc>
      </w:tr>
      <w:tr w:rsidR="0060770C" w:rsidRPr="009E5442" w:rsidTr="00242563">
        <w:trPr>
          <w:trHeight w:val="300"/>
        </w:trPr>
        <w:tc>
          <w:tcPr>
            <w:tcW w:w="9918" w:type="dxa"/>
            <w:gridSpan w:val="4"/>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242563">
        <w:trPr>
          <w:trHeight w:val="300"/>
        </w:trPr>
        <w:tc>
          <w:tcPr>
            <w:tcW w:w="2830" w:type="dxa"/>
            <w:gridSpan w:val="2"/>
          </w:tcPr>
          <w:p w:rsidR="0060770C" w:rsidRPr="009E5442" w:rsidRDefault="0060770C" w:rsidP="00882136">
            <w:pPr>
              <w:rPr>
                <w:b/>
                <w:bCs/>
                <w:kern w:val="2"/>
                <w:szCs w:val="24"/>
              </w:rPr>
            </w:pPr>
            <w:r w:rsidRPr="009E5442">
              <w:rPr>
                <w:b/>
                <w:bCs/>
                <w:kern w:val="2"/>
                <w:szCs w:val="24"/>
              </w:rPr>
              <w:t>4.1. Prekių pristatymo terminai, kai Prekės pristatomos dalimis</w:t>
            </w:r>
          </w:p>
        </w:tc>
        <w:tc>
          <w:tcPr>
            <w:tcW w:w="7088" w:type="dxa"/>
            <w:gridSpan w:val="2"/>
          </w:tcPr>
          <w:p w:rsidR="0060770C" w:rsidRPr="00E95C09" w:rsidRDefault="00532AD9" w:rsidP="00A24CDE">
            <w:pPr>
              <w:jc w:val="both"/>
              <w:rPr>
                <w:iCs/>
                <w:kern w:val="2"/>
                <w:szCs w:val="24"/>
              </w:rPr>
            </w:pPr>
            <w:r>
              <w:rPr>
                <w:kern w:val="2"/>
                <w:szCs w:val="24"/>
              </w:rPr>
              <w:t xml:space="preserve">Tiekėjas pagal atskirą užsakymą įsipareigoja pristatyti Prekes </w:t>
            </w:r>
            <w:r w:rsidR="001B2A00" w:rsidRPr="001B2A00">
              <w:rPr>
                <w:b/>
                <w:iCs/>
                <w:kern w:val="2"/>
                <w:szCs w:val="24"/>
              </w:rPr>
              <w:t xml:space="preserve">ne vėliau kaip per </w:t>
            </w:r>
            <w:r>
              <w:rPr>
                <w:b/>
                <w:iCs/>
                <w:kern w:val="2"/>
                <w:szCs w:val="24"/>
              </w:rPr>
              <w:t>3</w:t>
            </w:r>
            <w:r w:rsidR="001B2A00" w:rsidRPr="001B2A00">
              <w:rPr>
                <w:b/>
                <w:i/>
                <w:iCs/>
                <w:kern w:val="2"/>
                <w:szCs w:val="24"/>
              </w:rPr>
              <w:t xml:space="preserve"> (</w:t>
            </w:r>
            <w:r>
              <w:rPr>
                <w:b/>
                <w:i/>
                <w:iCs/>
                <w:kern w:val="2"/>
                <w:szCs w:val="24"/>
              </w:rPr>
              <w:t>tris</w:t>
            </w:r>
            <w:r w:rsidR="001B2A00" w:rsidRPr="001B2A00">
              <w:rPr>
                <w:b/>
                <w:i/>
                <w:iCs/>
                <w:kern w:val="2"/>
                <w:szCs w:val="24"/>
              </w:rPr>
              <w:t xml:space="preserve">) </w:t>
            </w:r>
            <w:r>
              <w:rPr>
                <w:b/>
                <w:i/>
                <w:iCs/>
                <w:kern w:val="2"/>
                <w:szCs w:val="24"/>
              </w:rPr>
              <w:t>darbo dienas</w:t>
            </w:r>
            <w:r w:rsidR="001B2A00" w:rsidRPr="009E5442">
              <w:rPr>
                <w:i/>
                <w:iCs/>
                <w:kern w:val="2"/>
                <w:szCs w:val="24"/>
              </w:rPr>
              <w:t xml:space="preserve"> </w:t>
            </w:r>
            <w:r w:rsidR="001B2A00" w:rsidRPr="009E5442">
              <w:rPr>
                <w:kern w:val="2"/>
                <w:szCs w:val="24"/>
              </w:rPr>
              <w:t xml:space="preserve">nuo </w:t>
            </w:r>
            <w:r>
              <w:rPr>
                <w:kern w:val="2"/>
                <w:szCs w:val="24"/>
              </w:rPr>
              <w:t>užsakymo pateikimo</w:t>
            </w:r>
            <w:r w:rsidR="001B2A00">
              <w:rPr>
                <w:kern w:val="2"/>
                <w:szCs w:val="24"/>
              </w:rPr>
              <w:t xml:space="preserve"> dienos šiuo</w:t>
            </w:r>
            <w:r w:rsidR="00E95C09" w:rsidRPr="009E5442">
              <w:rPr>
                <w:color w:val="000000"/>
                <w:kern w:val="2"/>
                <w:szCs w:val="24"/>
              </w:rPr>
              <w:t xml:space="preserve"> adresu</w:t>
            </w:r>
            <w:r w:rsidR="001B2A00">
              <w:rPr>
                <w:color w:val="000000"/>
                <w:kern w:val="2"/>
                <w:szCs w:val="24"/>
              </w:rPr>
              <w:t>:</w:t>
            </w:r>
            <w:r w:rsidR="00E95C09" w:rsidRPr="009E5442">
              <w:rPr>
                <w:color w:val="000000"/>
                <w:kern w:val="2"/>
                <w:szCs w:val="24"/>
              </w:rPr>
              <w:t xml:space="preserve"> </w:t>
            </w:r>
            <w:r w:rsidR="00E95C09" w:rsidRPr="009E5442">
              <w:rPr>
                <w:rFonts w:eastAsia="Calibri"/>
                <w:szCs w:val="24"/>
              </w:rPr>
              <w:t xml:space="preserve">Žemaitės al. 1, </w:t>
            </w:r>
            <w:r w:rsidR="00E95C09" w:rsidRPr="009E5442">
              <w:t xml:space="preserve">LT- 97106 </w:t>
            </w:r>
            <w:r w:rsidR="00E95C09" w:rsidRPr="009E5442">
              <w:rPr>
                <w:rFonts w:eastAsia="Calibri"/>
                <w:szCs w:val="24"/>
              </w:rPr>
              <w:t>Kretinga</w:t>
            </w:r>
            <w:r w:rsidR="00E95C09">
              <w:rPr>
                <w:rFonts w:eastAsia="Calibri"/>
                <w:szCs w:val="24"/>
              </w:rPr>
              <w:t xml:space="preserve"> </w:t>
            </w:r>
          </w:p>
        </w:tc>
      </w:tr>
      <w:tr w:rsidR="0060770C" w:rsidRPr="009E5442" w:rsidTr="00242563">
        <w:trPr>
          <w:trHeight w:val="300"/>
        </w:trPr>
        <w:tc>
          <w:tcPr>
            <w:tcW w:w="2830" w:type="dxa"/>
            <w:gridSpan w:val="2"/>
          </w:tcPr>
          <w:p w:rsidR="0060770C" w:rsidRPr="009E5442" w:rsidRDefault="0060770C" w:rsidP="00882136">
            <w:pPr>
              <w:rPr>
                <w:b/>
                <w:bCs/>
                <w:kern w:val="2"/>
                <w:szCs w:val="24"/>
              </w:rPr>
            </w:pPr>
            <w:r w:rsidRPr="009E5442">
              <w:rPr>
                <w:b/>
                <w:bCs/>
                <w:kern w:val="2"/>
                <w:szCs w:val="24"/>
              </w:rPr>
              <w:t>4.2. Prekių pristatymo termino pratęsimas</w:t>
            </w:r>
          </w:p>
        </w:tc>
        <w:tc>
          <w:tcPr>
            <w:tcW w:w="7088" w:type="dxa"/>
            <w:gridSpan w:val="2"/>
          </w:tcPr>
          <w:p w:rsidR="0060770C" w:rsidRPr="007F073C" w:rsidRDefault="0060770C" w:rsidP="00882136">
            <w:pPr>
              <w:rPr>
                <w:iCs/>
                <w:kern w:val="2"/>
                <w:szCs w:val="24"/>
              </w:rPr>
            </w:pPr>
            <w:r w:rsidRPr="009E5442">
              <w:rPr>
                <w:iCs/>
                <w:kern w:val="2"/>
                <w:szCs w:val="24"/>
              </w:rPr>
              <w:t>Netaikoma</w:t>
            </w:r>
          </w:p>
          <w:p w:rsidR="0060770C" w:rsidRPr="009E5442" w:rsidRDefault="0060770C" w:rsidP="00882136">
            <w:pPr>
              <w:jc w:val="both"/>
              <w:rPr>
                <w:i/>
                <w:iCs/>
                <w:kern w:val="2"/>
                <w:szCs w:val="24"/>
              </w:rPr>
            </w:pP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4.3. Užsakymų teikimo tvarka</w:t>
            </w:r>
          </w:p>
        </w:tc>
        <w:tc>
          <w:tcPr>
            <w:tcW w:w="7088" w:type="dxa"/>
            <w:gridSpan w:val="2"/>
          </w:tcPr>
          <w:p w:rsidR="00532AD9" w:rsidRDefault="00532AD9" w:rsidP="006531B4">
            <w:pPr>
              <w:rPr>
                <w:kern w:val="2"/>
                <w:szCs w:val="24"/>
              </w:rPr>
            </w:pPr>
            <w:r>
              <w:rPr>
                <w:kern w:val="2"/>
                <w:szCs w:val="24"/>
              </w:rPr>
              <w:t xml:space="preserve">Užsakymai teikiami elektroniniu paštu </w:t>
            </w:r>
            <w:hyperlink r:id="rId11" w:tgtFrame="_blank" w:history="1">
              <w:r w:rsidR="006531B4">
                <w:rPr>
                  <w:rStyle w:val="Hipersaitas"/>
                  <w:i/>
                  <w:color w:val="auto"/>
                  <w:szCs w:val="24"/>
                  <w:u w:val="none"/>
                  <w:shd w:val="clear" w:color="auto" w:fill="FFFFFF"/>
                </w:rPr>
                <w:t>(įrašyti)</w:t>
              </w:r>
            </w:hyperlink>
            <w:r w:rsidR="009F012F">
              <w:rPr>
                <w:rStyle w:val="object"/>
                <w:rFonts w:eastAsia="Courier New"/>
                <w:szCs w:val="24"/>
                <w:shd w:val="clear" w:color="auto" w:fill="FFFFFF"/>
              </w:rPr>
              <w:t xml:space="preserve"> </w:t>
            </w:r>
            <w:r>
              <w:rPr>
                <w:kern w:val="2"/>
                <w:szCs w:val="24"/>
              </w:rPr>
              <w:t xml:space="preserve">ir laikomi gautais po </w:t>
            </w:r>
            <w:r w:rsidRPr="004A49A5">
              <w:rPr>
                <w:kern w:val="2"/>
                <w:szCs w:val="24"/>
              </w:rPr>
              <w:t xml:space="preserve">24 (dvidešimt keturių valandų) </w:t>
            </w:r>
            <w:r>
              <w:rPr>
                <w:kern w:val="2"/>
                <w:szCs w:val="24"/>
              </w:rPr>
              <w:t>nuo užsakymo pateikimo.</w:t>
            </w: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4.4. Dėl Prekių pristatymo dalimis vertės/apimties</w:t>
            </w:r>
          </w:p>
        </w:tc>
        <w:tc>
          <w:tcPr>
            <w:tcW w:w="7088" w:type="dxa"/>
            <w:gridSpan w:val="2"/>
          </w:tcPr>
          <w:p w:rsidR="00532AD9" w:rsidRPr="009E5442" w:rsidRDefault="00532AD9" w:rsidP="00532AD9">
            <w:pPr>
              <w:jc w:val="both"/>
              <w:rPr>
                <w:kern w:val="2"/>
                <w:szCs w:val="24"/>
              </w:rPr>
            </w:pPr>
            <w:r w:rsidRPr="009E5442">
              <w:rPr>
                <w:kern w:val="2"/>
                <w:szCs w:val="24"/>
              </w:rPr>
              <w:t>Netaikoma</w:t>
            </w:r>
          </w:p>
          <w:p w:rsidR="00532AD9" w:rsidRPr="009E5442" w:rsidRDefault="00532AD9" w:rsidP="00532AD9">
            <w:pPr>
              <w:jc w:val="both"/>
              <w:rPr>
                <w:kern w:val="2"/>
                <w:szCs w:val="24"/>
              </w:rPr>
            </w:pPr>
          </w:p>
          <w:p w:rsidR="00532AD9" w:rsidRPr="009E5442" w:rsidRDefault="00532AD9" w:rsidP="00532AD9">
            <w:pPr>
              <w:jc w:val="both"/>
              <w:rPr>
                <w:kern w:val="2"/>
                <w:szCs w:val="24"/>
              </w:rPr>
            </w:pP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 xml:space="preserve">4.5. Kartu su Prekėmis pateikiami dokumentai </w:t>
            </w:r>
          </w:p>
        </w:tc>
        <w:tc>
          <w:tcPr>
            <w:tcW w:w="7088" w:type="dxa"/>
            <w:gridSpan w:val="2"/>
          </w:tcPr>
          <w:p w:rsidR="00532AD9" w:rsidRPr="00B21144" w:rsidRDefault="00532AD9" w:rsidP="00532AD9">
            <w:pPr>
              <w:jc w:val="both"/>
              <w:rPr>
                <w:kern w:val="2"/>
                <w:szCs w:val="24"/>
              </w:rPr>
            </w:pPr>
            <w:bookmarkStart w:id="0" w:name="_GoBack"/>
            <w:r w:rsidRPr="00B21144">
              <w:rPr>
                <w:kern w:val="2"/>
                <w:szCs w:val="24"/>
              </w:rPr>
              <w:t>Kartu su Prekėmis pateikiami šie dokumentai:</w:t>
            </w:r>
          </w:p>
          <w:p w:rsidR="00532AD9" w:rsidRPr="00B21144" w:rsidRDefault="00532AD9" w:rsidP="00532AD9">
            <w:pPr>
              <w:jc w:val="both"/>
              <w:rPr>
                <w:iCs/>
                <w:kern w:val="2"/>
                <w:szCs w:val="24"/>
              </w:rPr>
            </w:pPr>
            <w:r w:rsidRPr="00B21144">
              <w:rPr>
                <w:iCs/>
                <w:kern w:val="2"/>
                <w:szCs w:val="24"/>
              </w:rPr>
              <w:t>1. Prekių perdavimo-priėmimo aktas;</w:t>
            </w:r>
          </w:p>
          <w:p w:rsidR="00B21144" w:rsidRPr="00B21144" w:rsidRDefault="00532AD9" w:rsidP="00B21144">
            <w:pPr>
              <w:rPr>
                <w:color w:val="000000"/>
              </w:rPr>
            </w:pPr>
            <w:r w:rsidRPr="00B21144">
              <w:rPr>
                <w:iCs/>
                <w:kern w:val="2"/>
                <w:szCs w:val="24"/>
              </w:rPr>
              <w:t xml:space="preserve">2. </w:t>
            </w:r>
            <w:r w:rsidR="00B21144" w:rsidRPr="00B21144">
              <w:rPr>
                <w:color w:val="000000"/>
              </w:rPr>
              <w:t>Prekių</w:t>
            </w:r>
            <w:r w:rsidR="00B21144" w:rsidRPr="00B21144">
              <w:t xml:space="preserve"> pirminių, </w:t>
            </w:r>
            <w:r w:rsidR="00B21144" w:rsidRPr="00B21144">
              <w:rPr>
                <w:color w:val="000000"/>
              </w:rPr>
              <w:t>antrinių ir tretinių pakuočių tinkamumą perdirbti (</w:t>
            </w:r>
            <w:proofErr w:type="spellStart"/>
            <w:r w:rsidR="00B21144" w:rsidRPr="00B21144">
              <w:rPr>
                <w:color w:val="000000"/>
              </w:rPr>
              <w:t>perdirbamumą</w:t>
            </w:r>
            <w:proofErr w:type="spellEnd"/>
            <w:r w:rsidR="00B21144" w:rsidRPr="00B21144">
              <w:rPr>
                <w:color w:val="000000"/>
              </w:rPr>
              <w:t>) ir (ar) homogeniškumą, ir (ar) daugkartinio naudojimo pakuotės (talpos) patvirtinančius dokumentus:</w:t>
            </w:r>
          </w:p>
          <w:p w:rsidR="00B21144" w:rsidRPr="00B21144" w:rsidRDefault="00B21144" w:rsidP="00E0109D">
            <w:pPr>
              <w:pStyle w:val="Sraopastraipa"/>
              <w:numPr>
                <w:ilvl w:val="0"/>
                <w:numId w:val="4"/>
              </w:numPr>
              <w:spacing w:after="160" w:line="259" w:lineRule="auto"/>
              <w:ind w:left="414" w:hanging="357"/>
              <w:jc w:val="both"/>
              <w:rPr>
                <w:iCs/>
                <w:kern w:val="2"/>
                <w:szCs w:val="24"/>
              </w:rPr>
            </w:pPr>
            <w:r w:rsidRPr="00B21144">
              <w:rPr>
                <w:szCs w:val="24"/>
              </w:rPr>
              <w:t xml:space="preserve">Tiekėjo ar gamintojo dokumentus, įrodančius, kad pakuotės yra homogeniškos ir (ar) atitinkamai paženklintos, arba </w:t>
            </w:r>
            <w:r w:rsidRPr="00B21144">
              <w:rPr>
                <w:color w:val="000000"/>
                <w:szCs w:val="24"/>
              </w:rPr>
              <w:t>yra daugkartinio naudojimo pakuotės (talpos);</w:t>
            </w:r>
          </w:p>
          <w:p w:rsidR="00B21144" w:rsidRPr="00B21144" w:rsidRDefault="00B21144" w:rsidP="00B21144">
            <w:pPr>
              <w:pStyle w:val="Sraopastraipa"/>
              <w:numPr>
                <w:ilvl w:val="0"/>
                <w:numId w:val="4"/>
              </w:numPr>
              <w:spacing w:after="160" w:line="259" w:lineRule="auto"/>
              <w:ind w:left="414" w:hanging="357"/>
              <w:rPr>
                <w:noProof/>
                <w:color w:val="000000"/>
                <w:szCs w:val="24"/>
              </w:rPr>
            </w:pPr>
            <w:r w:rsidRPr="00B21144">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B21144">
              <w:rPr>
                <w:noProof/>
                <w:szCs w:val="24"/>
              </w:rPr>
              <w:t>biologiškai skaidyti, reikalavimai.“, standartas Voluntary Standard for Repulping and Recycling Corrugated Fiberboard Treated to Improve Its Performance in the Presence of Water and Water Vapor, standartas RecyClass</w:t>
            </w:r>
            <w:r w:rsidRPr="00B21144">
              <w:rPr>
                <w:rStyle w:val="Puslapioinaosnuoroda"/>
                <w:noProof/>
                <w:szCs w:val="24"/>
              </w:rPr>
              <w:footnoteReference w:id="1"/>
            </w:r>
            <w:r w:rsidRPr="00B21144">
              <w:rPr>
                <w:noProof/>
                <w:szCs w:val="24"/>
              </w:rPr>
              <w:t xml:space="preserve"> ar kitas lygiavertis standartas, arba </w:t>
            </w:r>
          </w:p>
          <w:p w:rsidR="00B21144" w:rsidRPr="00B21144" w:rsidRDefault="00B21144" w:rsidP="00B21144">
            <w:pPr>
              <w:pStyle w:val="Sraopastraipa"/>
              <w:numPr>
                <w:ilvl w:val="0"/>
                <w:numId w:val="4"/>
              </w:numPr>
              <w:spacing w:after="160" w:line="259" w:lineRule="auto"/>
              <w:ind w:left="414" w:hanging="357"/>
              <w:rPr>
                <w:color w:val="000000"/>
                <w:szCs w:val="24"/>
              </w:rPr>
            </w:pPr>
            <w:r w:rsidRPr="00B21144">
              <w:rPr>
                <w:szCs w:val="24"/>
              </w:rPr>
              <w:t>Aplinkos apsaugos agentūros interneto svetainėje (</w:t>
            </w:r>
            <w:hyperlink r:id="rId12" w:history="1">
              <w:r w:rsidRPr="00B21144">
                <w:rPr>
                  <w:rStyle w:val="Hipersaitas"/>
                  <w:szCs w:val="24"/>
                </w:rPr>
                <w:t>https://aaa.lrv.lt/</w:t>
              </w:r>
            </w:hyperlink>
            <w:r w:rsidRPr="00B21144">
              <w:rPr>
                <w:szCs w:val="24"/>
              </w:rPr>
              <w:t xml:space="preserve">) skelbiamame atliekų tvarkytojų, turinčių teisę išrašyti gaminių ir (ar) pakuočių atliekų sutvarkymą įrodančius </w:t>
            </w:r>
            <w:bookmarkEnd w:id="0"/>
            <w:r w:rsidRPr="00B21144">
              <w:rPr>
                <w:szCs w:val="24"/>
              </w:rPr>
              <w:lastRenderedPageBreak/>
              <w:t>dokumentus, sąraše</w:t>
            </w:r>
            <w:r w:rsidRPr="00B21144">
              <w:rPr>
                <w:rStyle w:val="Puslapioinaosnuoroda"/>
                <w:szCs w:val="24"/>
              </w:rPr>
              <w:footnoteReference w:id="2"/>
            </w:r>
            <w:r w:rsidRPr="00B21144">
              <w:rPr>
                <w:szCs w:val="24"/>
              </w:rPr>
              <w:t xml:space="preserve"> nurodytų atliekų perdirbėjų ar eksportuotojų dokumentai, pagrindžiantys, kad tokios pakuotės, tapusios atliekomis, gali būti perdirbamos, arba </w:t>
            </w:r>
          </w:p>
          <w:p w:rsidR="00B21144" w:rsidRPr="00B21144" w:rsidRDefault="00B21144" w:rsidP="00B21144">
            <w:pPr>
              <w:pStyle w:val="Sraopastraipa"/>
              <w:numPr>
                <w:ilvl w:val="0"/>
                <w:numId w:val="4"/>
              </w:numPr>
              <w:spacing w:after="160" w:line="259" w:lineRule="auto"/>
              <w:ind w:left="414" w:hanging="357"/>
              <w:rPr>
                <w:color w:val="000000"/>
                <w:szCs w:val="24"/>
              </w:rPr>
            </w:pPr>
            <w:r w:rsidRPr="00B21144">
              <w:rPr>
                <w:color w:val="000000"/>
                <w:szCs w:val="24"/>
              </w:rPr>
              <w:t>Tiekėjo ar gamintojo dokumentus, įrodančius, kad pakuotės (talpos) yra daugkartinio naudojimo (pavyzdžiui, pakuotės aprašymo dokumentas, techninis dokumentas), arba</w:t>
            </w:r>
          </w:p>
          <w:p w:rsidR="00B21144" w:rsidRPr="00B21144" w:rsidRDefault="00B21144" w:rsidP="00B21144">
            <w:pPr>
              <w:pStyle w:val="Sraopastraipa"/>
              <w:numPr>
                <w:ilvl w:val="0"/>
                <w:numId w:val="4"/>
              </w:numPr>
              <w:spacing w:after="160" w:line="259" w:lineRule="auto"/>
              <w:ind w:left="414" w:hanging="357"/>
              <w:jc w:val="both"/>
              <w:rPr>
                <w:kern w:val="2"/>
                <w:szCs w:val="24"/>
              </w:rPr>
            </w:pPr>
            <w:r w:rsidRPr="00B21144">
              <w:rPr>
                <w:color w:val="000000"/>
                <w:szCs w:val="24"/>
              </w:rPr>
              <w:t>kitus lygiaverčius įrodymus.</w:t>
            </w:r>
          </w:p>
          <w:p w:rsidR="00532AD9" w:rsidRPr="00B21144" w:rsidRDefault="00532AD9" w:rsidP="00B21144">
            <w:pPr>
              <w:spacing w:after="160" w:line="259" w:lineRule="auto"/>
              <w:jc w:val="both"/>
              <w:rPr>
                <w:kern w:val="2"/>
                <w:szCs w:val="24"/>
              </w:rPr>
            </w:pPr>
            <w:r w:rsidRPr="00B21144">
              <w:rPr>
                <w:kern w:val="2"/>
                <w:szCs w:val="24"/>
              </w:rPr>
              <w:t>Tiekėjui nepateikus nurodytų dokumentų, laikoma, kad Prekės neatitinka Sutartyje nustatytų reikalavimų.</w:t>
            </w:r>
          </w:p>
        </w:tc>
      </w:tr>
      <w:tr w:rsidR="00532AD9" w:rsidRPr="009E5442" w:rsidTr="00242563">
        <w:trPr>
          <w:trHeight w:val="300"/>
        </w:trPr>
        <w:tc>
          <w:tcPr>
            <w:tcW w:w="9918" w:type="dxa"/>
            <w:gridSpan w:val="4"/>
          </w:tcPr>
          <w:p w:rsidR="00532AD9" w:rsidRPr="009E5442" w:rsidRDefault="00532AD9" w:rsidP="00532AD9">
            <w:pPr>
              <w:jc w:val="center"/>
              <w:rPr>
                <w:b/>
                <w:bCs/>
                <w:kern w:val="2"/>
                <w:szCs w:val="24"/>
              </w:rPr>
            </w:pPr>
            <w:r w:rsidRPr="009E5442">
              <w:rPr>
                <w:b/>
                <w:bCs/>
                <w:kern w:val="2"/>
                <w:szCs w:val="24"/>
              </w:rPr>
              <w:lastRenderedPageBreak/>
              <w:t>5. SUTARTIES KAINA IR ATSISKAITYMO TVARKA</w:t>
            </w: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5.1. Sutarčiai taikomas kainos apskaičiavimo būdas</w:t>
            </w:r>
          </w:p>
        </w:tc>
        <w:tc>
          <w:tcPr>
            <w:tcW w:w="7088" w:type="dxa"/>
            <w:gridSpan w:val="2"/>
          </w:tcPr>
          <w:p w:rsidR="00532AD9" w:rsidRDefault="00D87DBC" w:rsidP="00532AD9">
            <w:pPr>
              <w:rPr>
                <w:kern w:val="2"/>
                <w:szCs w:val="24"/>
              </w:rPr>
            </w:pPr>
            <w:r>
              <w:rPr>
                <w:kern w:val="2"/>
                <w:szCs w:val="24"/>
              </w:rPr>
              <w:t xml:space="preserve">Fiksuoto įkainio </w:t>
            </w:r>
            <w:r w:rsidR="00532AD9">
              <w:rPr>
                <w:kern w:val="2"/>
                <w:szCs w:val="24"/>
              </w:rPr>
              <w:t>kainodara</w:t>
            </w:r>
          </w:p>
          <w:p w:rsidR="00532AD9" w:rsidRPr="009E5442" w:rsidRDefault="00532AD9" w:rsidP="00532AD9">
            <w:pPr>
              <w:rPr>
                <w:kern w:val="2"/>
                <w:szCs w:val="24"/>
              </w:rPr>
            </w:pPr>
          </w:p>
          <w:p w:rsidR="00532AD9" w:rsidRPr="009E5442" w:rsidRDefault="00532AD9" w:rsidP="00532AD9">
            <w:pPr>
              <w:rPr>
                <w:i/>
                <w:color w:val="4472C4"/>
                <w:kern w:val="2"/>
                <w:szCs w:val="24"/>
              </w:rPr>
            </w:pPr>
          </w:p>
        </w:tc>
      </w:tr>
      <w:tr w:rsidR="00532AD9" w:rsidRPr="009E5442" w:rsidTr="00242563">
        <w:trPr>
          <w:trHeight w:val="53"/>
        </w:trPr>
        <w:tc>
          <w:tcPr>
            <w:tcW w:w="2830" w:type="dxa"/>
            <w:gridSpan w:val="2"/>
          </w:tcPr>
          <w:p w:rsidR="00532AD9" w:rsidRPr="009E5442" w:rsidRDefault="00532AD9" w:rsidP="00532AD9">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jc w:val="both"/>
              <w:rPr>
                <w:b/>
                <w:bCs/>
                <w:kern w:val="2"/>
                <w:szCs w:val="24"/>
              </w:rPr>
            </w:pPr>
          </w:p>
        </w:tc>
        <w:tc>
          <w:tcPr>
            <w:tcW w:w="7088" w:type="dxa"/>
            <w:gridSpan w:val="2"/>
          </w:tcPr>
          <w:p w:rsidR="006531B4" w:rsidRDefault="006531B4" w:rsidP="006531B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6531B4" w:rsidRDefault="006531B4" w:rsidP="006531B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6531B4" w:rsidRDefault="006531B4" w:rsidP="006531B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D87DBC" w:rsidRDefault="00D87DBC" w:rsidP="00D87DBC">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w:t>
            </w:r>
            <w:r w:rsidR="0062303C">
              <w:rPr>
                <w:color w:val="000000"/>
                <w:kern w:val="2"/>
                <w:szCs w:val="24"/>
              </w:rPr>
              <w:t>kį Sutartyje arba jos priede Nr. 2</w:t>
            </w:r>
            <w:r>
              <w:rPr>
                <w:kern w:val="2"/>
                <w:szCs w:val="24"/>
              </w:rPr>
              <w:t xml:space="preserve"> </w:t>
            </w:r>
            <w:r>
              <w:rPr>
                <w:color w:val="000000"/>
                <w:kern w:val="2"/>
                <w:szCs w:val="24"/>
              </w:rPr>
              <w:t xml:space="preserve">nurodytais įkainiais, neviršijant bendros Sutarties kainos. Sutartyje arba jos priede Nr. </w:t>
            </w:r>
            <w:r w:rsidR="0062303C">
              <w:rPr>
                <w:kern w:val="2"/>
                <w:szCs w:val="24"/>
              </w:rPr>
              <w:t>2</w:t>
            </w:r>
            <w:r>
              <w:rPr>
                <w:kern w:val="2"/>
                <w:szCs w:val="24"/>
              </w:rPr>
              <w:t xml:space="preserve"> </w:t>
            </w:r>
            <w:r>
              <w:rPr>
                <w:color w:val="000000"/>
                <w:kern w:val="2"/>
                <w:szCs w:val="24"/>
              </w:rPr>
              <w:t xml:space="preserve"> atskirose eilutėse nurodytas Prekių kiekis gali būti keičiamas (didėti ar mažėti).</w:t>
            </w:r>
          </w:p>
          <w:p w:rsidR="00532AD9" w:rsidRPr="006531B4" w:rsidRDefault="00D87DBC" w:rsidP="00532AD9">
            <w:pPr>
              <w:jc w:val="both"/>
              <w:rPr>
                <w:kern w:val="2"/>
                <w:szCs w:val="24"/>
              </w:rPr>
            </w:pPr>
            <w:r w:rsidRPr="00D87DBC">
              <w:rPr>
                <w:kern w:val="2"/>
                <w:szCs w:val="24"/>
              </w:rPr>
              <w:t>Pirkėjas neįsipareigoja išpirkti preliminaraus Prekių</w:t>
            </w:r>
            <w:r>
              <w:rPr>
                <w:kern w:val="2"/>
                <w:szCs w:val="24"/>
              </w:rPr>
              <w:t xml:space="preserve"> kiekio ar bet kokios jo dalies.</w:t>
            </w:r>
          </w:p>
        </w:tc>
      </w:tr>
      <w:tr w:rsidR="00532AD9" w:rsidRPr="009E5442" w:rsidTr="00242563">
        <w:trPr>
          <w:trHeight w:val="300"/>
        </w:trPr>
        <w:tc>
          <w:tcPr>
            <w:tcW w:w="2830" w:type="dxa"/>
            <w:gridSpan w:val="2"/>
          </w:tcPr>
          <w:p w:rsidR="00532AD9" w:rsidRPr="007F073C" w:rsidRDefault="00532AD9" w:rsidP="00532AD9">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tc>
        <w:tc>
          <w:tcPr>
            <w:tcW w:w="7088" w:type="dxa"/>
            <w:gridSpan w:val="2"/>
          </w:tcPr>
          <w:p w:rsidR="00532AD9" w:rsidRPr="009E5442" w:rsidRDefault="00532AD9" w:rsidP="00532AD9">
            <w:pPr>
              <w:rPr>
                <w:kern w:val="2"/>
                <w:szCs w:val="24"/>
              </w:rPr>
            </w:pPr>
            <w:r w:rsidRPr="009E5442">
              <w:rPr>
                <w:kern w:val="2"/>
                <w:szCs w:val="24"/>
              </w:rPr>
              <w:t xml:space="preserve">Sutarties kaina bus </w:t>
            </w:r>
            <w:r>
              <w:rPr>
                <w:kern w:val="2"/>
                <w:szCs w:val="24"/>
              </w:rPr>
              <w:t>perskaičiuojama</w:t>
            </w:r>
            <w:r w:rsidRPr="009E5442">
              <w:rPr>
                <w:kern w:val="2"/>
                <w:szCs w:val="24"/>
              </w:rPr>
              <w:t>:</w:t>
            </w:r>
          </w:p>
          <w:p w:rsidR="00532AD9" w:rsidRDefault="00532AD9" w:rsidP="00532AD9">
            <w:pPr>
              <w:rPr>
                <w:kern w:val="2"/>
                <w:szCs w:val="24"/>
              </w:rPr>
            </w:pPr>
            <w:r>
              <w:rPr>
                <w:kern w:val="2"/>
                <w:szCs w:val="24"/>
              </w:rPr>
              <w:t>5.</w:t>
            </w:r>
            <w:r w:rsidR="00D87DBC">
              <w:rPr>
                <w:kern w:val="2"/>
                <w:szCs w:val="24"/>
              </w:rPr>
              <w:t>3.1. dėl PVM tarifo pasikeitimo;</w:t>
            </w:r>
          </w:p>
          <w:p w:rsidR="00D87DBC" w:rsidRDefault="00D87DBC" w:rsidP="00D87DBC">
            <w:pPr>
              <w:rPr>
                <w:color w:val="FF0000"/>
                <w:kern w:val="2"/>
                <w:szCs w:val="24"/>
              </w:rPr>
            </w:pPr>
            <w:r>
              <w:rPr>
                <w:kern w:val="2"/>
                <w:szCs w:val="24"/>
              </w:rPr>
              <w:t>5.3.3. dėl kainų lygio pokyčio.</w:t>
            </w:r>
          </w:p>
          <w:p w:rsidR="00532AD9" w:rsidRPr="009E5442" w:rsidRDefault="00532AD9" w:rsidP="00532AD9">
            <w:pPr>
              <w:rPr>
                <w:color w:val="FF0000"/>
                <w:kern w:val="2"/>
                <w:szCs w:val="24"/>
              </w:rPr>
            </w:pP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5.3.1. Sutarties kainos/įkainių peržiūra dėl PVM tarifo pasikeitimo</w:t>
            </w:r>
          </w:p>
        </w:tc>
        <w:tc>
          <w:tcPr>
            <w:tcW w:w="7088" w:type="dxa"/>
            <w:gridSpan w:val="2"/>
          </w:tcPr>
          <w:p w:rsidR="00532AD9" w:rsidRPr="009E5442" w:rsidRDefault="00532AD9" w:rsidP="00532AD9">
            <w:pPr>
              <w:jc w:val="both"/>
              <w:rPr>
                <w:kern w:val="2"/>
                <w:szCs w:val="24"/>
              </w:rPr>
            </w:pPr>
            <w:r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532AD9" w:rsidRPr="009E5442" w:rsidRDefault="00532AD9" w:rsidP="00532AD9">
            <w:pPr>
              <w:jc w:val="both"/>
              <w:rPr>
                <w:i/>
                <w:iCs/>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32AD9" w:rsidRPr="009E5442" w:rsidTr="00242563">
        <w:trPr>
          <w:trHeight w:val="300"/>
        </w:trPr>
        <w:tc>
          <w:tcPr>
            <w:tcW w:w="2830" w:type="dxa"/>
            <w:gridSpan w:val="2"/>
          </w:tcPr>
          <w:p w:rsidR="00532AD9" w:rsidRPr="009E5442" w:rsidRDefault="00532AD9" w:rsidP="00532AD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7088" w:type="dxa"/>
            <w:gridSpan w:val="2"/>
          </w:tcPr>
          <w:p w:rsidR="00532AD9" w:rsidRPr="009E5442" w:rsidRDefault="00532AD9" w:rsidP="00532AD9">
            <w:pPr>
              <w:rPr>
                <w:kern w:val="2"/>
                <w:szCs w:val="24"/>
              </w:rPr>
            </w:pPr>
            <w:r w:rsidRPr="009E5442">
              <w:rPr>
                <w:kern w:val="2"/>
                <w:szCs w:val="24"/>
              </w:rPr>
              <w:t>Netaikoma</w:t>
            </w:r>
          </w:p>
          <w:p w:rsidR="00532AD9" w:rsidRPr="009E5442" w:rsidRDefault="00532AD9" w:rsidP="00532AD9">
            <w:pPr>
              <w:rPr>
                <w:kern w:val="2"/>
                <w:szCs w:val="24"/>
              </w:rPr>
            </w:pPr>
          </w:p>
          <w:p w:rsidR="00532AD9" w:rsidRPr="009E5442" w:rsidRDefault="00532AD9" w:rsidP="00532AD9">
            <w:pPr>
              <w:jc w:val="both"/>
              <w:rPr>
                <w:kern w:val="2"/>
                <w:szCs w:val="24"/>
              </w:rPr>
            </w:pPr>
          </w:p>
        </w:tc>
      </w:tr>
      <w:tr w:rsidR="00D87DBC" w:rsidRPr="009E5442" w:rsidTr="00242563">
        <w:trPr>
          <w:trHeight w:val="300"/>
        </w:trPr>
        <w:tc>
          <w:tcPr>
            <w:tcW w:w="2830" w:type="dxa"/>
            <w:gridSpan w:val="2"/>
          </w:tcPr>
          <w:p w:rsidR="00D87DBC" w:rsidRPr="002A25AB" w:rsidRDefault="00D87DBC" w:rsidP="00D87DBC">
            <w:pPr>
              <w:rPr>
                <w:b/>
                <w:bCs/>
                <w:kern w:val="2"/>
                <w:szCs w:val="24"/>
              </w:rPr>
            </w:pPr>
            <w:r w:rsidRPr="009E5442">
              <w:rPr>
                <w:b/>
                <w:bCs/>
                <w:kern w:val="2"/>
                <w:szCs w:val="24"/>
              </w:rPr>
              <w:lastRenderedPageBreak/>
              <w:t>5.3.3. Sutarties kainos/įkainių peržiūra dėl kainų lygio pokyčio</w:t>
            </w:r>
          </w:p>
        </w:tc>
        <w:tc>
          <w:tcPr>
            <w:tcW w:w="7088" w:type="dxa"/>
            <w:gridSpan w:val="2"/>
          </w:tcPr>
          <w:p w:rsidR="00D87DBC" w:rsidRPr="009E5442" w:rsidRDefault="00D87DBC" w:rsidP="00D87DBC">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rsidR="00D87DBC" w:rsidRPr="009E5442" w:rsidRDefault="00D87DBC" w:rsidP="00D87DBC">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D87DBC" w:rsidRPr="009E5442" w:rsidRDefault="00D87DBC" w:rsidP="00D87DBC">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rsidR="00D87DBC" w:rsidRPr="009E5442" w:rsidRDefault="00D87DBC" w:rsidP="00D87DBC">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sidR="005F7FDF">
              <w:rPr>
                <w:color w:val="000000"/>
                <w:kern w:val="2"/>
                <w:szCs w:val="24"/>
                <w:shd w:val="clear" w:color="auto" w:fill="FFFFFF"/>
              </w:rPr>
              <w:t xml:space="preserve"> Iš kitos Šalies </w:t>
            </w:r>
            <w:r w:rsidR="005F7FDF" w:rsidRPr="005F7FDF">
              <w:rPr>
                <w:kern w:val="2"/>
                <w:szCs w:val="24"/>
                <w:shd w:val="clear" w:color="auto" w:fill="FFFFFF"/>
              </w:rPr>
              <w:t xml:space="preserve">nereikalaujama </w:t>
            </w:r>
            <w:r w:rsidR="005F7FDF">
              <w:rPr>
                <w:color w:val="000000"/>
                <w:kern w:val="2"/>
                <w:szCs w:val="24"/>
                <w:shd w:val="clear" w:color="auto" w:fill="FFFFFF"/>
              </w:rPr>
              <w:t>pateikti oficialaus Valstybės duomenų agentūros ar kitos institucijos išduoto dokumento ar patvirtinimo</w:t>
            </w:r>
          </w:p>
          <w:p w:rsidR="005F7FDF" w:rsidRDefault="00D87DBC" w:rsidP="005F7FDF">
            <w:pPr>
              <w:jc w:val="both"/>
              <w:rPr>
                <w:color w:val="000000"/>
                <w:kern w:val="2"/>
                <w:szCs w:val="24"/>
                <w:shd w:val="clear" w:color="auto" w:fill="FFFFFF"/>
              </w:rPr>
            </w:pPr>
            <w:r w:rsidRPr="009E5442">
              <w:rPr>
                <w:color w:val="000000"/>
                <w:kern w:val="2"/>
                <w:szCs w:val="24"/>
                <w:shd w:val="clear" w:color="auto" w:fill="FFFFFF"/>
              </w:rPr>
              <w:t xml:space="preserve">5.3.3.5. </w:t>
            </w:r>
            <w:r w:rsidR="005F7FDF">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005F7FDF" w:rsidRPr="005F7FDF">
              <w:rPr>
                <w:kern w:val="2"/>
                <w:szCs w:val="24"/>
                <w:shd w:val="clear" w:color="auto" w:fill="FFFFFF"/>
              </w:rPr>
              <w:t>įkainius</w:t>
            </w:r>
            <w:r w:rsidR="005F7FDF">
              <w:rPr>
                <w:color w:val="000000"/>
                <w:kern w:val="2"/>
                <w:szCs w:val="24"/>
                <w:shd w:val="clear" w:color="auto" w:fill="FFFFFF"/>
              </w:rPr>
              <w:t>, perskaičiuotą Pradinės Sutarties vertę.</w:t>
            </w:r>
          </w:p>
          <w:p w:rsidR="00D87DBC" w:rsidRPr="009E5442" w:rsidRDefault="005F7FDF" w:rsidP="00D87DBC">
            <w:pPr>
              <w:jc w:val="both"/>
              <w:rPr>
                <w:color w:val="000000"/>
                <w:kern w:val="2"/>
                <w:szCs w:val="24"/>
                <w:shd w:val="clear" w:color="auto" w:fill="FFFFFF"/>
              </w:rPr>
            </w:pPr>
            <w:r>
              <w:rPr>
                <w:color w:val="000000"/>
                <w:kern w:val="2"/>
                <w:szCs w:val="24"/>
                <w:shd w:val="clear" w:color="auto" w:fill="FFFFFF"/>
              </w:rPr>
              <w:t>5.3.3.6. Nauji</w:t>
            </w:r>
            <w:r w:rsidR="00D87DBC" w:rsidRPr="009E5442">
              <w:rPr>
                <w:color w:val="000000"/>
                <w:kern w:val="2"/>
                <w:szCs w:val="24"/>
                <w:shd w:val="clear" w:color="auto" w:fill="FFFFFF"/>
              </w:rPr>
              <w:t xml:space="preserve"> Sutarties </w:t>
            </w:r>
            <w:proofErr w:type="spellStart"/>
            <w:r>
              <w:rPr>
                <w:color w:val="000000"/>
                <w:kern w:val="2"/>
                <w:szCs w:val="24"/>
                <w:shd w:val="clear" w:color="auto" w:fill="FFFFFF"/>
              </w:rPr>
              <w:t>i</w:t>
            </w:r>
            <w:r w:rsidR="00D87DBC" w:rsidRPr="009E5442">
              <w:rPr>
                <w:color w:val="000000"/>
                <w:kern w:val="2"/>
                <w:szCs w:val="24"/>
                <w:shd w:val="clear" w:color="auto" w:fill="FFFFFF"/>
              </w:rPr>
              <w:t>įkainiai</w:t>
            </w:r>
            <w:proofErr w:type="spellEnd"/>
            <w:r w:rsidR="00D87DBC" w:rsidRPr="009E5442">
              <w:rPr>
                <w:color w:val="000000"/>
                <w:kern w:val="2"/>
                <w:szCs w:val="24"/>
                <w:shd w:val="clear" w:color="auto" w:fill="FFFFFF"/>
              </w:rPr>
              <w:t xml:space="preserve"> apskaičiuojami pagal žemiau pateiktą formulę:</w:t>
            </w:r>
          </w:p>
          <w:p w:rsidR="00D87DBC" w:rsidRPr="00FF2596" w:rsidRDefault="00683349" w:rsidP="00D87DBC">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D87DBC" w:rsidRPr="009E5442">
              <w:rPr>
                <w:i/>
                <w:iCs/>
                <w:kern w:val="2"/>
                <w:szCs w:val="24"/>
              </w:rPr>
              <w:t>, kur a</w:t>
            </w:r>
            <w:r w:rsidR="005F7FDF">
              <w:rPr>
                <w:kern w:val="2"/>
                <w:szCs w:val="24"/>
              </w:rPr>
              <w:t xml:space="preserve"> –</w:t>
            </w:r>
            <w:r w:rsidR="00D87DBC" w:rsidRPr="009E5442">
              <w:rPr>
                <w:kern w:val="2"/>
                <w:szCs w:val="24"/>
              </w:rPr>
              <w:t xml:space="preserve"> įkainis (Eur be PVM)) (jei peržiūra jau buvo atlikta, tai po paskutinio perskaičiavimo) </w:t>
            </w:r>
          </w:p>
          <w:p w:rsidR="00D87DBC" w:rsidRPr="009E5442" w:rsidRDefault="00D87DBC" w:rsidP="00D87DBC">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rsidR="00D87DBC" w:rsidRPr="009E5442" w:rsidRDefault="00D87DBC" w:rsidP="00D87DBC">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sidR="006531B4">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rsidR="00D87DBC" w:rsidRPr="00960970" w:rsidRDefault="00D87DBC" w:rsidP="00D87DBC">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rsidR="00D87DBC" w:rsidRPr="009E5442" w:rsidRDefault="00D87DBC" w:rsidP="00D87DBC">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sidR="006531B4">
              <w:rPr>
                <w:i/>
                <w:iCs/>
                <w:kern w:val="2"/>
                <w:szCs w:val="24"/>
              </w:rPr>
              <w:t>s“ grupės „Ne maisto produktai“</w:t>
            </w:r>
            <w:r w:rsidRPr="009E5442">
              <w:rPr>
                <w:i/>
                <w:iCs/>
                <w:kern w:val="2"/>
                <w:szCs w:val="24"/>
              </w:rPr>
              <w:t>)</w:t>
            </w:r>
          </w:p>
          <w:p w:rsidR="00D87DBC" w:rsidRPr="009E5442" w:rsidRDefault="00D87DBC" w:rsidP="00D87DBC">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sidR="006531B4">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87DBC" w:rsidRPr="00FF2596" w:rsidRDefault="00D87DBC" w:rsidP="00D87DBC">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w:t>
            </w:r>
            <w:r w:rsidRPr="009E5442">
              <w:rPr>
                <w:color w:val="000000"/>
                <w:kern w:val="2"/>
                <w:szCs w:val="24"/>
                <w:shd w:val="clear" w:color="auto" w:fill="FFFFFF"/>
              </w:rPr>
              <w:lastRenderedPageBreak/>
              <w:t xml:space="preserve">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rsidR="00D87DBC" w:rsidRDefault="00D87DBC" w:rsidP="00D87DBC">
            <w:pPr>
              <w:jc w:val="both"/>
              <w:rPr>
                <w:color w:val="000000"/>
                <w:kern w:val="2"/>
                <w:szCs w:val="24"/>
                <w:shd w:val="clear" w:color="auto" w:fill="FFFFFF"/>
              </w:rPr>
            </w:pPr>
            <w:r w:rsidRPr="009E5442">
              <w:rPr>
                <w:color w:val="000000"/>
                <w:kern w:val="2"/>
                <w:szCs w:val="24"/>
                <w:shd w:val="clear" w:color="auto" w:fill="FFFFFF"/>
              </w:rPr>
              <w:t>5.3.3.8</w:t>
            </w:r>
            <w:r w:rsidR="00251037">
              <w:rPr>
                <w:color w:val="000000"/>
                <w:kern w:val="2"/>
                <w:szCs w:val="24"/>
                <w:shd w:val="clear" w:color="auto" w:fill="FFFFFF"/>
              </w:rPr>
              <w:t xml:space="preserve"> Šalis, siekianti Sutarties </w:t>
            </w:r>
            <w:r w:rsidR="00251037" w:rsidRPr="00251037">
              <w:rPr>
                <w:kern w:val="2"/>
                <w:szCs w:val="24"/>
                <w:shd w:val="clear" w:color="auto" w:fill="FFFFFF"/>
              </w:rPr>
              <w:t>įkainių</w:t>
            </w:r>
            <w:r w:rsidR="00251037">
              <w:rPr>
                <w:color w:val="FF0000"/>
                <w:kern w:val="2"/>
                <w:szCs w:val="24"/>
                <w:shd w:val="clear" w:color="auto" w:fill="FFFFFF"/>
              </w:rPr>
              <w:t xml:space="preserve"> </w:t>
            </w:r>
            <w:r w:rsidR="0025103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00251037">
              <w:rPr>
                <w:kern w:val="2"/>
                <w:szCs w:val="24"/>
                <w:shd w:val="clear" w:color="auto" w:fill="FFFFFF"/>
              </w:rPr>
              <w:t>Pr</w:t>
            </w:r>
            <w:r w:rsidR="00251037">
              <w:rPr>
                <w:color w:val="000000"/>
                <w:kern w:val="2"/>
                <w:szCs w:val="24"/>
                <w:shd w:val="clear" w:color="auto" w:fill="FFFFFF"/>
              </w:rPr>
              <w:t xml:space="preserve">ekių sąrašą su kiekiais, Indekso reikšmes su nuorodomis į viešus šaltinius Valstybės duomenų agentūros Oficialiosios statistikos portale arba </w:t>
            </w:r>
            <w:r w:rsidR="00251037">
              <w:rPr>
                <w:kern w:val="2"/>
                <w:szCs w:val="24"/>
                <w:bdr w:val="none" w:sz="0" w:space="0" w:color="auto" w:frame="1"/>
              </w:rPr>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00251037" w:rsidRPr="009E5442">
              <w:rPr>
                <w:color w:val="000000"/>
                <w:kern w:val="2"/>
                <w:szCs w:val="24"/>
                <w:shd w:val="clear" w:color="auto" w:fill="FFFFFF"/>
              </w:rPr>
              <w:t xml:space="preserve"> Nustačius, kad pateiktas prašymas turi trūkumų, jį gavusi Šalis tokį prašymą grąžiną teikusi</w:t>
            </w:r>
            <w:r w:rsidR="00251037">
              <w:rPr>
                <w:color w:val="000000"/>
                <w:kern w:val="2"/>
                <w:szCs w:val="24"/>
                <w:shd w:val="clear" w:color="auto" w:fill="FFFFFF"/>
              </w:rPr>
              <w:t>ai Šaliai, trūkumams ištaisyti.</w:t>
            </w:r>
          </w:p>
          <w:p w:rsidR="00251037" w:rsidRDefault="00D87DBC" w:rsidP="00251037">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sidR="00251037">
              <w:rPr>
                <w:color w:val="000000"/>
                <w:kern w:val="2"/>
                <w:szCs w:val="24"/>
                <w:shd w:val="clear" w:color="auto" w:fill="FFFFFF"/>
              </w:rPr>
              <w:t xml:space="preserve">Susitarimas turi būti sudarytas per </w:t>
            </w:r>
            <w:r w:rsidR="00251037">
              <w:rPr>
                <w:color w:val="FF0000"/>
                <w:kern w:val="2"/>
                <w:szCs w:val="24"/>
                <w:shd w:val="clear" w:color="auto" w:fill="FFFFFF"/>
              </w:rPr>
              <w:t xml:space="preserve"> </w:t>
            </w:r>
            <w:r w:rsidR="00251037" w:rsidRPr="009E5442">
              <w:rPr>
                <w:kern w:val="2"/>
                <w:szCs w:val="24"/>
                <w:shd w:val="clear" w:color="auto" w:fill="FFFFFF"/>
              </w:rPr>
              <w:t xml:space="preserve">10 (dešimt) </w:t>
            </w:r>
            <w:r w:rsidR="00251037" w:rsidRPr="009E5442">
              <w:rPr>
                <w:color w:val="000000"/>
                <w:kern w:val="2"/>
                <w:szCs w:val="24"/>
                <w:shd w:val="clear" w:color="auto" w:fill="FFFFFF"/>
              </w:rPr>
              <w:t>darbo dienų</w:t>
            </w:r>
            <w:r w:rsidR="00251037">
              <w:rPr>
                <w:color w:val="000000"/>
                <w:kern w:val="2"/>
                <w:szCs w:val="24"/>
                <w:shd w:val="clear" w:color="auto" w:fill="FFFFFF"/>
              </w:rPr>
              <w:t xml:space="preserve"> nuo Šalies pateikto tinkamo prašymo perskaičiuoti S</w:t>
            </w:r>
            <w:r w:rsidR="00251037">
              <w:rPr>
                <w:kern w:val="2"/>
                <w:szCs w:val="24"/>
              </w:rPr>
              <w:t xml:space="preserve">utarties </w:t>
            </w:r>
            <w:r w:rsidR="00251037">
              <w:rPr>
                <w:color w:val="FF0000"/>
                <w:kern w:val="2"/>
                <w:szCs w:val="24"/>
                <w:shd w:val="clear" w:color="auto" w:fill="FFFFFF"/>
              </w:rPr>
              <w:t xml:space="preserve"> </w:t>
            </w:r>
            <w:r w:rsidR="00251037" w:rsidRPr="00251037">
              <w:rPr>
                <w:kern w:val="2"/>
                <w:szCs w:val="24"/>
                <w:shd w:val="clear" w:color="auto" w:fill="FFFFFF"/>
              </w:rPr>
              <w:t>įkainius</w:t>
            </w:r>
            <w:r w:rsidR="00251037">
              <w:rPr>
                <w:color w:val="FF0000"/>
                <w:kern w:val="2"/>
                <w:szCs w:val="24"/>
                <w:shd w:val="clear" w:color="auto" w:fill="FFFFFF"/>
              </w:rPr>
              <w:t xml:space="preserve"> </w:t>
            </w:r>
            <w:r w:rsidR="00251037">
              <w:rPr>
                <w:color w:val="000000"/>
                <w:kern w:val="2"/>
                <w:szCs w:val="24"/>
                <w:shd w:val="clear" w:color="auto" w:fill="FFFFFF"/>
              </w:rPr>
              <w:t>gavimo dienos.</w:t>
            </w:r>
          </w:p>
          <w:p w:rsidR="00D87DBC" w:rsidRDefault="00D87DBC" w:rsidP="00D87DBC">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rsidR="00D87DBC" w:rsidRPr="009E5442" w:rsidRDefault="00D87DBC" w:rsidP="00251037">
            <w:pPr>
              <w:jc w:val="both"/>
              <w:rPr>
                <w:color w:val="000000"/>
                <w:kern w:val="2"/>
                <w:szCs w:val="24"/>
                <w:bdr w:val="none" w:sz="0" w:space="0" w:color="auto" w:frame="1"/>
              </w:rPr>
            </w:pPr>
            <w:r w:rsidRPr="009E5442">
              <w:rPr>
                <w:color w:val="000000"/>
                <w:kern w:val="2"/>
                <w:szCs w:val="24"/>
                <w:bdr w:val="none" w:sz="0" w:space="0" w:color="auto" w:frame="1"/>
              </w:rPr>
              <w:t xml:space="preserve">5.3.3.11. Vienos Šalies prašymo, taikyti Sutartyje nurodyto įkainio indeksaciją, pateikimas kitai Šaliai nestabdo ir nekeičia Sutarties vykdymo sąlygų. </w:t>
            </w:r>
          </w:p>
        </w:tc>
      </w:tr>
      <w:tr w:rsidR="00D87DBC" w:rsidRPr="009E5442" w:rsidTr="00242563">
        <w:trPr>
          <w:trHeight w:val="300"/>
        </w:trPr>
        <w:tc>
          <w:tcPr>
            <w:tcW w:w="2830" w:type="dxa"/>
            <w:gridSpan w:val="2"/>
          </w:tcPr>
          <w:p w:rsidR="00D87DBC" w:rsidRDefault="00D87DBC" w:rsidP="00D87DBC">
            <w:pPr>
              <w:rPr>
                <w:b/>
                <w:bCs/>
                <w:kern w:val="2"/>
                <w:szCs w:val="24"/>
              </w:rPr>
            </w:pPr>
            <w:r>
              <w:rPr>
                <w:b/>
                <w:bCs/>
                <w:kern w:val="2"/>
                <w:szCs w:val="24"/>
              </w:rPr>
              <w:lastRenderedPageBreak/>
              <w:t>5.3.4. Sutarties kainos / įkainių peržiūra dėl kainų lygio pokyčio pagal Prekių grupių kainų pokyčius</w:t>
            </w:r>
          </w:p>
        </w:tc>
        <w:tc>
          <w:tcPr>
            <w:tcW w:w="7088" w:type="dxa"/>
            <w:gridSpan w:val="2"/>
          </w:tcPr>
          <w:p w:rsidR="00D87DBC" w:rsidRDefault="00D87DBC" w:rsidP="00D87DBC">
            <w:pPr>
              <w:rPr>
                <w:kern w:val="2"/>
                <w:szCs w:val="24"/>
              </w:rPr>
            </w:pPr>
            <w:r>
              <w:rPr>
                <w:kern w:val="2"/>
                <w:szCs w:val="24"/>
              </w:rPr>
              <w:t>Netaikoma</w:t>
            </w:r>
          </w:p>
          <w:p w:rsidR="00D87DBC" w:rsidRDefault="00D87DBC" w:rsidP="00D87DBC">
            <w:pPr>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7088" w:type="dxa"/>
            <w:gridSpan w:val="2"/>
          </w:tcPr>
          <w:p w:rsidR="00D87DBC" w:rsidRPr="009E5442" w:rsidRDefault="00D87DBC" w:rsidP="00D87DBC">
            <w:pPr>
              <w:rPr>
                <w:kern w:val="2"/>
                <w:szCs w:val="24"/>
              </w:rPr>
            </w:pPr>
            <w:r w:rsidRPr="009E5442">
              <w:rPr>
                <w:kern w:val="2"/>
                <w:szCs w:val="24"/>
              </w:rPr>
              <w:t>Netaikoma</w:t>
            </w:r>
          </w:p>
          <w:p w:rsidR="00D87DBC" w:rsidRPr="009E5442" w:rsidRDefault="00D87DBC" w:rsidP="00D87DBC">
            <w:pPr>
              <w:rPr>
                <w:kern w:val="2"/>
                <w:szCs w:val="24"/>
              </w:rPr>
            </w:pPr>
          </w:p>
          <w:p w:rsidR="00D87DBC" w:rsidRPr="009E5442" w:rsidRDefault="00D87DBC" w:rsidP="00D87DBC">
            <w:pPr>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5.5. Atsiskaitymo su Tiekėju terminas ir tvarka</w:t>
            </w:r>
          </w:p>
        </w:tc>
        <w:tc>
          <w:tcPr>
            <w:tcW w:w="7088" w:type="dxa"/>
            <w:gridSpan w:val="2"/>
          </w:tcPr>
          <w:p w:rsidR="00D87DBC" w:rsidRPr="009E5442" w:rsidRDefault="00D87DBC" w:rsidP="00D87DBC">
            <w:pPr>
              <w:jc w:val="both"/>
              <w:rPr>
                <w:kern w:val="2"/>
                <w:szCs w:val="24"/>
              </w:rPr>
            </w:pPr>
            <w:r w:rsidRPr="009E5442">
              <w:rPr>
                <w:kern w:val="2"/>
                <w:szCs w:val="24"/>
              </w:rPr>
              <w:t xml:space="preserve">Pirkėjas atsiskaito su Tiekėju ne vėliau kaip per </w:t>
            </w:r>
            <w:r w:rsidRPr="009E5442">
              <w:rPr>
                <w:iCs/>
                <w:kern w:val="2"/>
                <w:szCs w:val="24"/>
              </w:rPr>
              <w:t>30 (trisdešimt) dienų</w:t>
            </w:r>
            <w:r w:rsidRPr="009E5442">
              <w:rPr>
                <w:kern w:val="2"/>
                <w:szCs w:val="24"/>
              </w:rPr>
              <w:t xml:space="preserve"> nuo tinkamai išrašytos sąskaitos gavimo dienos.</w:t>
            </w:r>
          </w:p>
          <w:p w:rsidR="00D87DBC" w:rsidRPr="009E5442" w:rsidRDefault="00D87DBC" w:rsidP="00D87DBC">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Pr="009E5442">
              <w:rPr>
                <w:color w:val="000000"/>
                <w:kern w:val="2"/>
                <w:szCs w:val="24"/>
                <w:shd w:val="clear" w:color="auto" w:fill="FFFFFF"/>
              </w:rPr>
              <w:t xml:space="preserve"> </w:t>
            </w:r>
            <w:r w:rsidR="00251037" w:rsidRPr="00251037">
              <w:rPr>
                <w:kern w:val="2"/>
                <w:szCs w:val="24"/>
                <w:shd w:val="clear" w:color="auto" w:fill="FFFFFF"/>
              </w:rPr>
              <w:t>įvykdžius užsakymą, mokama už konkretų kiekį / a</w:t>
            </w:r>
            <w:r w:rsidR="00251037">
              <w:rPr>
                <w:kern w:val="2"/>
                <w:szCs w:val="24"/>
                <w:shd w:val="clear" w:color="auto" w:fill="FFFFFF"/>
              </w:rPr>
              <w:t>pimtį pagal nustatytus įkainius.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5.6. Išankstinis mokėjimas (avansas)</w:t>
            </w:r>
          </w:p>
        </w:tc>
        <w:tc>
          <w:tcPr>
            <w:tcW w:w="7088" w:type="dxa"/>
            <w:gridSpan w:val="2"/>
          </w:tcPr>
          <w:p w:rsidR="00D87DBC" w:rsidRPr="009E5442" w:rsidRDefault="00D87DBC" w:rsidP="00D87DBC">
            <w:pPr>
              <w:rPr>
                <w:kern w:val="2"/>
                <w:szCs w:val="24"/>
              </w:rPr>
            </w:pPr>
            <w:r w:rsidRPr="009E5442">
              <w:rPr>
                <w:kern w:val="2"/>
                <w:szCs w:val="24"/>
              </w:rPr>
              <w:t>Netaikoma</w:t>
            </w:r>
          </w:p>
          <w:p w:rsidR="00D87DBC" w:rsidRPr="009E5442" w:rsidRDefault="00D87DBC" w:rsidP="00D87DBC">
            <w:pPr>
              <w:spacing w:line="259" w:lineRule="auto"/>
              <w:rPr>
                <w:color w:val="000000"/>
                <w:kern w:val="2"/>
                <w:szCs w:val="24"/>
                <w:shd w:val="clear" w:color="auto" w:fill="FFFFFF"/>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5.7. Avanso užtikrinimas</w:t>
            </w:r>
          </w:p>
        </w:tc>
        <w:tc>
          <w:tcPr>
            <w:tcW w:w="7088" w:type="dxa"/>
            <w:gridSpan w:val="2"/>
          </w:tcPr>
          <w:p w:rsidR="00D87DBC" w:rsidRPr="009E5442" w:rsidRDefault="00D87DBC" w:rsidP="00D87DBC">
            <w:pPr>
              <w:rPr>
                <w:kern w:val="2"/>
                <w:szCs w:val="24"/>
              </w:rPr>
            </w:pPr>
            <w:r w:rsidRPr="009E5442">
              <w:rPr>
                <w:kern w:val="2"/>
                <w:szCs w:val="24"/>
              </w:rPr>
              <w:t>Netaikoma</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6. PREKIŲ KOKYBĖ IR GARANTINIAI ĮSIPAREIGOJIMAI</w:t>
            </w:r>
          </w:p>
        </w:tc>
      </w:tr>
      <w:tr w:rsidR="00D87DBC" w:rsidRPr="009E5442" w:rsidTr="00242563">
        <w:trPr>
          <w:trHeight w:val="300"/>
        </w:trPr>
        <w:tc>
          <w:tcPr>
            <w:tcW w:w="2830" w:type="dxa"/>
            <w:gridSpan w:val="2"/>
          </w:tcPr>
          <w:p w:rsidR="00D87DBC" w:rsidRPr="00097251" w:rsidRDefault="00D87DBC" w:rsidP="00D87DBC">
            <w:pPr>
              <w:rPr>
                <w:b/>
                <w:bCs/>
                <w:kern w:val="2"/>
                <w:szCs w:val="24"/>
              </w:rPr>
            </w:pPr>
            <w:r w:rsidRPr="00097251">
              <w:rPr>
                <w:b/>
                <w:bCs/>
                <w:kern w:val="2"/>
                <w:szCs w:val="24"/>
              </w:rPr>
              <w:t>6.1. Garantinis terminas</w:t>
            </w:r>
          </w:p>
        </w:tc>
        <w:tc>
          <w:tcPr>
            <w:tcW w:w="7088" w:type="dxa"/>
            <w:gridSpan w:val="2"/>
          </w:tcPr>
          <w:p w:rsidR="00D87DBC" w:rsidRPr="009E5442" w:rsidRDefault="00D87DBC" w:rsidP="00097251">
            <w:pPr>
              <w:spacing w:line="259" w:lineRule="auto"/>
              <w:jc w:val="both"/>
              <w:rPr>
                <w:kern w:val="2"/>
                <w:szCs w:val="24"/>
              </w:rPr>
            </w:pPr>
            <w:r w:rsidRPr="0062303C">
              <w:rPr>
                <w:kern w:val="2"/>
                <w:szCs w:val="24"/>
              </w:rPr>
              <w:t xml:space="preserve">Prekėms nustatomas Prekių gamintojo taikomas Garantinis terminas, tačiau bet kokiu atveju </w:t>
            </w:r>
            <w:r w:rsidRPr="0062303C">
              <w:rPr>
                <w:b/>
                <w:bCs/>
                <w:kern w:val="2"/>
                <w:szCs w:val="24"/>
              </w:rPr>
              <w:t>ne trumpesnis kaip</w:t>
            </w:r>
            <w:r w:rsidRPr="0062303C">
              <w:rPr>
                <w:b/>
                <w:kern w:val="2"/>
                <w:szCs w:val="24"/>
              </w:rPr>
              <w:t xml:space="preserve"> </w:t>
            </w:r>
            <w:r w:rsidR="00097251">
              <w:rPr>
                <w:b/>
                <w:kern w:val="2"/>
                <w:szCs w:val="24"/>
              </w:rPr>
              <w:t>12</w:t>
            </w:r>
            <w:r w:rsidRPr="0062303C">
              <w:rPr>
                <w:b/>
                <w:i/>
                <w:iCs/>
                <w:kern w:val="2"/>
                <w:szCs w:val="24"/>
              </w:rPr>
              <w:t xml:space="preserve"> (</w:t>
            </w:r>
            <w:r w:rsidR="00097251">
              <w:rPr>
                <w:b/>
                <w:i/>
                <w:iCs/>
                <w:kern w:val="2"/>
                <w:szCs w:val="24"/>
              </w:rPr>
              <w:t>dvylika) mėnesių</w:t>
            </w:r>
            <w:r w:rsidRPr="0062303C">
              <w:rPr>
                <w:kern w:val="2"/>
                <w:szCs w:val="24"/>
              </w:rPr>
              <w:t>. Garantinis terminas, skaičiuojamas nuo Prekių perdavimo – priėmimo akto ar Sąskaitos (kai Prekių perdavimo – priėmimo aktas nėra pasirašomas) pasirašymo dienos.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6.2. Garantinė priežiūra</w:t>
            </w:r>
          </w:p>
        </w:tc>
        <w:tc>
          <w:tcPr>
            <w:tcW w:w="7088" w:type="dxa"/>
            <w:gridSpan w:val="2"/>
          </w:tcPr>
          <w:p w:rsidR="00CA5548" w:rsidRDefault="00CA5548" w:rsidP="00CA5548">
            <w:pPr>
              <w:jc w:val="both"/>
              <w:rPr>
                <w:color w:val="4472C4"/>
                <w:kern w:val="2"/>
                <w:szCs w:val="24"/>
              </w:rPr>
            </w:pPr>
            <w:r>
              <w:rPr>
                <w:kern w:val="2"/>
                <w:szCs w:val="24"/>
              </w:rPr>
              <w:t xml:space="preserve">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p w:rsidR="00D87DBC" w:rsidRPr="009E5442" w:rsidRDefault="00D87DBC" w:rsidP="00D87DBC">
            <w:pPr>
              <w:jc w:val="both"/>
              <w:rPr>
                <w:kern w:val="2"/>
                <w:szCs w:val="24"/>
              </w:rPr>
            </w:pPr>
            <w:r>
              <w:rPr>
                <w:kern w:val="2"/>
                <w:szCs w:val="24"/>
              </w:rPr>
              <w:lastRenderedPageBreak/>
              <w:t>Prekių trūkumų nustatymo bei šalinimo tvarka nustatyta Bendrųjų sąlygų 7 skyriuje.</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lastRenderedPageBreak/>
              <w:t>7. SUTARTIES VYKDYMUI PASITELKIAMI SUBTIEKĖJAI</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7.1. Sutarties vykdymui pasitelkiami subtiekėjai </w:t>
            </w:r>
          </w:p>
        </w:tc>
        <w:tc>
          <w:tcPr>
            <w:tcW w:w="7088" w:type="dxa"/>
            <w:gridSpan w:val="2"/>
          </w:tcPr>
          <w:p w:rsidR="00D87DBC" w:rsidRDefault="00D87DBC" w:rsidP="00D87DBC">
            <w:pPr>
              <w:rPr>
                <w:kern w:val="2"/>
                <w:szCs w:val="24"/>
              </w:rPr>
            </w:pPr>
            <w:r>
              <w:rPr>
                <w:kern w:val="2"/>
                <w:szCs w:val="24"/>
              </w:rPr>
              <w:t>Sutarties vykdymui subtiekėjai ir (ar) specialistai nepasitelkiami.</w:t>
            </w:r>
          </w:p>
          <w:p w:rsidR="00D87DBC" w:rsidRPr="00CA5548" w:rsidRDefault="00D87DBC" w:rsidP="0062303C">
            <w:pPr>
              <w:rPr>
                <w:kern w:val="2"/>
                <w:szCs w:val="24"/>
              </w:rPr>
            </w:pP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8. PRIEVOLIŲ PAGAL SUTARTĮ ĮVYKDYMO UŽTIKRINIMAS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8.1. Prievolių pagal Sutartį įvykdymo užtikrinimo būdas (-ai)</w:t>
            </w:r>
          </w:p>
        </w:tc>
        <w:tc>
          <w:tcPr>
            <w:tcW w:w="7088" w:type="dxa"/>
            <w:gridSpan w:val="2"/>
          </w:tcPr>
          <w:p w:rsidR="00D87DBC" w:rsidRPr="009E5442" w:rsidRDefault="00D87DBC" w:rsidP="00D87DBC">
            <w:pPr>
              <w:jc w:val="both"/>
              <w:rPr>
                <w:iCs/>
                <w:kern w:val="2"/>
                <w:szCs w:val="24"/>
              </w:rPr>
            </w:pPr>
            <w:r w:rsidRPr="009E5442">
              <w:rPr>
                <w:kern w:val="2"/>
                <w:szCs w:val="24"/>
              </w:rPr>
              <w:t xml:space="preserve">Prievolių pagal Sutartį įvykdymas užtikrinamas </w:t>
            </w:r>
            <w:r w:rsidRPr="009E5442">
              <w:rPr>
                <w:iCs/>
                <w:kern w:val="2"/>
                <w:szCs w:val="24"/>
              </w:rPr>
              <w:t>netesybomis (delspinigiais, bauda).</w:t>
            </w:r>
          </w:p>
          <w:p w:rsidR="00D87DBC" w:rsidRPr="009E5442" w:rsidRDefault="00D87DBC" w:rsidP="00D87DBC">
            <w:pPr>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8.2. Sutarties įvykdymo užtikrinimo pateikimas </w:t>
            </w:r>
          </w:p>
        </w:tc>
        <w:tc>
          <w:tcPr>
            <w:tcW w:w="7088" w:type="dxa"/>
            <w:gridSpan w:val="2"/>
          </w:tcPr>
          <w:p w:rsidR="00D87DBC" w:rsidRPr="009E5442" w:rsidRDefault="00D87DBC" w:rsidP="00D87DBC">
            <w:pPr>
              <w:rPr>
                <w:kern w:val="2"/>
                <w:szCs w:val="24"/>
              </w:rPr>
            </w:pPr>
            <w:r w:rsidRPr="009E5442">
              <w:rPr>
                <w:kern w:val="2"/>
                <w:szCs w:val="24"/>
              </w:rPr>
              <w:t>Netaikoma</w:t>
            </w:r>
          </w:p>
          <w:p w:rsidR="00D87DBC" w:rsidRPr="009E5442" w:rsidRDefault="00D87DBC" w:rsidP="00D87DBC">
            <w:pPr>
              <w:rPr>
                <w:kern w:val="2"/>
                <w:szCs w:val="24"/>
              </w:rPr>
            </w:pP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9. ŠALIŲ ATSAKOMYBĖ</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9.1. Pirkėjui taikomos netesybos už mokėjimų pagal Sutartį vėlavimą</w:t>
            </w:r>
          </w:p>
        </w:tc>
        <w:tc>
          <w:tcPr>
            <w:tcW w:w="7088" w:type="dxa"/>
            <w:gridSpan w:val="2"/>
          </w:tcPr>
          <w:p w:rsidR="00D87DBC" w:rsidRPr="007F073C" w:rsidRDefault="00D87DBC" w:rsidP="0062303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2303C">
              <w:rPr>
                <w:i/>
                <w:kern w:val="2"/>
                <w:szCs w:val="24"/>
              </w:rPr>
              <w:t>0,05</w:t>
            </w:r>
            <w:r w:rsidRPr="00DC774A">
              <w:rPr>
                <w:i/>
                <w:kern w:val="2"/>
                <w:szCs w:val="24"/>
              </w:rPr>
              <w:t xml:space="preserve"> (</w:t>
            </w:r>
            <w:r w:rsidR="0062303C">
              <w:rPr>
                <w:i/>
                <w:kern w:val="2"/>
                <w:szCs w:val="24"/>
              </w:rPr>
              <w:t>penkios</w:t>
            </w:r>
            <w:r>
              <w:rPr>
                <w:i/>
                <w:kern w:val="2"/>
                <w:szCs w:val="24"/>
              </w:rPr>
              <w:t xml:space="preserve"> </w:t>
            </w:r>
            <w:r w:rsidR="0062303C">
              <w:rPr>
                <w:i/>
                <w:kern w:val="2"/>
                <w:szCs w:val="24"/>
              </w:rPr>
              <w:t>šimtosio</w:t>
            </w:r>
            <w:r w:rsidRPr="00DC774A">
              <w:rPr>
                <w:i/>
                <w:kern w:val="2"/>
                <w:szCs w:val="24"/>
              </w:rPr>
              <w:t>s)</w:t>
            </w:r>
            <w:r w:rsidRPr="0028249F">
              <w:rPr>
                <w:kern w:val="2"/>
                <w:szCs w:val="24"/>
              </w:rPr>
              <w:t xml:space="preserve"> procento dydžio delspinigius nuo neapmokėtos sumos be PVM už kiekvieną vėlavimo dieną.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9.2. Tiekėjui taikomos netesybos</w:t>
            </w:r>
          </w:p>
        </w:tc>
        <w:tc>
          <w:tcPr>
            <w:tcW w:w="7088" w:type="dxa"/>
            <w:gridSpan w:val="2"/>
          </w:tcPr>
          <w:p w:rsidR="00D87DBC" w:rsidRDefault="00D87DBC" w:rsidP="00D87DBC">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C774A">
              <w:rPr>
                <w:i/>
                <w:kern w:val="2"/>
                <w:szCs w:val="24"/>
              </w:rPr>
              <w:t>0,0</w:t>
            </w:r>
            <w:r w:rsidR="0062303C">
              <w:rPr>
                <w:i/>
                <w:kern w:val="2"/>
                <w:szCs w:val="24"/>
              </w:rPr>
              <w:t>5</w:t>
            </w:r>
            <w:r w:rsidRPr="00DC774A">
              <w:rPr>
                <w:i/>
                <w:kern w:val="2"/>
                <w:szCs w:val="24"/>
              </w:rPr>
              <w:t xml:space="preserve"> (</w:t>
            </w:r>
            <w:r w:rsidR="0062303C">
              <w:rPr>
                <w:i/>
                <w:kern w:val="2"/>
                <w:szCs w:val="24"/>
              </w:rPr>
              <w:t>penkios</w:t>
            </w:r>
            <w:r w:rsidRPr="00DC774A">
              <w:rPr>
                <w:i/>
                <w:kern w:val="2"/>
                <w:szCs w:val="24"/>
              </w:rPr>
              <w:t xml:space="preserve"> šimtosios)</w:t>
            </w:r>
            <w:r w:rsidRPr="0028249F">
              <w:rPr>
                <w:kern w:val="2"/>
                <w:szCs w:val="24"/>
              </w:rPr>
              <w:t xml:space="preserve"> </w:t>
            </w:r>
            <w:r>
              <w:rPr>
                <w:color w:val="000000"/>
                <w:kern w:val="2"/>
                <w:szCs w:val="24"/>
              </w:rPr>
              <w:t xml:space="preserve">dydžio delspinigius už kiekvieną uždelstą </w:t>
            </w:r>
            <w:r w:rsidRPr="00DC774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rsidR="00D87DBC" w:rsidRPr="00960970" w:rsidRDefault="00D87DBC" w:rsidP="00D87DBC">
            <w:pPr>
              <w:jc w:val="both"/>
              <w:rPr>
                <w:b/>
                <w:bCs/>
                <w:kern w:val="2"/>
                <w:szCs w:val="24"/>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9.3. Tiekėjui taikoma bauda nutraukus Sutartį dėl esminio Sutarties pažeidimo</w:t>
            </w:r>
          </w:p>
        </w:tc>
        <w:tc>
          <w:tcPr>
            <w:tcW w:w="7088" w:type="dxa"/>
            <w:gridSpan w:val="2"/>
          </w:tcPr>
          <w:p w:rsidR="00D87DBC" w:rsidRPr="009E5442" w:rsidRDefault="00D87DBC" w:rsidP="00D87DB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7088" w:type="dxa"/>
            <w:gridSpan w:val="2"/>
          </w:tcPr>
          <w:p w:rsidR="00D87DBC" w:rsidRPr="006D3986" w:rsidRDefault="00D87DBC" w:rsidP="00E06C4B">
            <w:pPr>
              <w:rPr>
                <w:kern w:val="2"/>
                <w:szCs w:val="24"/>
              </w:rPr>
            </w:pPr>
            <w:r w:rsidRPr="009E5442">
              <w:rPr>
                <w:kern w:val="2"/>
                <w:szCs w:val="24"/>
              </w:rPr>
              <w:t xml:space="preserve"> 300</w:t>
            </w:r>
            <w:r>
              <w:rPr>
                <w:kern w:val="2"/>
                <w:szCs w:val="24"/>
              </w:rPr>
              <w:t>,00</w:t>
            </w:r>
            <w:r w:rsidRPr="006D3986">
              <w:rPr>
                <w:kern w:val="2"/>
                <w:szCs w:val="24"/>
              </w:rPr>
              <w:t xml:space="preserve"> (trys šimtai) Eur</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9.5. Tiekėjui taikomos baudos dėl aplinkosauginių ir (arba) socialinių kriterijų nesilaikymo</w:t>
            </w:r>
          </w:p>
        </w:tc>
        <w:tc>
          <w:tcPr>
            <w:tcW w:w="7088" w:type="dxa"/>
            <w:gridSpan w:val="2"/>
          </w:tcPr>
          <w:p w:rsidR="00D87DBC" w:rsidRPr="00FF2596" w:rsidRDefault="00D87DBC" w:rsidP="00D87DBC">
            <w:pPr>
              <w:jc w:val="both"/>
              <w:rPr>
                <w:kern w:val="2"/>
                <w:szCs w:val="24"/>
              </w:rPr>
            </w:pPr>
            <w:r w:rsidRPr="009E5442">
              <w:rPr>
                <w:iCs/>
                <w:kern w:val="2"/>
                <w:szCs w:val="24"/>
              </w:rPr>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 Eur</w:t>
            </w:r>
            <w:r w:rsidRPr="006D3986">
              <w:rPr>
                <w:iCs/>
                <w:kern w:val="2"/>
                <w:szCs w:val="24"/>
              </w:rPr>
              <w:t xml:space="preserve"> už kiekvieną nesilaikymo atvejį</w:t>
            </w:r>
          </w:p>
          <w:p w:rsidR="00D87DBC" w:rsidRPr="009E5442" w:rsidRDefault="00D87DBC" w:rsidP="00D87DBC">
            <w:pPr>
              <w:rPr>
                <w:kern w:val="2"/>
                <w:szCs w:val="24"/>
              </w:rPr>
            </w:pPr>
          </w:p>
          <w:p w:rsidR="00D87DBC" w:rsidRPr="009E5442" w:rsidRDefault="00D87DBC" w:rsidP="00D87DBC">
            <w:pPr>
              <w:rPr>
                <w:color w:val="4472C4"/>
                <w:kern w:val="2"/>
                <w:szCs w:val="24"/>
              </w:rPr>
            </w:pPr>
          </w:p>
        </w:tc>
      </w:tr>
      <w:tr w:rsidR="00D87DBC" w:rsidRPr="009E5442" w:rsidTr="00242563">
        <w:trPr>
          <w:trHeight w:val="300"/>
        </w:trPr>
        <w:tc>
          <w:tcPr>
            <w:tcW w:w="2830" w:type="dxa"/>
            <w:gridSpan w:val="2"/>
          </w:tcPr>
          <w:p w:rsidR="00D87DBC" w:rsidRPr="00FF2596" w:rsidRDefault="00D87DBC" w:rsidP="00D87DBC">
            <w:pPr>
              <w:rPr>
                <w:b/>
                <w:bCs/>
                <w:kern w:val="2"/>
                <w:szCs w:val="24"/>
              </w:rPr>
            </w:pPr>
            <w:r w:rsidRPr="009E5442">
              <w:rPr>
                <w:b/>
                <w:bCs/>
                <w:kern w:val="2"/>
                <w:szCs w:val="24"/>
              </w:rPr>
              <w:t xml:space="preserve">9.6. </w:t>
            </w:r>
            <w:r>
              <w:rPr>
                <w:b/>
                <w:bCs/>
                <w:kern w:val="2"/>
                <w:szCs w:val="24"/>
              </w:rPr>
              <w:t>Šalims</w:t>
            </w:r>
            <w:r w:rsidRPr="00E73F5F">
              <w:rPr>
                <w:b/>
                <w:bCs/>
                <w:kern w:val="2"/>
                <w:szCs w:val="24"/>
              </w:rPr>
              <w:t xml:space="preserve"> taikoma bauda dėl konfidencialumo reikalavimų nesilaikymo</w:t>
            </w:r>
          </w:p>
        </w:tc>
        <w:tc>
          <w:tcPr>
            <w:tcW w:w="7088" w:type="dxa"/>
            <w:gridSpan w:val="2"/>
          </w:tcPr>
          <w:p w:rsidR="00D87DBC" w:rsidRPr="006D3986" w:rsidRDefault="00D87DBC" w:rsidP="00E06C4B">
            <w:pPr>
              <w:rPr>
                <w:iCs/>
                <w:kern w:val="2"/>
                <w:szCs w:val="24"/>
              </w:rPr>
            </w:pPr>
            <w:r w:rsidRPr="009E5442">
              <w:rPr>
                <w:kern w:val="2"/>
                <w:szCs w:val="24"/>
              </w:rPr>
              <w:t>300</w:t>
            </w:r>
            <w:r>
              <w:rPr>
                <w:kern w:val="2"/>
                <w:szCs w:val="24"/>
              </w:rPr>
              <w:t>,00</w:t>
            </w:r>
            <w:r w:rsidRPr="006D3986">
              <w:rPr>
                <w:kern w:val="2"/>
                <w:szCs w:val="24"/>
              </w:rPr>
              <w:t xml:space="preserve"> (trys šimtai) Eur</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lastRenderedPageBreak/>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7088" w:type="dxa"/>
            <w:gridSpan w:val="2"/>
          </w:tcPr>
          <w:p w:rsidR="00D87DBC" w:rsidRPr="009E5442" w:rsidRDefault="00D87DBC" w:rsidP="00D87DBC">
            <w:pPr>
              <w:rPr>
                <w:i/>
                <w:iCs/>
                <w:color w:val="4472C4"/>
                <w:kern w:val="2"/>
                <w:szCs w:val="24"/>
              </w:rPr>
            </w:pPr>
            <w:r w:rsidRPr="009E5442">
              <w:rPr>
                <w:iCs/>
                <w:kern w:val="2"/>
                <w:szCs w:val="24"/>
              </w:rPr>
              <w:t>Netaikoma</w:t>
            </w:r>
            <w:r w:rsidRPr="009E5442">
              <w:rPr>
                <w:i/>
                <w:iCs/>
                <w:color w:val="4472C4"/>
                <w:kern w:val="2"/>
                <w:szCs w:val="24"/>
              </w:rPr>
              <w:t xml:space="preserve"> </w:t>
            </w:r>
          </w:p>
          <w:p w:rsidR="00D87DBC" w:rsidRPr="009E5442" w:rsidRDefault="00D87DBC" w:rsidP="00D87DBC">
            <w:pPr>
              <w:rPr>
                <w:color w:val="4472C4"/>
                <w:kern w:val="2"/>
                <w:szCs w:val="24"/>
              </w:rPr>
            </w:pPr>
          </w:p>
        </w:tc>
      </w:tr>
      <w:tr w:rsidR="00D87DBC" w:rsidRPr="009E5442" w:rsidTr="00242563">
        <w:trPr>
          <w:trHeight w:val="300"/>
        </w:trPr>
        <w:tc>
          <w:tcPr>
            <w:tcW w:w="2830" w:type="dxa"/>
            <w:gridSpan w:val="2"/>
          </w:tcPr>
          <w:p w:rsidR="00D87DBC" w:rsidRPr="002D66FD" w:rsidRDefault="00D87DBC" w:rsidP="00D87DBC">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7088" w:type="dxa"/>
            <w:gridSpan w:val="2"/>
          </w:tcPr>
          <w:p w:rsidR="00D87DBC" w:rsidRPr="00C062D1" w:rsidRDefault="00D87DBC" w:rsidP="00D87DBC">
            <w:pPr>
              <w:rPr>
                <w:i/>
                <w:iCs/>
                <w:color w:val="4472C4"/>
                <w:kern w:val="2"/>
                <w:szCs w:val="24"/>
              </w:rPr>
            </w:pPr>
            <w:r w:rsidRPr="009E5442">
              <w:rPr>
                <w:iCs/>
                <w:kern w:val="2"/>
                <w:szCs w:val="24"/>
              </w:rPr>
              <w:t>Netaikoma</w:t>
            </w:r>
          </w:p>
        </w:tc>
      </w:tr>
      <w:tr w:rsidR="00D87DBC" w:rsidRPr="009E5442" w:rsidTr="00242563">
        <w:trPr>
          <w:trHeight w:val="300"/>
        </w:trPr>
        <w:tc>
          <w:tcPr>
            <w:tcW w:w="2830" w:type="dxa"/>
            <w:gridSpan w:val="2"/>
          </w:tcPr>
          <w:p w:rsidR="00D87DBC" w:rsidRPr="002D66FD" w:rsidRDefault="00D87DBC" w:rsidP="00D87DBC">
            <w:pPr>
              <w:rPr>
                <w:b/>
                <w:bCs/>
                <w:kern w:val="2"/>
                <w:szCs w:val="24"/>
              </w:rPr>
            </w:pPr>
            <w:r w:rsidRPr="002D66FD">
              <w:rPr>
                <w:b/>
                <w:bCs/>
                <w:kern w:val="2"/>
                <w:szCs w:val="24"/>
              </w:rPr>
              <w:t xml:space="preserve">9.9. </w:t>
            </w:r>
            <w:r w:rsidRPr="009E5442">
              <w:rPr>
                <w:b/>
                <w:bCs/>
                <w:kern w:val="2"/>
                <w:szCs w:val="24"/>
              </w:rPr>
              <w:t>Kitos netesybos / baudos</w:t>
            </w:r>
          </w:p>
        </w:tc>
        <w:tc>
          <w:tcPr>
            <w:tcW w:w="7088" w:type="dxa"/>
            <w:gridSpan w:val="2"/>
          </w:tcPr>
          <w:p w:rsidR="00D87DBC" w:rsidRPr="00F76B26" w:rsidRDefault="00D87DBC" w:rsidP="00D87DBC">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10. SUTARTIES GALIOJIMAS IR KEITIMAS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10.1. Sutarties sudarymas ir įsigaliojimas</w:t>
            </w:r>
          </w:p>
        </w:tc>
        <w:tc>
          <w:tcPr>
            <w:tcW w:w="7088" w:type="dxa"/>
            <w:gridSpan w:val="2"/>
          </w:tcPr>
          <w:p w:rsidR="00D87DBC" w:rsidRDefault="00D87DBC" w:rsidP="00CA5548">
            <w:pPr>
              <w:jc w:val="both"/>
              <w:rPr>
                <w:kern w:val="2"/>
                <w:szCs w:val="24"/>
              </w:rPr>
            </w:pPr>
            <w:r>
              <w:rPr>
                <w:kern w:val="2"/>
                <w:szCs w:val="24"/>
              </w:rPr>
              <w:t>Ši Sutartis laikoma sudaryta ir įsigalioja nuo Sutarties pasirašymo dienos (antrosios Šalies pasirašymo dieną).</w:t>
            </w:r>
          </w:p>
          <w:p w:rsidR="00D87DBC" w:rsidRPr="00D45E48" w:rsidRDefault="00D87DBC" w:rsidP="00A838E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838EB">
              <w:rPr>
                <w:color w:val="000000"/>
                <w:kern w:val="2"/>
                <w:szCs w:val="24"/>
              </w:rPr>
              <w:t>24</w:t>
            </w:r>
            <w:r>
              <w:rPr>
                <w:color w:val="000000"/>
                <w:kern w:val="2"/>
                <w:szCs w:val="24"/>
              </w:rPr>
              <w:t xml:space="preserve"> </w:t>
            </w:r>
            <w:r w:rsidR="00825B09">
              <w:rPr>
                <w:color w:val="000000"/>
                <w:kern w:val="2"/>
                <w:szCs w:val="24"/>
              </w:rPr>
              <w:t>mėnesių</w:t>
            </w:r>
            <w:r w:rsidR="00E06C4B">
              <w:rPr>
                <w:color w:val="000000"/>
                <w:kern w:val="2"/>
                <w:szCs w:val="24"/>
              </w:rPr>
              <w:t>)</w:t>
            </w:r>
            <w:r w:rsidRPr="00D45E48">
              <w:rPr>
                <w:color w:val="000000"/>
                <w:kern w:val="2"/>
                <w:szCs w:val="24"/>
              </w:rPr>
              <w:t>.</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10.2. Sutarties galiojimo termino pratęsimas</w:t>
            </w:r>
          </w:p>
        </w:tc>
        <w:tc>
          <w:tcPr>
            <w:tcW w:w="7088" w:type="dxa"/>
            <w:gridSpan w:val="2"/>
          </w:tcPr>
          <w:p w:rsidR="00D87DBC" w:rsidRPr="009E5442" w:rsidRDefault="00A838EB" w:rsidP="00A838EB">
            <w:pPr>
              <w:jc w:val="both"/>
              <w:rPr>
                <w:i/>
                <w:iCs/>
                <w:kern w:val="2"/>
                <w:szCs w:val="24"/>
              </w:rPr>
            </w:pPr>
            <w:r>
              <w:rPr>
                <w:kern w:val="2"/>
                <w:szCs w:val="24"/>
              </w:rPr>
              <w:t xml:space="preserve">Jei nebus išnaudota Pradinės Sutarties vertė ir nei viena iš Šalių, likus </w:t>
            </w:r>
            <w:r w:rsidRPr="00A838EB">
              <w:rPr>
                <w:color w:val="C00000"/>
                <w:kern w:val="2"/>
                <w:szCs w:val="24"/>
              </w:rPr>
              <w:t xml:space="preserve">(30) kalendorinių </w:t>
            </w:r>
            <w:r>
              <w:rPr>
                <w:kern w:val="2"/>
                <w:szCs w:val="24"/>
              </w:rPr>
              <w:t xml:space="preserve">dienų iki Sutarties pabaigos, nepraneš apie norą ją nutraukti, Sutartis be atskiro rašytinio susitarimo pratęsiama dar </w:t>
            </w:r>
            <w:r w:rsidRPr="00A838EB">
              <w:rPr>
                <w:kern w:val="2"/>
                <w:szCs w:val="24"/>
              </w:rPr>
              <w:t>1 (vieną) kartą 12 (dvylikai) mėnesių</w:t>
            </w:r>
            <w:r>
              <w:rPr>
                <w:kern w:val="2"/>
                <w:szCs w:val="24"/>
              </w:rPr>
              <w:t>.</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11. SUTARTIES NUTRAUKIMAS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11.1. Sutarties nutraukimo pagrindai</w:t>
            </w:r>
          </w:p>
        </w:tc>
        <w:tc>
          <w:tcPr>
            <w:tcW w:w="7088" w:type="dxa"/>
            <w:gridSpan w:val="2"/>
          </w:tcPr>
          <w:p w:rsidR="00D87DBC" w:rsidRPr="006531B4" w:rsidRDefault="00D87DBC" w:rsidP="00D87DBC">
            <w:pPr>
              <w:jc w:val="both"/>
              <w:rPr>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11.2. Esminiai Sutarties pažeidimai</w:t>
            </w:r>
          </w:p>
          <w:p w:rsidR="00D87DBC" w:rsidRPr="009E5442" w:rsidRDefault="00D87DBC" w:rsidP="00D87DBC">
            <w:pPr>
              <w:rPr>
                <w:b/>
                <w:bCs/>
                <w:kern w:val="2"/>
                <w:szCs w:val="24"/>
              </w:rPr>
            </w:pPr>
          </w:p>
        </w:tc>
        <w:tc>
          <w:tcPr>
            <w:tcW w:w="7088" w:type="dxa"/>
            <w:gridSpan w:val="2"/>
          </w:tcPr>
          <w:p w:rsidR="00D87DBC" w:rsidRPr="009E5442" w:rsidRDefault="00D87DBC" w:rsidP="00D87DBC">
            <w:pPr>
              <w:rPr>
                <w:kern w:val="2"/>
                <w:szCs w:val="24"/>
              </w:rPr>
            </w:pPr>
            <w:r w:rsidRPr="009E5442">
              <w:rPr>
                <w:kern w:val="2"/>
                <w:szCs w:val="24"/>
              </w:rPr>
              <w:t>11.2.1. jeigu Tiekėjas nevykdo prisiimtų įsipar</w:t>
            </w:r>
            <w:r>
              <w:rPr>
                <w:kern w:val="2"/>
                <w:szCs w:val="24"/>
              </w:rPr>
              <w:t>eigojimų už Sut</w:t>
            </w:r>
            <w:r w:rsidR="00CA5548">
              <w:rPr>
                <w:kern w:val="2"/>
                <w:szCs w:val="24"/>
              </w:rPr>
              <w:t>artyje nustatytus</w:t>
            </w:r>
            <w:r w:rsidRPr="009E5442">
              <w:rPr>
                <w:kern w:val="2"/>
                <w:szCs w:val="24"/>
              </w:rPr>
              <w:t xml:space="preserve"> Sutarties </w:t>
            </w:r>
            <w:r w:rsidR="00CA5548">
              <w:rPr>
                <w:kern w:val="2"/>
                <w:szCs w:val="24"/>
              </w:rPr>
              <w:t>įkainius</w:t>
            </w:r>
            <w:r w:rsidRPr="009E5442">
              <w:rPr>
                <w:kern w:val="2"/>
                <w:szCs w:val="24"/>
              </w:rPr>
              <w:t>;</w:t>
            </w:r>
          </w:p>
          <w:p w:rsidR="00D87DBC" w:rsidRPr="002D66FD" w:rsidRDefault="00D87DBC" w:rsidP="00D87DBC">
            <w:pPr>
              <w:spacing w:line="257" w:lineRule="auto"/>
              <w:jc w:val="both"/>
              <w:rPr>
                <w:rFonts w:eastAsia="Arial"/>
                <w:kern w:val="2"/>
                <w:szCs w:val="24"/>
              </w:rPr>
            </w:pPr>
            <w:r w:rsidRPr="002D66FD">
              <w:rPr>
                <w:rFonts w:eastAsia="Arial"/>
                <w:kern w:val="2"/>
                <w:szCs w:val="24"/>
              </w:rPr>
              <w:t xml:space="preserve">11.2.3. jeigu Tiekėjas nesilaiko Sutartyje nustatytų Prekių tiekimo terminų </w:t>
            </w:r>
            <w:r w:rsidR="00B91DFB">
              <w:rPr>
                <w:rFonts w:eastAsia="Arial"/>
                <w:kern w:val="2"/>
                <w:szCs w:val="24"/>
              </w:rPr>
              <w:t>3 (tris) kartus iš eilės arba</w:t>
            </w:r>
            <w:r w:rsidRPr="002D66FD">
              <w:rPr>
                <w:rFonts w:eastAsia="Arial"/>
                <w:kern w:val="2"/>
                <w:szCs w:val="24"/>
              </w:rPr>
              <w:t xml:space="preserve"> vėluoja pristatyti Prekes pagal Sutartyje nustatytą Prekių pristatymo terminą</w:t>
            </w:r>
            <w:r w:rsidR="00B91DFB">
              <w:rPr>
                <w:rFonts w:eastAsia="Arial"/>
                <w:kern w:val="2"/>
                <w:szCs w:val="24"/>
              </w:rPr>
              <w:t xml:space="preserve"> daugiau nei 10 (dešimt) dienų</w:t>
            </w:r>
            <w:r w:rsidRPr="002D66FD">
              <w:rPr>
                <w:rFonts w:eastAsia="Arial"/>
                <w:kern w:val="2"/>
                <w:szCs w:val="24"/>
              </w:rPr>
              <w:t>;</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 jeigu Tiekėjas pažeidžia Prekių pristatymo terminus ir priskaičiuotų netesybų už vėlavimą suma viršija 20 (dvidešimt) proc. Pradinės sutarties vertės;</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 Tiekėjas pažeidžia Prekių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 Tiekėjas daugiau kaip 2 (du) kartus pristato Prekes, kurios neatitinka Sutartyje ir / ar Įstatymuose nustatytų reikalavimų Prekėms;</w:t>
            </w:r>
          </w:p>
          <w:p w:rsidR="00D87DBC" w:rsidRPr="00DC774A" w:rsidRDefault="00D87DBC" w:rsidP="00D87DBC">
            <w:pPr>
              <w:spacing w:line="257" w:lineRule="auto"/>
              <w:jc w:val="both"/>
              <w:rPr>
                <w:rFonts w:eastAsia="Arial"/>
                <w:kern w:val="2"/>
                <w:szCs w:val="24"/>
              </w:rPr>
            </w:pPr>
            <w:r w:rsidRPr="002D66FD">
              <w:rPr>
                <w:rFonts w:eastAsia="Arial"/>
                <w:kern w:val="2"/>
                <w:szCs w:val="24"/>
              </w:rPr>
              <w:lastRenderedPageBreak/>
              <w:t>11.2.7. Tiekėjas pažeidžia Bendrųjų sąlygų nuostatas dėl Sutarties vykdymui pasitelkiamų naujų subtiekėjų / esamų subtiekėjų keitimo.</w:t>
            </w:r>
          </w:p>
        </w:tc>
      </w:tr>
      <w:tr w:rsidR="00D87DBC" w:rsidRPr="009E5442" w:rsidTr="00242563">
        <w:trPr>
          <w:trHeight w:val="300"/>
        </w:trPr>
        <w:tc>
          <w:tcPr>
            <w:tcW w:w="9918" w:type="dxa"/>
            <w:gridSpan w:val="4"/>
          </w:tcPr>
          <w:p w:rsidR="009F012F" w:rsidRDefault="00D87DBC" w:rsidP="009F012F">
            <w:pPr>
              <w:jc w:val="center"/>
              <w:rPr>
                <w:b/>
                <w:bCs/>
                <w:kern w:val="2"/>
                <w:szCs w:val="24"/>
              </w:rPr>
            </w:pPr>
            <w:r w:rsidRPr="009E5442">
              <w:rPr>
                <w:b/>
                <w:bCs/>
                <w:kern w:val="2"/>
                <w:szCs w:val="24"/>
              </w:rPr>
              <w:lastRenderedPageBreak/>
              <w:t>12. APLINKOSAUGINIAI IR SOCIALINIAI KRITERIJAI</w:t>
            </w:r>
          </w:p>
          <w:p w:rsidR="00D87DBC" w:rsidRPr="009E5442" w:rsidRDefault="00D87DBC" w:rsidP="009F012F">
            <w:pPr>
              <w:rPr>
                <w:i/>
                <w:iCs/>
                <w:kern w:val="2"/>
                <w:szCs w:val="24"/>
              </w:rPr>
            </w:pPr>
            <w:r w:rsidRPr="009E5442">
              <w:rPr>
                <w:i/>
                <w:iCs/>
                <w:kern w:val="2"/>
                <w:szCs w:val="24"/>
              </w:rPr>
              <w:t>(taikoma, jeigu aplinkosauginiai ir (arba) socialiniai kriterijai nustatomi kaip Sutarties vykdymo sąlygos)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12.1. Aplinkosauginių kriterijų nustatymo teisinis pagrindas</w:t>
            </w:r>
          </w:p>
        </w:tc>
        <w:tc>
          <w:tcPr>
            <w:tcW w:w="7088" w:type="dxa"/>
            <w:gridSpan w:val="2"/>
          </w:tcPr>
          <w:p w:rsidR="00D87DBC" w:rsidRPr="00FF2596" w:rsidRDefault="00D87DBC" w:rsidP="00B53899">
            <w:pPr>
              <w:jc w:val="both"/>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00B91DFB">
              <w:rPr>
                <w:color w:val="000000"/>
                <w:kern w:val="2"/>
                <w:szCs w:val="24"/>
                <w:shd w:val="clear" w:color="auto" w:fill="FFFFFF"/>
              </w:rPr>
              <w:t xml:space="preserve"> </w:t>
            </w:r>
            <w:r w:rsidR="00B91DFB" w:rsidRPr="00BF53D5">
              <w:rPr>
                <w:szCs w:val="24"/>
              </w:rPr>
              <w:t>4.4</w:t>
            </w:r>
            <w:r w:rsidR="00B91DFB">
              <w:rPr>
                <w:szCs w:val="24"/>
              </w:rPr>
              <w:t>.4</w:t>
            </w:r>
            <w:r w:rsidR="00B91DFB" w:rsidRPr="00BF53D5">
              <w:rPr>
                <w:szCs w:val="24"/>
              </w:rPr>
              <w:t xml:space="preserve"> </w:t>
            </w:r>
            <w:r w:rsidR="00B91DFB">
              <w:rPr>
                <w:szCs w:val="24"/>
              </w:rPr>
              <w:t>papunkčiu</w:t>
            </w:r>
            <w:r w:rsidRPr="00FF2596">
              <w:rPr>
                <w:color w:val="000000"/>
                <w:kern w:val="2"/>
                <w:szCs w:val="24"/>
                <w:shd w:val="clear" w:color="auto" w:fill="FFFFFF"/>
              </w:rPr>
              <w:t>.</w:t>
            </w:r>
            <w:r w:rsidRPr="00FF2596">
              <w:rPr>
                <w:color w:val="000000"/>
                <w:kern w:val="2"/>
                <w:szCs w:val="24"/>
              </w:rPr>
              <w:t>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7088" w:type="dxa"/>
            <w:gridSpan w:val="2"/>
          </w:tcPr>
          <w:p w:rsidR="00D87DBC" w:rsidRPr="007F073C" w:rsidRDefault="00D87DBC" w:rsidP="00D87DBC">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7088" w:type="dxa"/>
            <w:gridSpan w:val="2"/>
          </w:tcPr>
          <w:p w:rsidR="00D87DBC" w:rsidRPr="009E5442" w:rsidRDefault="00D87DBC" w:rsidP="00D87DBC">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16</w:t>
            </w:r>
            <w:r w:rsidRPr="009E5442">
              <w:rPr>
                <w:kern w:val="2"/>
                <w:szCs w:val="24"/>
                <w:shd w:val="clear" w:color="auto" w:fill="FFFFFF"/>
              </w:rPr>
              <w:t>:00 val., penktadieniais ir švenčių d</w:t>
            </w:r>
            <w:r>
              <w:rPr>
                <w:kern w:val="2"/>
                <w:szCs w:val="24"/>
                <w:shd w:val="clear" w:color="auto" w:fill="FFFFFF"/>
              </w:rPr>
              <w:t xml:space="preserve">ienų išvakarėse </w:t>
            </w:r>
            <w:r w:rsidRPr="009E5442">
              <w:rPr>
                <w:kern w:val="2"/>
                <w:szCs w:val="24"/>
                <w:shd w:val="clear" w:color="auto" w:fill="FFFFFF"/>
              </w:rPr>
              <w:t xml:space="preserve">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15</w:t>
            </w:r>
            <w:r w:rsidRPr="009E5442">
              <w:rPr>
                <w:kern w:val="2"/>
                <w:szCs w:val="24"/>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7088" w:type="dxa"/>
            <w:gridSpan w:val="2"/>
          </w:tcPr>
          <w:p w:rsidR="00D87DBC" w:rsidRPr="00FF2596" w:rsidRDefault="00D87DBC" w:rsidP="00D87DBC">
            <w:pPr>
              <w:rPr>
                <w:kern w:val="2"/>
                <w:szCs w:val="24"/>
              </w:rPr>
            </w:pPr>
            <w:r w:rsidRPr="00FF2596">
              <w:rPr>
                <w:kern w:val="2"/>
                <w:szCs w:val="24"/>
              </w:rPr>
              <w:t>Netaikoma</w:t>
            </w:r>
          </w:p>
          <w:p w:rsidR="00D87DBC" w:rsidRPr="009E5442" w:rsidRDefault="00D87DBC" w:rsidP="00D87DBC">
            <w:pPr>
              <w:rPr>
                <w:kern w:val="2"/>
                <w:szCs w:val="24"/>
              </w:rPr>
            </w:pPr>
          </w:p>
          <w:p w:rsidR="00D87DBC" w:rsidRPr="009E5442" w:rsidRDefault="00D87DBC" w:rsidP="00D87DBC">
            <w:pPr>
              <w:jc w:val="both"/>
              <w:rPr>
                <w:color w:val="FF0000"/>
                <w:szCs w:val="24"/>
                <w:shd w:val="clear" w:color="auto" w:fill="FFFFFF"/>
              </w:rPr>
            </w:pPr>
          </w:p>
          <w:p w:rsidR="00D87DBC" w:rsidRPr="002D66FD" w:rsidRDefault="00D87DBC" w:rsidP="00D87DBC">
            <w:pPr>
              <w:rPr>
                <w:color w:val="008080"/>
                <w:kern w:val="2"/>
                <w:szCs w:val="24"/>
                <w:u w:val="single"/>
                <w:shd w:val="clear" w:color="auto" w:fill="FFFFFF"/>
              </w:rPr>
            </w:pPr>
          </w:p>
          <w:p w:rsidR="00D87DBC" w:rsidRPr="009E5442" w:rsidRDefault="00D87DBC" w:rsidP="00D87DBC">
            <w:pPr>
              <w:jc w:val="both"/>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Pr>
                <w:b/>
                <w:bCs/>
                <w:kern w:val="2"/>
                <w:szCs w:val="24"/>
              </w:rPr>
              <w:t>12.5</w:t>
            </w:r>
            <w:r w:rsidRPr="009E5442">
              <w:rPr>
                <w:b/>
                <w:bCs/>
                <w:kern w:val="2"/>
                <w:szCs w:val="24"/>
              </w:rPr>
              <w:t>. Su perkamomis Prekėmis susiję socialiniai kriterijai</w:t>
            </w:r>
          </w:p>
        </w:tc>
        <w:tc>
          <w:tcPr>
            <w:tcW w:w="7088" w:type="dxa"/>
            <w:gridSpan w:val="2"/>
          </w:tcPr>
          <w:p w:rsidR="00D87DBC" w:rsidRPr="009E5442" w:rsidRDefault="00D87DBC" w:rsidP="00D87DBC">
            <w:pPr>
              <w:rPr>
                <w:color w:val="000000"/>
                <w:kern w:val="2"/>
                <w:szCs w:val="24"/>
                <w:shd w:val="clear" w:color="auto" w:fill="FFFFFF"/>
              </w:rPr>
            </w:pPr>
            <w:r w:rsidRPr="009E5442">
              <w:rPr>
                <w:color w:val="000000"/>
                <w:kern w:val="2"/>
                <w:szCs w:val="24"/>
                <w:shd w:val="clear" w:color="auto" w:fill="FFFFFF"/>
              </w:rPr>
              <w:t>Netaikoma</w:t>
            </w:r>
          </w:p>
          <w:p w:rsidR="00D87DBC" w:rsidRPr="009E5442" w:rsidRDefault="00D87DBC" w:rsidP="00D87DBC">
            <w:pPr>
              <w:rPr>
                <w:color w:val="000000"/>
                <w:kern w:val="2"/>
                <w:szCs w:val="24"/>
                <w:shd w:val="clear" w:color="auto" w:fill="FFFFFF"/>
              </w:rPr>
            </w:pPr>
          </w:p>
          <w:p w:rsidR="00D87DBC" w:rsidRPr="009E5442" w:rsidRDefault="00D87DBC" w:rsidP="00D87DBC">
            <w:pPr>
              <w:rPr>
                <w:color w:val="0070C0"/>
                <w:kern w:val="2"/>
                <w:szCs w:val="24"/>
              </w:rPr>
            </w:pPr>
          </w:p>
        </w:tc>
      </w:tr>
      <w:tr w:rsidR="00D87DBC" w:rsidRPr="009E5442" w:rsidTr="00242563">
        <w:trPr>
          <w:trHeight w:val="300"/>
        </w:trPr>
        <w:tc>
          <w:tcPr>
            <w:tcW w:w="9918" w:type="dxa"/>
            <w:gridSpan w:val="4"/>
          </w:tcPr>
          <w:p w:rsidR="00D87DBC" w:rsidRPr="009E5442" w:rsidRDefault="00D87DBC" w:rsidP="00242563">
            <w:pPr>
              <w:jc w:val="center"/>
              <w:rPr>
                <w:i/>
                <w:iCs/>
                <w:kern w:val="2"/>
                <w:szCs w:val="24"/>
              </w:rPr>
            </w:pPr>
            <w:r w:rsidRPr="009E5442">
              <w:rPr>
                <w:b/>
                <w:bCs/>
                <w:kern w:val="2"/>
                <w:szCs w:val="24"/>
              </w:rPr>
              <w:lastRenderedPageBreak/>
              <w:t xml:space="preserve">13. BENDRŲJŲ SĄLYGŲ PAKEITIMAI IR PAPILDYMAI </w:t>
            </w: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 xml:space="preserve">13.1. </w:t>
            </w:r>
          </w:p>
        </w:tc>
        <w:tc>
          <w:tcPr>
            <w:tcW w:w="6846" w:type="dxa"/>
            <w:gridSpan w:val="2"/>
          </w:tcPr>
          <w:p w:rsidR="00242563" w:rsidRPr="00C35E23" w:rsidRDefault="00242563" w:rsidP="0005247B">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rsidR="00242563" w:rsidRPr="002C44CA" w:rsidRDefault="00242563" w:rsidP="0005247B">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3" w:tgtFrame="_blank" w:history="1">
              <w:r w:rsidRPr="005C01B1">
                <w:rPr>
                  <w:rStyle w:val="Hipersaitas"/>
                  <w:szCs w:val="24"/>
                </w:rPr>
                <w:t>https://sabis.nbfc.lt/</w:t>
              </w:r>
            </w:hyperlink>
            <w:r w:rsidRPr="005C01B1">
              <w:rPr>
                <w:szCs w:val="24"/>
              </w:rPr>
              <w:t xml:space="preserve">). </w:t>
            </w:r>
          </w:p>
          <w:p w:rsidR="00242563" w:rsidRPr="002C44CA" w:rsidRDefault="00242563" w:rsidP="0005247B">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4" w:tgtFrame="_blank" w:history="1">
              <w:r w:rsidRPr="005C01B1">
                <w:rPr>
                  <w:rStyle w:val="Hipersaitas"/>
                  <w:szCs w:val="24"/>
                </w:rPr>
                <w:t>https://sabis.nbfc.lt/</w:t>
              </w:r>
            </w:hyperlink>
            <w:r w:rsidRPr="005C01B1">
              <w:rPr>
                <w:szCs w:val="24"/>
              </w:rPr>
              <w:t xml:space="preserve">). </w:t>
            </w:r>
          </w:p>
          <w:p w:rsidR="00242563" w:rsidRDefault="00242563" w:rsidP="0005247B">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13.2.</w:t>
            </w:r>
          </w:p>
        </w:tc>
        <w:tc>
          <w:tcPr>
            <w:tcW w:w="6846" w:type="dxa"/>
            <w:gridSpan w:val="2"/>
          </w:tcPr>
          <w:p w:rsidR="00242563" w:rsidRDefault="00242563" w:rsidP="0005247B">
            <w:pPr>
              <w:jc w:val="both"/>
              <w:rPr>
                <w:kern w:val="2"/>
                <w:szCs w:val="24"/>
              </w:rPr>
            </w:pPr>
            <w:r>
              <w:rPr>
                <w:kern w:val="2"/>
                <w:szCs w:val="24"/>
              </w:rPr>
              <w:t>Šalys susitaria papildyti Sutarties Bendrąsias sąlygas nurodytu punktu, tačiau kitų punktų numeracijos nekeisti: ________.</w:t>
            </w: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13.3.</w:t>
            </w:r>
          </w:p>
        </w:tc>
        <w:tc>
          <w:tcPr>
            <w:tcW w:w="6846" w:type="dxa"/>
            <w:gridSpan w:val="2"/>
          </w:tcPr>
          <w:p w:rsidR="00242563" w:rsidRDefault="00242563" w:rsidP="0005247B">
            <w:pPr>
              <w:jc w:val="both"/>
              <w:rPr>
                <w:kern w:val="2"/>
                <w:szCs w:val="24"/>
              </w:rPr>
            </w:pPr>
            <w:r>
              <w:rPr>
                <w:kern w:val="2"/>
                <w:szCs w:val="24"/>
              </w:rPr>
              <w:t>Šalys susitaria išbraukti nurodytą Sutarties Bendrųjų sąlygų punktą, tačiau kitų punktų numeracijos nekeisti: _____.</w:t>
            </w: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13.4.</w:t>
            </w:r>
          </w:p>
        </w:tc>
        <w:tc>
          <w:tcPr>
            <w:tcW w:w="6846" w:type="dxa"/>
            <w:gridSpan w:val="2"/>
          </w:tcPr>
          <w:p w:rsidR="00242563" w:rsidRDefault="00242563" w:rsidP="0005247B">
            <w:pPr>
              <w:rPr>
                <w:color w:val="0070C0"/>
                <w:kern w:val="2"/>
                <w:szCs w:val="24"/>
              </w:rPr>
            </w:pP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13.5.</w:t>
            </w:r>
          </w:p>
        </w:tc>
        <w:tc>
          <w:tcPr>
            <w:tcW w:w="6846" w:type="dxa"/>
            <w:gridSpan w:val="2"/>
          </w:tcPr>
          <w:p w:rsidR="00242563" w:rsidRDefault="00242563" w:rsidP="0005247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87DBC" w:rsidRPr="009E5442" w:rsidTr="00242563">
        <w:trPr>
          <w:trHeight w:val="342"/>
        </w:trPr>
        <w:tc>
          <w:tcPr>
            <w:tcW w:w="9918" w:type="dxa"/>
            <w:gridSpan w:val="4"/>
          </w:tcPr>
          <w:p w:rsidR="00D87DBC" w:rsidRPr="009E5442" w:rsidRDefault="00D87DBC" w:rsidP="00D87DBC">
            <w:pPr>
              <w:jc w:val="center"/>
              <w:rPr>
                <w:b/>
                <w:bCs/>
                <w:kern w:val="2"/>
                <w:szCs w:val="24"/>
              </w:rPr>
            </w:pPr>
            <w:r w:rsidRPr="009E5442">
              <w:rPr>
                <w:b/>
                <w:bCs/>
                <w:kern w:val="2"/>
                <w:szCs w:val="24"/>
              </w:rPr>
              <w:t>14. SUTARTIES PRIEDAI</w:t>
            </w:r>
          </w:p>
        </w:tc>
      </w:tr>
      <w:tr w:rsidR="00D87DBC" w:rsidRPr="009E5442" w:rsidTr="00242563">
        <w:trPr>
          <w:trHeight w:val="300"/>
        </w:trPr>
        <w:tc>
          <w:tcPr>
            <w:tcW w:w="2830" w:type="dxa"/>
            <w:gridSpan w:val="2"/>
          </w:tcPr>
          <w:p w:rsidR="00D87DBC" w:rsidRPr="009E5442" w:rsidRDefault="00D87DBC" w:rsidP="00D87DBC">
            <w:pPr>
              <w:jc w:val="center"/>
              <w:rPr>
                <w:b/>
                <w:bCs/>
                <w:kern w:val="2"/>
                <w:szCs w:val="24"/>
              </w:rPr>
            </w:pPr>
            <w:r w:rsidRPr="009E5442">
              <w:rPr>
                <w:b/>
                <w:bCs/>
                <w:kern w:val="2"/>
                <w:szCs w:val="24"/>
              </w:rPr>
              <w:t>14.1. Priedas Nr. 1</w:t>
            </w:r>
          </w:p>
        </w:tc>
        <w:tc>
          <w:tcPr>
            <w:tcW w:w="7088" w:type="dxa"/>
            <w:gridSpan w:val="2"/>
          </w:tcPr>
          <w:p w:rsidR="00D87DBC" w:rsidRPr="009E5442" w:rsidRDefault="00D87DBC" w:rsidP="00D87DBC">
            <w:pPr>
              <w:jc w:val="both"/>
              <w:rPr>
                <w:b/>
                <w:bCs/>
                <w:kern w:val="2"/>
                <w:szCs w:val="24"/>
              </w:rPr>
            </w:pPr>
            <w:r w:rsidRPr="009E5442">
              <w:rPr>
                <w:b/>
                <w:bCs/>
                <w:kern w:val="2"/>
                <w:szCs w:val="24"/>
              </w:rPr>
              <w:t>Techninė specifikacija</w:t>
            </w:r>
          </w:p>
        </w:tc>
      </w:tr>
      <w:tr w:rsidR="00D87DBC" w:rsidRPr="009E5442" w:rsidTr="00242563">
        <w:trPr>
          <w:trHeight w:val="300"/>
        </w:trPr>
        <w:tc>
          <w:tcPr>
            <w:tcW w:w="2830" w:type="dxa"/>
            <w:gridSpan w:val="2"/>
          </w:tcPr>
          <w:p w:rsidR="00D87DBC" w:rsidRPr="009E5442" w:rsidRDefault="00D87DBC" w:rsidP="00D87DBC">
            <w:pPr>
              <w:jc w:val="center"/>
              <w:rPr>
                <w:b/>
                <w:bCs/>
                <w:kern w:val="2"/>
                <w:szCs w:val="24"/>
              </w:rPr>
            </w:pPr>
            <w:r w:rsidRPr="009E5442">
              <w:rPr>
                <w:b/>
                <w:bCs/>
                <w:kern w:val="2"/>
                <w:szCs w:val="24"/>
              </w:rPr>
              <w:t>14.2. Priedas Nr. 2</w:t>
            </w:r>
          </w:p>
        </w:tc>
        <w:tc>
          <w:tcPr>
            <w:tcW w:w="7088" w:type="dxa"/>
            <w:gridSpan w:val="2"/>
          </w:tcPr>
          <w:p w:rsidR="00D87DBC" w:rsidRPr="009E5442" w:rsidRDefault="00D87DBC" w:rsidP="00D87DBC">
            <w:pPr>
              <w:jc w:val="both"/>
              <w:rPr>
                <w:b/>
                <w:bCs/>
                <w:kern w:val="2"/>
                <w:szCs w:val="24"/>
              </w:rPr>
            </w:pPr>
            <w:r w:rsidRPr="009E5442">
              <w:rPr>
                <w:b/>
                <w:bCs/>
                <w:kern w:val="2"/>
                <w:szCs w:val="24"/>
              </w:rPr>
              <w:t>Pasiūlymas</w:t>
            </w:r>
          </w:p>
        </w:tc>
      </w:tr>
      <w:tr w:rsidR="00D87DBC" w:rsidRPr="009E5442" w:rsidTr="00242563">
        <w:trPr>
          <w:trHeight w:val="300"/>
        </w:trPr>
        <w:tc>
          <w:tcPr>
            <w:tcW w:w="2830" w:type="dxa"/>
            <w:gridSpan w:val="2"/>
          </w:tcPr>
          <w:p w:rsidR="00D87DBC" w:rsidRPr="009E5442" w:rsidRDefault="00D87DBC" w:rsidP="00D87DBC">
            <w:pPr>
              <w:jc w:val="center"/>
              <w:rPr>
                <w:b/>
                <w:bCs/>
                <w:kern w:val="2"/>
                <w:szCs w:val="24"/>
              </w:rPr>
            </w:pPr>
            <w:r w:rsidRPr="009E5442">
              <w:rPr>
                <w:b/>
                <w:bCs/>
                <w:kern w:val="2"/>
                <w:szCs w:val="24"/>
              </w:rPr>
              <w:t>14.3. Priedas Nr. 3</w:t>
            </w:r>
          </w:p>
        </w:tc>
        <w:tc>
          <w:tcPr>
            <w:tcW w:w="7088" w:type="dxa"/>
            <w:gridSpan w:val="2"/>
          </w:tcPr>
          <w:p w:rsidR="00D87DBC" w:rsidRPr="009E5442" w:rsidRDefault="00D87DBC" w:rsidP="00D87DBC">
            <w:pPr>
              <w:jc w:val="both"/>
              <w:rPr>
                <w:b/>
                <w:bCs/>
                <w:kern w:val="2"/>
                <w:szCs w:val="24"/>
              </w:rPr>
            </w:pPr>
            <w:r w:rsidRPr="009E5442">
              <w:rPr>
                <w:b/>
                <w:kern w:val="2"/>
                <w:szCs w:val="24"/>
              </w:rPr>
              <w:t>Sutarties vykdymui pasitelkiami subtiekėjai</w:t>
            </w:r>
            <w:r w:rsidR="00B91DFB">
              <w:rPr>
                <w:b/>
                <w:kern w:val="2"/>
                <w:szCs w:val="24"/>
              </w:rPr>
              <w:t xml:space="preserve"> </w:t>
            </w:r>
            <w:r w:rsidR="00B91DFB" w:rsidRPr="00B91DFB">
              <w:rPr>
                <w:i/>
                <w:kern w:val="2"/>
                <w:szCs w:val="24"/>
              </w:rPr>
              <w:t>(jeigu yra)</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60770C" w:rsidRPr="009E5442" w:rsidTr="009F012F">
        <w:tc>
          <w:tcPr>
            <w:tcW w:w="9918"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9F012F">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5130" w:type="dxa"/>
          </w:tcPr>
          <w:p w:rsidR="0060770C" w:rsidRPr="009E5442" w:rsidRDefault="0060770C" w:rsidP="00882136">
            <w:pPr>
              <w:jc w:val="center"/>
              <w:rPr>
                <w:b/>
                <w:bCs/>
                <w:kern w:val="2"/>
                <w:szCs w:val="24"/>
              </w:rPr>
            </w:pPr>
            <w:r w:rsidRPr="009E5442">
              <w:rPr>
                <w:b/>
                <w:bCs/>
                <w:kern w:val="2"/>
                <w:szCs w:val="24"/>
              </w:rPr>
              <w:t>TIEKĖJAS</w:t>
            </w:r>
          </w:p>
        </w:tc>
      </w:tr>
      <w:tr w:rsidR="00921288" w:rsidRPr="00821ACA" w:rsidTr="009F012F">
        <w:tc>
          <w:tcPr>
            <w:tcW w:w="4788" w:type="dxa"/>
          </w:tcPr>
          <w:p w:rsidR="00921288" w:rsidRPr="009E5442" w:rsidRDefault="00921288" w:rsidP="00921288">
            <w:pPr>
              <w:jc w:val="both"/>
              <w:rPr>
                <w:i/>
                <w:iCs/>
                <w:color w:val="4472C4"/>
                <w:kern w:val="2"/>
                <w:szCs w:val="24"/>
              </w:rPr>
            </w:pPr>
            <w:r>
              <w:t>Vyriausiasis gydytojas</w:t>
            </w:r>
            <w:r w:rsidRPr="009E5442">
              <w:t xml:space="preserve"> </w:t>
            </w:r>
            <w:proofErr w:type="spellStart"/>
            <w:r>
              <w:t>Romaldas</w:t>
            </w:r>
            <w:proofErr w:type="spellEnd"/>
            <w:r>
              <w:t xml:space="preserve"> Sakalauskas</w:t>
            </w:r>
          </w:p>
        </w:tc>
        <w:tc>
          <w:tcPr>
            <w:tcW w:w="5130" w:type="dxa"/>
          </w:tcPr>
          <w:p w:rsidR="00921288" w:rsidRPr="00417027" w:rsidRDefault="00921288" w:rsidP="00921288">
            <w:pPr>
              <w:jc w:val="center"/>
              <w:rPr>
                <w:b/>
                <w:bCs/>
                <w:kern w:val="2"/>
                <w:szCs w:val="24"/>
              </w:rPr>
            </w:pPr>
          </w:p>
        </w:tc>
      </w:tr>
      <w:tr w:rsidR="0060770C" w:rsidRPr="009E5442" w:rsidTr="009F012F">
        <w:trPr>
          <w:trHeight w:val="699"/>
        </w:trPr>
        <w:tc>
          <w:tcPr>
            <w:tcW w:w="4788" w:type="dxa"/>
          </w:tcPr>
          <w:p w:rsidR="0060770C" w:rsidRPr="00821ACA" w:rsidRDefault="0060770C" w:rsidP="00882136">
            <w:pPr>
              <w:jc w:val="center"/>
              <w:rPr>
                <w:bCs/>
                <w:i/>
                <w:iCs/>
                <w:kern w:val="2"/>
                <w:szCs w:val="24"/>
              </w:rPr>
            </w:pPr>
          </w:p>
          <w:p w:rsidR="0060770C" w:rsidRPr="00821ACA" w:rsidRDefault="0060770C" w:rsidP="00882136">
            <w:pPr>
              <w:jc w:val="center"/>
              <w:rPr>
                <w:bCs/>
                <w:i/>
                <w:iCs/>
                <w:kern w:val="2"/>
                <w:szCs w:val="24"/>
              </w:rPr>
            </w:pPr>
            <w:r w:rsidRPr="00821ACA">
              <w:rPr>
                <w:bCs/>
                <w:i/>
                <w:iCs/>
                <w:kern w:val="2"/>
                <w:szCs w:val="24"/>
              </w:rPr>
              <w:t>(parašas)</w:t>
            </w:r>
          </w:p>
          <w:p w:rsidR="0060770C" w:rsidRPr="00821ACA" w:rsidRDefault="0060770C" w:rsidP="00882136">
            <w:pPr>
              <w:jc w:val="center"/>
              <w:rPr>
                <w:bCs/>
                <w:i/>
                <w:iCs/>
                <w:kern w:val="2"/>
                <w:szCs w:val="24"/>
              </w:rPr>
            </w:pPr>
          </w:p>
        </w:tc>
        <w:tc>
          <w:tcPr>
            <w:tcW w:w="5130" w:type="dxa"/>
          </w:tcPr>
          <w:p w:rsidR="0060770C" w:rsidRPr="00821ACA" w:rsidRDefault="0060770C" w:rsidP="00882136">
            <w:pPr>
              <w:jc w:val="center"/>
              <w:rPr>
                <w:bCs/>
                <w:i/>
                <w:iCs/>
                <w:kern w:val="2"/>
                <w:szCs w:val="24"/>
              </w:rPr>
            </w:pPr>
          </w:p>
          <w:p w:rsidR="0060770C" w:rsidRPr="00821ACA" w:rsidRDefault="0060770C" w:rsidP="00882136">
            <w:pPr>
              <w:jc w:val="center"/>
              <w:rPr>
                <w:bCs/>
                <w:i/>
                <w:iCs/>
                <w:kern w:val="2"/>
                <w:szCs w:val="24"/>
              </w:rPr>
            </w:pPr>
            <w:r w:rsidRPr="00821ACA">
              <w:rPr>
                <w:bCs/>
                <w:i/>
                <w:iCs/>
                <w:kern w:val="2"/>
                <w:szCs w:val="24"/>
              </w:rPr>
              <w:t>(parašas)</w:t>
            </w:r>
          </w:p>
        </w:tc>
      </w:tr>
    </w:tbl>
    <w:p w:rsidR="00821ACA" w:rsidRPr="009E5442" w:rsidRDefault="00821ACA">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821ACA" w:rsidRPr="009E5442" w:rsidSect="009F012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DDC" w:rsidRDefault="00996DDC" w:rsidP="0060770C">
      <w:r>
        <w:separator/>
      </w:r>
    </w:p>
  </w:endnote>
  <w:endnote w:type="continuationSeparator" w:id="0">
    <w:p w:rsidR="00996DDC" w:rsidRDefault="00996DDC"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DDC" w:rsidRDefault="00996DDC" w:rsidP="0060770C">
      <w:r>
        <w:separator/>
      </w:r>
    </w:p>
  </w:footnote>
  <w:footnote w:type="continuationSeparator" w:id="0">
    <w:p w:rsidR="00996DDC" w:rsidRDefault="00996DDC" w:rsidP="0060770C">
      <w:r>
        <w:continuationSeparator/>
      </w:r>
    </w:p>
  </w:footnote>
  <w:footnote w:id="1">
    <w:p w:rsidR="00B21144" w:rsidRDefault="00B21144" w:rsidP="00B21144">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rsidR="00B21144" w:rsidRPr="00EA4093" w:rsidRDefault="00B21144" w:rsidP="00B21144">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spacing w:after="160" w:line="259" w:lineRule="auto"/>
      <w:rPr>
        <w:kern w:val="2"/>
        <w:sz w:val="22"/>
        <w:szCs w:val="22"/>
        <w:lang w:val="en-US"/>
      </w:rPr>
    </w:pPr>
  </w:p>
  <w:p w:rsidR="00996DDC" w:rsidRDefault="00996DD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Pr="00F9049E" w:rsidRDefault="00996DDC">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80832"/>
    <w:multiLevelType w:val="hybridMultilevel"/>
    <w:tmpl w:val="107E2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1B91"/>
    <w:rsid w:val="00063CEE"/>
    <w:rsid w:val="00090845"/>
    <w:rsid w:val="00097251"/>
    <w:rsid w:val="000A0A0B"/>
    <w:rsid w:val="000D0377"/>
    <w:rsid w:val="000F2AD8"/>
    <w:rsid w:val="00130430"/>
    <w:rsid w:val="0015735C"/>
    <w:rsid w:val="001A151E"/>
    <w:rsid w:val="001A272A"/>
    <w:rsid w:val="001B2A00"/>
    <w:rsid w:val="001B6708"/>
    <w:rsid w:val="001D3C42"/>
    <w:rsid w:val="00242563"/>
    <w:rsid w:val="00251037"/>
    <w:rsid w:val="00272DA2"/>
    <w:rsid w:val="00273754"/>
    <w:rsid w:val="002741C8"/>
    <w:rsid w:val="00276E18"/>
    <w:rsid w:val="0028249F"/>
    <w:rsid w:val="002A25AB"/>
    <w:rsid w:val="002D66FD"/>
    <w:rsid w:val="00327AFB"/>
    <w:rsid w:val="00331833"/>
    <w:rsid w:val="003707A6"/>
    <w:rsid w:val="003A33F6"/>
    <w:rsid w:val="003B7665"/>
    <w:rsid w:val="003B7ACC"/>
    <w:rsid w:val="003C2A24"/>
    <w:rsid w:val="003D0AC3"/>
    <w:rsid w:val="004102B2"/>
    <w:rsid w:val="004103F5"/>
    <w:rsid w:val="00465617"/>
    <w:rsid w:val="00475374"/>
    <w:rsid w:val="00495CA2"/>
    <w:rsid w:val="004A49A5"/>
    <w:rsid w:val="004B5820"/>
    <w:rsid w:val="004D5435"/>
    <w:rsid w:val="004D63C5"/>
    <w:rsid w:val="004E308E"/>
    <w:rsid w:val="00532AD9"/>
    <w:rsid w:val="005370E8"/>
    <w:rsid w:val="0057271E"/>
    <w:rsid w:val="00590A2B"/>
    <w:rsid w:val="005C4A9A"/>
    <w:rsid w:val="005D24EB"/>
    <w:rsid w:val="005F7FDF"/>
    <w:rsid w:val="0060770C"/>
    <w:rsid w:val="00613CBA"/>
    <w:rsid w:val="00621860"/>
    <w:rsid w:val="0062303C"/>
    <w:rsid w:val="006531B4"/>
    <w:rsid w:val="00676CDC"/>
    <w:rsid w:val="00683349"/>
    <w:rsid w:val="006D3986"/>
    <w:rsid w:val="00705FB1"/>
    <w:rsid w:val="007435E7"/>
    <w:rsid w:val="007539D5"/>
    <w:rsid w:val="00770FBF"/>
    <w:rsid w:val="00775E6E"/>
    <w:rsid w:val="007C726A"/>
    <w:rsid w:val="007D1510"/>
    <w:rsid w:val="007E07FE"/>
    <w:rsid w:val="007F073C"/>
    <w:rsid w:val="00821ACA"/>
    <w:rsid w:val="00825B09"/>
    <w:rsid w:val="00830581"/>
    <w:rsid w:val="00882136"/>
    <w:rsid w:val="008832CC"/>
    <w:rsid w:val="00885BE3"/>
    <w:rsid w:val="008A08E0"/>
    <w:rsid w:val="008C11A7"/>
    <w:rsid w:val="008F37F8"/>
    <w:rsid w:val="00907009"/>
    <w:rsid w:val="00917199"/>
    <w:rsid w:val="00921288"/>
    <w:rsid w:val="00945FBC"/>
    <w:rsid w:val="00960970"/>
    <w:rsid w:val="00996DDC"/>
    <w:rsid w:val="009B42D8"/>
    <w:rsid w:val="009B6811"/>
    <w:rsid w:val="009C6EAB"/>
    <w:rsid w:val="009E5442"/>
    <w:rsid w:val="009F012F"/>
    <w:rsid w:val="009F034A"/>
    <w:rsid w:val="009F2A2E"/>
    <w:rsid w:val="00A24CDE"/>
    <w:rsid w:val="00A433C5"/>
    <w:rsid w:val="00A5726F"/>
    <w:rsid w:val="00A577D5"/>
    <w:rsid w:val="00A61C20"/>
    <w:rsid w:val="00A838EB"/>
    <w:rsid w:val="00AB4CF0"/>
    <w:rsid w:val="00AB7A00"/>
    <w:rsid w:val="00AC0777"/>
    <w:rsid w:val="00AD21B0"/>
    <w:rsid w:val="00AF242B"/>
    <w:rsid w:val="00AF3056"/>
    <w:rsid w:val="00AF6FEB"/>
    <w:rsid w:val="00B21144"/>
    <w:rsid w:val="00B35C87"/>
    <w:rsid w:val="00B430D7"/>
    <w:rsid w:val="00B47A62"/>
    <w:rsid w:val="00B53899"/>
    <w:rsid w:val="00B54892"/>
    <w:rsid w:val="00B721BA"/>
    <w:rsid w:val="00B81995"/>
    <w:rsid w:val="00B91DFB"/>
    <w:rsid w:val="00B95828"/>
    <w:rsid w:val="00BA6B54"/>
    <w:rsid w:val="00BD1413"/>
    <w:rsid w:val="00C062D1"/>
    <w:rsid w:val="00C11C4A"/>
    <w:rsid w:val="00C337C0"/>
    <w:rsid w:val="00C8697E"/>
    <w:rsid w:val="00CA116B"/>
    <w:rsid w:val="00CA5548"/>
    <w:rsid w:val="00CB6378"/>
    <w:rsid w:val="00D45E48"/>
    <w:rsid w:val="00D61E97"/>
    <w:rsid w:val="00D649C1"/>
    <w:rsid w:val="00D87DBC"/>
    <w:rsid w:val="00DA7E53"/>
    <w:rsid w:val="00DB29F3"/>
    <w:rsid w:val="00DC774A"/>
    <w:rsid w:val="00E06C4B"/>
    <w:rsid w:val="00E73F5F"/>
    <w:rsid w:val="00E779D1"/>
    <w:rsid w:val="00E95C09"/>
    <w:rsid w:val="00EA3439"/>
    <w:rsid w:val="00EB25B0"/>
    <w:rsid w:val="00EB3217"/>
    <w:rsid w:val="00EF50A2"/>
    <w:rsid w:val="00F403D3"/>
    <w:rsid w:val="00F501B5"/>
    <w:rsid w:val="00F76B26"/>
    <w:rsid w:val="00F9049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75A2"/>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uiPriority w:val="34"/>
    <w:qFormat/>
    <w:rsid w:val="00465617"/>
    <w:pPr>
      <w:ind w:left="720"/>
      <w:contextualSpacing/>
    </w:pPr>
  </w:style>
  <w:style w:type="paragraph" w:styleId="Pavadinimas">
    <w:name w:val="Title"/>
    <w:basedOn w:val="prastasis"/>
    <w:next w:val="prastasis"/>
    <w:link w:val="PavadinimasDiagrama"/>
    <w:uiPriority w:val="10"/>
    <w:qFormat/>
    <w:rsid w:val="00B2114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B21144"/>
    <w:rPr>
      <w:rFonts w:asciiTheme="majorHAnsi" w:eastAsiaTheme="majorEastAsia" w:hAnsiTheme="majorHAnsi" w:cstheme="majorBidi"/>
      <w:spacing w:val="-10"/>
      <w:kern w:val="28"/>
      <w:sz w:val="56"/>
      <w:szCs w:val="56"/>
      <w:lang w:val="en-US"/>
      <w14:ligatures w14:val="standardContextual"/>
    </w:rPr>
  </w:style>
  <w:style w:type="paragraph" w:styleId="Puslapioinaostekstas">
    <w:name w:val="footnote text"/>
    <w:basedOn w:val="prastasis"/>
    <w:link w:val="PuslapioinaostekstasDiagrama"/>
    <w:uiPriority w:val="99"/>
    <w:semiHidden/>
    <w:unhideWhenUsed/>
    <w:rsid w:val="00B21144"/>
    <w:rPr>
      <w:sz w:val="20"/>
    </w:rPr>
  </w:style>
  <w:style w:type="character" w:customStyle="1" w:styleId="PuslapioinaostekstasDiagrama">
    <w:name w:val="Puslapio išnašos tekstas Diagrama"/>
    <w:basedOn w:val="Numatytasispastraiposriftas"/>
    <w:link w:val="Puslapioinaostekstas"/>
    <w:uiPriority w:val="99"/>
    <w:semiHidden/>
    <w:rsid w:val="00B2114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B21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kretingosligonine.lt" TargetMode="Externa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kretingosligonine.lt" TargetMode="External"/><Relationship Id="rId12" Type="http://schemas.openxmlformats.org/officeDocument/2006/relationships/hyperlink" Target="https://aaa.lrv.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gitas@skirgesa.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nguole.paulauskiene@kretingosligonine.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hyperlink" Target="https://sabis.nbfc.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D0074CD8</Template>
  <TotalTime>9</TotalTime>
  <Pages>9</Pages>
  <Words>14024</Words>
  <Characters>7995</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3</cp:revision>
  <cp:lastPrinted>2025-04-08T07:47:00Z</cp:lastPrinted>
  <dcterms:created xsi:type="dcterms:W3CDTF">2025-05-16T08:54:00Z</dcterms:created>
  <dcterms:modified xsi:type="dcterms:W3CDTF">2025-05-16T11:28:00Z</dcterms:modified>
</cp:coreProperties>
</file>