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CF68C8">
      <w:pPr>
        <w:tabs>
          <w:tab w:val="left" w:pos="6521"/>
        </w:tabs>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C4770B">
      <w:pPr>
        <w:spacing w:after="0" w:line="240" w:lineRule="auto"/>
        <w:ind w:left="6480" w:firstLine="129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22E611C7" w14:textId="77777777" w:rsidR="00CF68C8" w:rsidRPr="00CF68C8" w:rsidRDefault="00CF68C8" w:rsidP="00CF68C8">
      <w:pPr>
        <w:autoSpaceDE w:val="0"/>
        <w:autoSpaceDN w:val="0"/>
        <w:adjustRightInd w:val="0"/>
        <w:spacing w:after="0" w:line="240" w:lineRule="auto"/>
        <w:ind w:left="0" w:firstLine="0"/>
        <w:jc w:val="center"/>
        <w:rPr>
          <w:rFonts w:eastAsia="Calibri"/>
          <w:b/>
          <w:color w:val="auto"/>
          <w:sz w:val="24"/>
          <w:szCs w:val="24"/>
          <w:lang w:eastAsia="en-US"/>
        </w:rPr>
      </w:pPr>
      <w:r w:rsidRPr="00CF68C8">
        <w:rPr>
          <w:rFonts w:eastAsia="Calibri"/>
          <w:b/>
          <w:color w:val="auto"/>
          <w:sz w:val="24"/>
          <w:szCs w:val="24"/>
          <w:lang w:eastAsia="en-US"/>
        </w:rPr>
        <w:t>VIELINIO TINKLO APTVARŲ TECHNINĖ SPECIFIKACIJA</w:t>
      </w:r>
    </w:p>
    <w:p w14:paraId="6F44BDB5" w14:textId="77777777" w:rsidR="00CF68C8" w:rsidRPr="00CF68C8" w:rsidRDefault="00CF68C8" w:rsidP="00CF68C8">
      <w:pPr>
        <w:tabs>
          <w:tab w:val="left" w:pos="260"/>
        </w:tabs>
        <w:spacing w:after="0" w:line="276" w:lineRule="auto"/>
        <w:ind w:left="0" w:firstLine="0"/>
        <w:rPr>
          <w:rFonts w:eastAsia="MS Gothic"/>
          <w:b/>
          <w:color w:val="auto"/>
          <w:sz w:val="24"/>
          <w:szCs w:val="24"/>
        </w:rPr>
      </w:pPr>
    </w:p>
    <w:p w14:paraId="3B2EAE5B" w14:textId="77777777" w:rsidR="00CF68C8" w:rsidRPr="00CF68C8" w:rsidRDefault="00CF68C8" w:rsidP="00CF68C8">
      <w:pPr>
        <w:tabs>
          <w:tab w:val="left" w:pos="260"/>
        </w:tabs>
        <w:spacing w:after="0" w:line="240" w:lineRule="auto"/>
        <w:ind w:left="0" w:firstLine="0"/>
        <w:jc w:val="center"/>
        <w:rPr>
          <w:rFonts w:eastAsia="MS Gothic"/>
          <w:b/>
          <w:color w:val="auto"/>
          <w:sz w:val="24"/>
          <w:szCs w:val="24"/>
        </w:rPr>
      </w:pPr>
      <w:r w:rsidRPr="00CF68C8">
        <w:rPr>
          <w:rFonts w:eastAsia="MS Gothic"/>
          <w:b/>
          <w:color w:val="auto"/>
          <w:sz w:val="24"/>
          <w:szCs w:val="24"/>
        </w:rPr>
        <w:t>I SKYRIUS</w:t>
      </w:r>
    </w:p>
    <w:p w14:paraId="08E3BE97" w14:textId="77777777" w:rsidR="00CF68C8" w:rsidRPr="00CF68C8" w:rsidRDefault="00CF68C8" w:rsidP="00CF68C8">
      <w:pPr>
        <w:tabs>
          <w:tab w:val="left" w:pos="260"/>
        </w:tabs>
        <w:spacing w:after="0" w:line="240" w:lineRule="auto"/>
        <w:ind w:left="0" w:firstLine="0"/>
        <w:jc w:val="center"/>
        <w:rPr>
          <w:rFonts w:eastAsia="MS Gothic"/>
          <w:b/>
          <w:color w:val="auto"/>
          <w:sz w:val="24"/>
          <w:szCs w:val="24"/>
        </w:rPr>
      </w:pPr>
      <w:r w:rsidRPr="00CF68C8">
        <w:rPr>
          <w:rFonts w:eastAsia="MS Gothic"/>
          <w:b/>
          <w:color w:val="auto"/>
          <w:sz w:val="24"/>
          <w:szCs w:val="24"/>
        </w:rPr>
        <w:t>SPECIALIEJI REIKALAVIMAI</w:t>
      </w:r>
    </w:p>
    <w:p w14:paraId="24135F0E" w14:textId="77777777" w:rsidR="00CF68C8" w:rsidRPr="00CF68C8" w:rsidRDefault="00CF68C8" w:rsidP="00CF68C8">
      <w:pPr>
        <w:tabs>
          <w:tab w:val="left" w:pos="0"/>
          <w:tab w:val="left" w:pos="709"/>
          <w:tab w:val="left" w:pos="993"/>
        </w:tabs>
        <w:spacing w:after="0" w:line="276" w:lineRule="auto"/>
        <w:ind w:left="0" w:firstLine="0"/>
        <w:contextualSpacing/>
        <w:jc w:val="both"/>
        <w:rPr>
          <w:rFonts w:eastAsia="MS Gothic"/>
          <w:b/>
          <w:bCs/>
          <w:color w:val="auto"/>
          <w:sz w:val="24"/>
          <w:szCs w:val="24"/>
        </w:rPr>
      </w:pPr>
    </w:p>
    <w:p w14:paraId="16325868"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color w:val="auto"/>
          <w:sz w:val="24"/>
          <w:szCs w:val="24"/>
        </w:rPr>
      </w:pPr>
      <w:r w:rsidRPr="00CF68C8">
        <w:rPr>
          <w:rFonts w:eastAsia="MS Gothic"/>
          <w:color w:val="auto"/>
          <w:sz w:val="24"/>
          <w:szCs w:val="24"/>
        </w:rPr>
        <w:t>Vielinio tinklo aptvarai (toliau – aptvaras (kvadrato ar stačiakampio formos gaminys, kurio viršutinė plokštuma atvira)) turi būti dviejų skirtingų tipų:</w:t>
      </w:r>
    </w:p>
    <w:p w14:paraId="247649BA" w14:textId="77777777" w:rsidR="00CF68C8" w:rsidRPr="00CF68C8" w:rsidRDefault="00CF68C8" w:rsidP="00CF68C8">
      <w:pPr>
        <w:numPr>
          <w:ilvl w:val="1"/>
          <w:numId w:val="10"/>
        </w:numPr>
        <w:tabs>
          <w:tab w:val="left" w:pos="1276"/>
          <w:tab w:val="left" w:pos="1701"/>
        </w:tabs>
        <w:spacing w:after="0" w:line="240" w:lineRule="auto"/>
        <w:ind w:left="0" w:firstLine="1418"/>
        <w:contextualSpacing/>
        <w:jc w:val="both"/>
        <w:rPr>
          <w:rFonts w:eastAsia="MS Gothic"/>
          <w:iCs/>
          <w:color w:val="auto"/>
          <w:sz w:val="24"/>
          <w:szCs w:val="24"/>
        </w:rPr>
      </w:pPr>
      <w:r w:rsidRPr="00CF68C8">
        <w:rPr>
          <w:rFonts w:eastAsia="MS Gothic"/>
          <w:color w:val="auto"/>
          <w:sz w:val="24"/>
          <w:szCs w:val="24"/>
        </w:rPr>
        <w:t xml:space="preserve">1-asis tipas: </w:t>
      </w:r>
      <w:r w:rsidRPr="00CF68C8">
        <w:rPr>
          <w:color w:val="auto"/>
          <w:sz w:val="24"/>
          <w:szCs w:val="24"/>
        </w:rPr>
        <w:t>plotis 1,06 m ± 0,1 m; ilgis 1,06 m ± 0,1 m; aukštis 2,13 m ± 0,13 m</w:t>
      </w:r>
      <w:r w:rsidRPr="00CF68C8">
        <w:rPr>
          <w:rFonts w:eastAsia="MS Gothic"/>
          <w:iCs/>
          <w:color w:val="auto"/>
          <w:sz w:val="24"/>
          <w:szCs w:val="24"/>
        </w:rPr>
        <w:t>;</w:t>
      </w:r>
    </w:p>
    <w:p w14:paraId="68F72408" w14:textId="77777777" w:rsidR="00CF68C8" w:rsidRPr="00CF68C8" w:rsidRDefault="00CF68C8" w:rsidP="00CF68C8">
      <w:pPr>
        <w:numPr>
          <w:ilvl w:val="1"/>
          <w:numId w:val="10"/>
        </w:numPr>
        <w:tabs>
          <w:tab w:val="left" w:pos="1276"/>
          <w:tab w:val="left" w:pos="1701"/>
        </w:tabs>
        <w:spacing w:after="0" w:line="240" w:lineRule="auto"/>
        <w:ind w:left="0" w:firstLine="1418"/>
        <w:contextualSpacing/>
        <w:jc w:val="both"/>
        <w:rPr>
          <w:rFonts w:eastAsia="MS Gothic"/>
          <w:iCs/>
          <w:color w:val="auto"/>
          <w:sz w:val="24"/>
          <w:szCs w:val="24"/>
        </w:rPr>
      </w:pPr>
      <w:r w:rsidRPr="00CF68C8">
        <w:rPr>
          <w:rFonts w:eastAsia="MS Gothic"/>
          <w:color w:val="auto"/>
          <w:sz w:val="24"/>
          <w:szCs w:val="24"/>
        </w:rPr>
        <w:t xml:space="preserve">2-asis tipas: </w:t>
      </w:r>
      <w:r w:rsidRPr="00CF68C8">
        <w:rPr>
          <w:color w:val="auto"/>
          <w:sz w:val="24"/>
          <w:szCs w:val="24"/>
        </w:rPr>
        <w:t>plotis 1,06 m ± 0,1 m; ilgis 1,06 m ± 0,1 m; aukštis 1,37 m ± 0,13 m.</w:t>
      </w:r>
    </w:p>
    <w:p w14:paraId="6C2E4156" w14:textId="77777777" w:rsidR="00CF68C8" w:rsidRPr="00CF68C8" w:rsidRDefault="00CF68C8" w:rsidP="00CF68C8">
      <w:pPr>
        <w:numPr>
          <w:ilvl w:val="0"/>
          <w:numId w:val="10"/>
        </w:numPr>
        <w:tabs>
          <w:tab w:val="left" w:pos="1276"/>
        </w:tabs>
        <w:spacing w:after="0" w:line="240" w:lineRule="auto"/>
        <w:ind w:left="0" w:firstLine="851"/>
        <w:contextualSpacing/>
        <w:jc w:val="both"/>
        <w:rPr>
          <w:color w:val="auto"/>
          <w:sz w:val="24"/>
          <w:szCs w:val="24"/>
        </w:rPr>
      </w:pPr>
      <w:r w:rsidRPr="00CF68C8">
        <w:rPr>
          <w:rFonts w:eastAsia="MS Gothic"/>
          <w:iCs/>
          <w:color w:val="auto"/>
          <w:sz w:val="24"/>
          <w:szCs w:val="24"/>
        </w:rPr>
        <w:t xml:space="preserve">Vielinio </w:t>
      </w:r>
      <w:r w:rsidRPr="00CF68C8">
        <w:rPr>
          <w:color w:val="auto"/>
          <w:sz w:val="24"/>
          <w:szCs w:val="24"/>
        </w:rPr>
        <w:t>tinklo kilpų dydis 8 cm ± 1 cm.</w:t>
      </w:r>
    </w:p>
    <w:p w14:paraId="458D78CD"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 xml:space="preserve">Vielinio tinklo vielos storis 3,5 mm ± 0,5 mm. </w:t>
      </w:r>
    </w:p>
    <w:p w14:paraId="5F60345A"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Vielos atsparumas tempimui 590–740 N/mm².</w:t>
      </w:r>
    </w:p>
    <w:p w14:paraId="08C53F69"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Visos vielos suvirinimo siūlės, įskaitant kraštinius suvirinimus, šlyties stiprumo vertė turi atitikti 70 proc. ± 10 proc. vielos tempimo atsparumo.</w:t>
      </w:r>
    </w:p>
    <w:p w14:paraId="121E430A"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rFonts w:eastAsia="MS Gothic"/>
          <w:iCs/>
          <w:color w:val="auto"/>
          <w:sz w:val="24"/>
          <w:szCs w:val="24"/>
        </w:rPr>
        <w:t xml:space="preserve">Aptvaro audinio spalva </w:t>
      </w:r>
      <w:r w:rsidRPr="00CF68C8">
        <w:rPr>
          <w:rFonts w:eastAsia="MS Gothic"/>
          <w:iCs/>
          <w:color w:val="auto"/>
          <w:sz w:val="24"/>
          <w:szCs w:val="24"/>
        </w:rPr>
        <w:softHyphen/>
        <w:t>– žalia, chaki, smėlio spalvos arba užsakovo nurodyta.</w:t>
      </w:r>
    </w:p>
    <w:p w14:paraId="2DFE8A56"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Aptvaro audinys neturi palaikyti miltligės ar grybelio augimo.</w:t>
      </w:r>
    </w:p>
    <w:p w14:paraId="190DC575"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 xml:space="preserve">Aptvaro audinys turi išlaikyti vienodas savybes temperatūros intervale nuo -50 C iki +55 C. </w:t>
      </w:r>
    </w:p>
    <w:p w14:paraId="405CE688"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Tempimo atsparumas (išilgai) 800–934 N pagal standartus ASTM D-4632. Tempimo atsparumas (pailgėjimui) 75–80 proc. Tempimo atsparumas (į plotį) 311–356 N pagal standartus ASTM D-4632.</w:t>
      </w:r>
    </w:p>
    <w:p w14:paraId="4704BEC1"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 xml:space="preserve"> Atsparumas aukštoms temperatūroms pagal standartą MIL-STD-810G metodas 502.5 – 90 proc. </w:t>
      </w:r>
    </w:p>
    <w:p w14:paraId="1C16D9AB"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Atsparumas ugniai – turi nepalaikyti liepsnos plitimo</w:t>
      </w:r>
      <w:r w:rsidRPr="00CF68C8">
        <w:rPr>
          <w:rFonts w:eastAsia="MS Gothic"/>
          <w:iCs/>
          <w:color w:val="auto"/>
          <w:sz w:val="24"/>
          <w:szCs w:val="24"/>
        </w:rPr>
        <w:t>.</w:t>
      </w:r>
    </w:p>
    <w:p w14:paraId="33A929A6"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Atsparumas cheminiams poveikiams pagal standartą MIL-STD-810G metodas 504 – 90 proc.</w:t>
      </w:r>
    </w:p>
    <w:p w14:paraId="7BAF8571" w14:textId="77777777" w:rsidR="00CF68C8" w:rsidRPr="00CF68C8" w:rsidRDefault="00CF68C8" w:rsidP="00CF68C8">
      <w:pPr>
        <w:numPr>
          <w:ilvl w:val="0"/>
          <w:numId w:val="10"/>
        </w:numPr>
        <w:tabs>
          <w:tab w:val="left" w:pos="1276"/>
        </w:tabs>
        <w:spacing w:after="0" w:line="240" w:lineRule="auto"/>
        <w:ind w:left="0" w:firstLine="851"/>
        <w:contextualSpacing/>
        <w:jc w:val="both"/>
        <w:rPr>
          <w:rFonts w:eastAsia="MS Gothic"/>
          <w:iCs/>
          <w:color w:val="auto"/>
          <w:sz w:val="24"/>
          <w:szCs w:val="24"/>
        </w:rPr>
      </w:pPr>
      <w:r w:rsidRPr="00CF68C8">
        <w:rPr>
          <w:color w:val="auto"/>
          <w:sz w:val="24"/>
          <w:szCs w:val="24"/>
        </w:rPr>
        <w:t>Numatyta galimybė aptvarus tvirtinti tarpusavyje ir kiekvienam aptvarui turi būti pridedami tarpusavio tvirtinimo elementai.</w:t>
      </w:r>
    </w:p>
    <w:p w14:paraId="179F2C7A" w14:textId="77777777" w:rsidR="00CF68C8" w:rsidRPr="00CF68C8" w:rsidRDefault="00CF68C8" w:rsidP="00CF68C8">
      <w:pPr>
        <w:spacing w:after="0" w:line="240" w:lineRule="auto"/>
        <w:ind w:left="0" w:firstLine="0"/>
        <w:jc w:val="center"/>
        <w:rPr>
          <w:b/>
          <w:color w:val="auto"/>
          <w:sz w:val="24"/>
          <w:szCs w:val="24"/>
        </w:rPr>
      </w:pPr>
    </w:p>
    <w:p w14:paraId="5079F180" w14:textId="77777777" w:rsidR="00CF68C8" w:rsidRPr="00CF68C8" w:rsidRDefault="00CF68C8" w:rsidP="00CF68C8">
      <w:pPr>
        <w:spacing w:after="0" w:line="240" w:lineRule="auto"/>
        <w:ind w:left="0" w:firstLine="0"/>
        <w:jc w:val="center"/>
        <w:rPr>
          <w:b/>
          <w:color w:val="auto"/>
          <w:sz w:val="24"/>
          <w:szCs w:val="24"/>
        </w:rPr>
      </w:pPr>
      <w:r w:rsidRPr="00CF68C8">
        <w:rPr>
          <w:b/>
          <w:color w:val="auto"/>
          <w:sz w:val="24"/>
          <w:szCs w:val="24"/>
        </w:rPr>
        <w:t>II SKYRIUS</w:t>
      </w:r>
    </w:p>
    <w:p w14:paraId="7132A9A4" w14:textId="77777777" w:rsidR="00CF68C8" w:rsidRPr="00CF68C8" w:rsidRDefault="00CF68C8" w:rsidP="00CF68C8">
      <w:pPr>
        <w:spacing w:after="0" w:line="240" w:lineRule="auto"/>
        <w:ind w:left="0" w:firstLine="0"/>
        <w:jc w:val="center"/>
        <w:rPr>
          <w:b/>
          <w:color w:val="auto"/>
          <w:sz w:val="24"/>
          <w:szCs w:val="24"/>
        </w:rPr>
      </w:pPr>
      <w:r w:rsidRPr="00CF68C8">
        <w:rPr>
          <w:b/>
          <w:color w:val="auto"/>
          <w:sz w:val="24"/>
          <w:szCs w:val="24"/>
        </w:rPr>
        <w:t>BENDRIEJI REIKALAVIMAI</w:t>
      </w:r>
    </w:p>
    <w:p w14:paraId="3FA2F93B" w14:textId="77777777" w:rsidR="00CF68C8" w:rsidRPr="00CF68C8" w:rsidRDefault="00CF68C8" w:rsidP="00CF68C8">
      <w:pPr>
        <w:spacing w:after="0" w:line="240" w:lineRule="auto"/>
        <w:ind w:left="0" w:firstLine="0"/>
        <w:jc w:val="center"/>
        <w:rPr>
          <w:color w:val="auto"/>
          <w:sz w:val="28"/>
          <w:szCs w:val="28"/>
        </w:rPr>
      </w:pPr>
    </w:p>
    <w:p w14:paraId="6A4021A0" w14:textId="77777777" w:rsidR="00CF68C8" w:rsidRPr="00CF68C8" w:rsidRDefault="00CF68C8" w:rsidP="00CF68C8">
      <w:pPr>
        <w:spacing w:after="0" w:line="240" w:lineRule="auto"/>
        <w:ind w:left="0" w:firstLine="810"/>
        <w:rPr>
          <w:color w:val="auto"/>
          <w:sz w:val="24"/>
          <w:szCs w:val="24"/>
        </w:rPr>
      </w:pPr>
      <w:r w:rsidRPr="00CF68C8">
        <w:rPr>
          <w:color w:val="auto"/>
          <w:sz w:val="24"/>
          <w:szCs w:val="24"/>
        </w:rPr>
        <w:t xml:space="preserve">14. Po vielinio tinklo dugnu, visu perimetru padaryti pagrindą: nuimti augalinį sluoksnį, patiesti geo tekstilę, užpilti skaldos sluoksniu 100 mm -+ 10 mm, smėlio sluoksniu 50 mm -+10 mm. </w:t>
      </w:r>
    </w:p>
    <w:p w14:paraId="3956E51F" w14:textId="77777777" w:rsidR="00CF68C8" w:rsidRPr="00CF68C8" w:rsidRDefault="00CF68C8" w:rsidP="00CF68C8">
      <w:pPr>
        <w:spacing w:after="0" w:line="240" w:lineRule="auto"/>
        <w:ind w:left="0" w:firstLine="810"/>
        <w:rPr>
          <w:color w:val="auto"/>
          <w:sz w:val="24"/>
          <w:szCs w:val="24"/>
        </w:rPr>
      </w:pPr>
      <w:r w:rsidRPr="00CF68C8">
        <w:rPr>
          <w:color w:val="auto"/>
          <w:sz w:val="24"/>
          <w:szCs w:val="24"/>
        </w:rPr>
        <w:t>15. Vielinius tinklus visu tūriu užpildyti smėliu ir sutankinti užpildą.</w:t>
      </w:r>
    </w:p>
    <w:p w14:paraId="55A0A29D" w14:textId="77777777" w:rsidR="00CF68C8" w:rsidRPr="00CF68C8" w:rsidRDefault="00CF68C8" w:rsidP="00CF68C8">
      <w:pPr>
        <w:spacing w:after="0" w:line="240" w:lineRule="auto"/>
        <w:ind w:left="0" w:firstLine="810"/>
        <w:rPr>
          <w:color w:val="auto"/>
          <w:sz w:val="24"/>
          <w:szCs w:val="24"/>
        </w:rPr>
      </w:pPr>
      <w:r w:rsidRPr="00CF68C8">
        <w:rPr>
          <w:color w:val="auto"/>
          <w:sz w:val="24"/>
          <w:szCs w:val="24"/>
        </w:rPr>
        <w:t xml:space="preserve">16. Pagaminti vieliniai tinklai turi būti paženklinti: užrašoma pagaminimo data, identifikacijos numeris ir svorio specifikacija. </w:t>
      </w:r>
    </w:p>
    <w:p w14:paraId="0E8B3E66" w14:textId="77777777" w:rsidR="00CF68C8" w:rsidRPr="00CF68C8" w:rsidRDefault="00CF68C8" w:rsidP="00CF68C8">
      <w:pPr>
        <w:spacing w:after="0" w:line="240" w:lineRule="auto"/>
        <w:ind w:left="0" w:firstLine="900"/>
        <w:rPr>
          <w:color w:val="auto"/>
          <w:sz w:val="24"/>
          <w:szCs w:val="24"/>
        </w:rPr>
      </w:pPr>
      <w:r w:rsidRPr="00CF68C8">
        <w:rPr>
          <w:color w:val="auto"/>
          <w:sz w:val="24"/>
          <w:szCs w:val="24"/>
        </w:rPr>
        <w:t xml:space="preserve">17. Vielinius tinklus reikia pristatyti į užsakovo nurodytą vietą Lietuvos respublikos teritorijoje ir sumontuoti į nurodytas vietas. </w:t>
      </w:r>
    </w:p>
    <w:p w14:paraId="0EE58EF9" w14:textId="77777777" w:rsidR="00CF68C8" w:rsidRPr="00CF68C8" w:rsidRDefault="00CF68C8" w:rsidP="00CF68C8">
      <w:pPr>
        <w:spacing w:after="0" w:line="240" w:lineRule="auto"/>
        <w:ind w:left="0" w:firstLine="900"/>
        <w:rPr>
          <w:color w:val="auto"/>
          <w:sz w:val="24"/>
          <w:szCs w:val="24"/>
        </w:rPr>
      </w:pPr>
      <w:r w:rsidRPr="00CF68C8">
        <w:rPr>
          <w:color w:val="auto"/>
          <w:sz w:val="24"/>
          <w:szCs w:val="24"/>
        </w:rPr>
        <w:t xml:space="preserve"> 18. Gaminį iškraunantys darbuotojai turi būti išklausę montuotojų darbų saugos instrukciją, turėti montuotojų ir prikabinėtojų pažymėjimus.</w:t>
      </w:r>
    </w:p>
    <w:p w14:paraId="17AA979D" w14:textId="77777777" w:rsidR="00CF68C8" w:rsidRPr="00CF68C8" w:rsidRDefault="00CF68C8" w:rsidP="00CF68C8">
      <w:pPr>
        <w:spacing w:after="0" w:line="240" w:lineRule="auto"/>
        <w:ind w:left="0" w:firstLine="900"/>
        <w:rPr>
          <w:color w:val="auto"/>
          <w:sz w:val="24"/>
          <w:szCs w:val="24"/>
        </w:rPr>
      </w:pPr>
    </w:p>
    <w:p w14:paraId="06871B82" w14:textId="77777777" w:rsidR="00CF68C8" w:rsidRPr="00CF68C8" w:rsidRDefault="00CF68C8" w:rsidP="00CF68C8">
      <w:pPr>
        <w:tabs>
          <w:tab w:val="left" w:pos="1276"/>
        </w:tabs>
        <w:spacing w:after="0" w:line="240" w:lineRule="auto"/>
        <w:ind w:left="0" w:firstLine="0"/>
        <w:jc w:val="both"/>
        <w:rPr>
          <w:rFonts w:eastAsia="MS Gothic"/>
          <w:iCs/>
          <w:color w:val="auto"/>
          <w:sz w:val="24"/>
          <w:szCs w:val="24"/>
        </w:rPr>
      </w:pPr>
    </w:p>
    <w:p w14:paraId="083709EB" w14:textId="77777777" w:rsidR="00CF68C8" w:rsidRPr="00CF68C8" w:rsidRDefault="00CF68C8" w:rsidP="00CF68C8">
      <w:pPr>
        <w:tabs>
          <w:tab w:val="left" w:pos="1276"/>
        </w:tabs>
        <w:spacing w:after="0" w:line="240" w:lineRule="auto"/>
        <w:ind w:left="0" w:firstLine="0"/>
        <w:jc w:val="both"/>
        <w:rPr>
          <w:rFonts w:eastAsia="MS Gothic"/>
          <w:iCs/>
          <w:color w:val="auto"/>
          <w:sz w:val="24"/>
          <w:szCs w:val="24"/>
        </w:rPr>
      </w:pPr>
    </w:p>
    <w:p w14:paraId="42843EFC" w14:textId="77777777" w:rsidR="00CF68C8" w:rsidRPr="00CF68C8" w:rsidRDefault="00CF68C8" w:rsidP="00CF68C8">
      <w:pPr>
        <w:tabs>
          <w:tab w:val="left" w:pos="260"/>
          <w:tab w:val="left" w:pos="1276"/>
        </w:tabs>
        <w:spacing w:after="0" w:line="240" w:lineRule="auto"/>
        <w:ind w:left="0" w:firstLine="851"/>
        <w:contextualSpacing/>
        <w:jc w:val="both"/>
        <w:rPr>
          <w:rFonts w:eastAsia="MS Gothic"/>
          <w:iCs/>
          <w:color w:val="auto"/>
          <w:sz w:val="24"/>
          <w:szCs w:val="24"/>
        </w:rPr>
      </w:pPr>
    </w:p>
    <w:p w14:paraId="73DCC26D" w14:textId="77777777" w:rsidR="00861633" w:rsidRDefault="00861633" w:rsidP="00CF68C8">
      <w:pPr>
        <w:tabs>
          <w:tab w:val="left" w:pos="260"/>
          <w:tab w:val="left" w:pos="1276"/>
        </w:tabs>
        <w:spacing w:after="0" w:line="240" w:lineRule="auto"/>
        <w:ind w:left="0" w:firstLine="0"/>
        <w:jc w:val="center"/>
        <w:rPr>
          <w:rFonts w:eastAsia="MS Gothic"/>
          <w:b/>
          <w:color w:val="auto"/>
          <w:sz w:val="24"/>
          <w:szCs w:val="24"/>
        </w:rPr>
      </w:pPr>
    </w:p>
    <w:p w14:paraId="66710F61" w14:textId="432B6C0B" w:rsidR="00CF68C8" w:rsidRPr="00CF68C8" w:rsidRDefault="00CF68C8" w:rsidP="00CF68C8">
      <w:pPr>
        <w:tabs>
          <w:tab w:val="left" w:pos="260"/>
          <w:tab w:val="left" w:pos="1276"/>
        </w:tabs>
        <w:spacing w:after="0" w:line="240" w:lineRule="auto"/>
        <w:ind w:left="0" w:firstLine="0"/>
        <w:jc w:val="center"/>
        <w:rPr>
          <w:rFonts w:eastAsia="MS Gothic"/>
          <w:b/>
          <w:color w:val="auto"/>
          <w:sz w:val="24"/>
          <w:szCs w:val="24"/>
        </w:rPr>
      </w:pPr>
      <w:bookmarkStart w:id="1" w:name="_GoBack"/>
      <w:bookmarkEnd w:id="1"/>
      <w:r w:rsidRPr="00CF68C8">
        <w:rPr>
          <w:rFonts w:eastAsia="MS Gothic"/>
          <w:b/>
          <w:color w:val="auto"/>
          <w:sz w:val="24"/>
          <w:szCs w:val="24"/>
        </w:rPr>
        <w:lastRenderedPageBreak/>
        <w:t>III SKYRIUS</w:t>
      </w:r>
    </w:p>
    <w:p w14:paraId="1A67E12B" w14:textId="77777777" w:rsidR="00CF68C8" w:rsidRPr="00CF68C8" w:rsidRDefault="00CF68C8" w:rsidP="00CF68C8">
      <w:pPr>
        <w:tabs>
          <w:tab w:val="left" w:pos="260"/>
          <w:tab w:val="left" w:pos="1276"/>
        </w:tabs>
        <w:spacing w:after="0" w:line="240" w:lineRule="auto"/>
        <w:ind w:left="0" w:firstLine="0"/>
        <w:jc w:val="center"/>
        <w:rPr>
          <w:rFonts w:eastAsia="MS Gothic"/>
          <w:b/>
          <w:color w:val="auto"/>
          <w:sz w:val="24"/>
          <w:szCs w:val="24"/>
        </w:rPr>
      </w:pPr>
      <w:r w:rsidRPr="00CF68C8">
        <w:rPr>
          <w:rFonts w:eastAsia="MS Gothic"/>
          <w:b/>
          <w:color w:val="auto"/>
          <w:sz w:val="24"/>
          <w:szCs w:val="24"/>
        </w:rPr>
        <w:t>GARANTIJA IR SERTIFIKAVIMAS</w:t>
      </w:r>
    </w:p>
    <w:p w14:paraId="1E35FBCD" w14:textId="77777777" w:rsidR="00CF68C8" w:rsidRPr="00CF68C8" w:rsidRDefault="00CF68C8" w:rsidP="00CF68C8">
      <w:pPr>
        <w:tabs>
          <w:tab w:val="left" w:pos="260"/>
          <w:tab w:val="left" w:pos="1276"/>
        </w:tabs>
        <w:spacing w:after="0" w:line="240" w:lineRule="auto"/>
        <w:ind w:left="0" w:firstLine="851"/>
        <w:jc w:val="center"/>
        <w:rPr>
          <w:rFonts w:eastAsia="MS Gothic"/>
          <w:b/>
          <w:color w:val="auto"/>
          <w:sz w:val="24"/>
          <w:szCs w:val="24"/>
        </w:rPr>
      </w:pPr>
    </w:p>
    <w:p w14:paraId="18099E66" w14:textId="77777777" w:rsidR="00CF68C8" w:rsidRPr="00CF68C8" w:rsidRDefault="00CF68C8" w:rsidP="00CF68C8">
      <w:pPr>
        <w:tabs>
          <w:tab w:val="left" w:pos="260"/>
        </w:tabs>
        <w:spacing w:after="0" w:line="240" w:lineRule="auto"/>
        <w:ind w:left="1247" w:hanging="437"/>
        <w:jc w:val="both"/>
        <w:rPr>
          <w:rFonts w:eastAsia="MS Gothic"/>
          <w:iCs/>
          <w:color w:val="auto"/>
          <w:sz w:val="24"/>
          <w:szCs w:val="24"/>
        </w:rPr>
      </w:pPr>
      <w:r w:rsidRPr="00CF68C8">
        <w:rPr>
          <w:rFonts w:eastAsia="MS Gothic"/>
          <w:iCs/>
          <w:color w:val="auto"/>
          <w:sz w:val="24"/>
          <w:szCs w:val="24"/>
        </w:rPr>
        <w:t xml:space="preserve">19. Į aptvarų gaminimo paslaugos kainą turi būti įtrauktos ir pristatymo išlaidos. </w:t>
      </w:r>
    </w:p>
    <w:p w14:paraId="440E6800" w14:textId="77777777" w:rsidR="00CF68C8" w:rsidRPr="00CF68C8" w:rsidRDefault="00CF68C8" w:rsidP="00CF68C8">
      <w:pPr>
        <w:tabs>
          <w:tab w:val="left" w:pos="260"/>
          <w:tab w:val="left" w:pos="1276"/>
        </w:tabs>
        <w:spacing w:after="0" w:line="240" w:lineRule="auto"/>
        <w:ind w:left="0" w:firstLine="851"/>
        <w:contextualSpacing/>
        <w:jc w:val="both"/>
        <w:rPr>
          <w:rFonts w:eastAsia="MS Gothic"/>
          <w:color w:val="auto"/>
          <w:sz w:val="24"/>
          <w:szCs w:val="24"/>
        </w:rPr>
      </w:pPr>
      <w:r w:rsidRPr="00CF68C8">
        <w:rPr>
          <w:rFonts w:eastAsia="MS Gothic"/>
          <w:iCs/>
          <w:color w:val="auto"/>
          <w:sz w:val="24"/>
          <w:szCs w:val="24"/>
        </w:rPr>
        <w:t xml:space="preserve">20. </w:t>
      </w:r>
      <w:r w:rsidRPr="00CF68C8">
        <w:rPr>
          <w:color w:val="auto"/>
          <w:sz w:val="24"/>
          <w:szCs w:val="24"/>
        </w:rPr>
        <w:t>Visos aptvarų gamybai panaudotos medžiagos privalo būti sertifikuotos, turi turėti kokybės sertifikatus ir / arba pasus, patvirtinančius jų kilmę, t. y. gamintoją ir kokybę.</w:t>
      </w:r>
    </w:p>
    <w:p w14:paraId="77B8A3A2" w14:textId="77777777" w:rsidR="00CF68C8" w:rsidRPr="00CF68C8" w:rsidRDefault="00CF68C8" w:rsidP="00CF68C8">
      <w:pPr>
        <w:tabs>
          <w:tab w:val="left" w:pos="260"/>
          <w:tab w:val="left" w:pos="1276"/>
        </w:tabs>
        <w:spacing w:after="0" w:line="240" w:lineRule="auto"/>
        <w:ind w:left="0" w:firstLine="851"/>
        <w:contextualSpacing/>
        <w:jc w:val="both"/>
        <w:rPr>
          <w:rFonts w:eastAsia="MS Gothic"/>
          <w:color w:val="auto"/>
          <w:sz w:val="24"/>
          <w:szCs w:val="24"/>
        </w:rPr>
      </w:pPr>
      <w:r w:rsidRPr="00CF68C8">
        <w:rPr>
          <w:rFonts w:eastAsia="MS Gothic"/>
          <w:color w:val="auto"/>
          <w:sz w:val="24"/>
          <w:szCs w:val="24"/>
        </w:rPr>
        <w:t>21. Aptvarams suirus, kol jie bus pripildomi smėliu (be mechaninio poveikio konstrukcijai), tiekėjas juos turi pakeisti kitais, analogiškais, ne vėliau kaip per 24 val. nuo raštiško (el. paštu, faksu) užsakovo pranešimo arba per trumpiausią, technologiškai įmanomą laiką, suderinus su užsakovo atstovu.</w:t>
      </w:r>
    </w:p>
    <w:p w14:paraId="016A83AD" w14:textId="77777777" w:rsidR="00CF68C8" w:rsidRPr="00CF68C8" w:rsidRDefault="00CF68C8" w:rsidP="00CF68C8">
      <w:pPr>
        <w:tabs>
          <w:tab w:val="left" w:pos="260"/>
          <w:tab w:val="left" w:pos="1276"/>
        </w:tabs>
        <w:spacing w:after="0" w:line="240" w:lineRule="auto"/>
        <w:ind w:left="0" w:firstLine="851"/>
        <w:contextualSpacing/>
        <w:jc w:val="both"/>
        <w:rPr>
          <w:color w:val="auto"/>
          <w:sz w:val="24"/>
          <w:szCs w:val="24"/>
        </w:rPr>
      </w:pPr>
      <w:r w:rsidRPr="00CF68C8">
        <w:rPr>
          <w:rFonts w:eastAsia="MS Gothic"/>
          <w:color w:val="auto"/>
          <w:sz w:val="24"/>
          <w:szCs w:val="24"/>
        </w:rPr>
        <w:t>22.</w:t>
      </w:r>
      <w:r w:rsidRPr="00CF68C8">
        <w:rPr>
          <w:color w:val="auto"/>
          <w:sz w:val="24"/>
          <w:szCs w:val="24"/>
        </w:rPr>
        <w:t xml:space="preserve"> Tiekėjas turi prisiimti įsipareigojimus ir garantuoti, kad aptvarai pristatyti pagal šią specifikaciją atitiks galiojančius standartus bei teisės aktus. Tiekėjas turi garantuoti, kad aptvarai neturės jokių naudojamų medžiagų ir / ar gamybos / konstravimo defektų, išskyrus tuos defektus, kuriuos sukėlė neteisingas naudojimas ir eksploatavimas. Dviejų metų laikotarpyje išryškėjus aukščiau išvardintiems trūkumams ir pašalinus jų priežastis, aptvarų garantija privalo būti pratęsta dar 2 metams.</w:t>
      </w:r>
    </w:p>
    <w:p w14:paraId="6E4A4735" w14:textId="77777777" w:rsidR="00CF68C8" w:rsidRPr="00CF68C8" w:rsidRDefault="00CF68C8" w:rsidP="00CF68C8">
      <w:pPr>
        <w:tabs>
          <w:tab w:val="left" w:pos="260"/>
          <w:tab w:val="left" w:pos="1276"/>
        </w:tabs>
        <w:spacing w:after="0" w:line="240" w:lineRule="auto"/>
        <w:ind w:left="0" w:firstLine="851"/>
        <w:contextualSpacing/>
        <w:jc w:val="both"/>
        <w:rPr>
          <w:rFonts w:eastAsia="MS Gothic"/>
          <w:i/>
          <w:iCs/>
          <w:color w:val="auto"/>
          <w:sz w:val="24"/>
          <w:szCs w:val="24"/>
          <w:highlight w:val="yellow"/>
        </w:rPr>
      </w:pPr>
      <w:r w:rsidRPr="00CF68C8">
        <w:rPr>
          <w:color w:val="auto"/>
          <w:sz w:val="24"/>
          <w:szCs w:val="24"/>
        </w:rPr>
        <w:t>23. Savo lėšomis tiekėjas turi apmokyti užsakovo personalą, ne mažiau kaip 3 (tris) asmenis, taisyklingai eksploatuoti aptvarus, remontuoti smulkius pažeidimus bei juos diagnozuoti.</w:t>
      </w:r>
    </w:p>
    <w:p w14:paraId="329AA169" w14:textId="77777777" w:rsidR="00CF68C8" w:rsidRPr="00CF68C8" w:rsidRDefault="00CF68C8" w:rsidP="00CF68C8">
      <w:pPr>
        <w:spacing w:after="0" w:line="360" w:lineRule="auto"/>
        <w:ind w:left="0" w:right="142" w:firstLine="0"/>
        <w:jc w:val="center"/>
        <w:rPr>
          <w:color w:val="auto"/>
          <w:sz w:val="24"/>
          <w:szCs w:val="24"/>
        </w:rPr>
      </w:pPr>
      <w:r w:rsidRPr="00CF68C8">
        <w:rPr>
          <w:color w:val="auto"/>
          <w:sz w:val="24"/>
          <w:szCs w:val="24"/>
        </w:rPr>
        <w:t xml:space="preserve">   _____________________________________</w:t>
      </w:r>
    </w:p>
    <w:p w14:paraId="5BDD758C" w14:textId="77777777" w:rsidR="003004F2" w:rsidRPr="003004F2" w:rsidRDefault="003004F2" w:rsidP="003004F2">
      <w:pPr>
        <w:tabs>
          <w:tab w:val="left" w:pos="1560"/>
          <w:tab w:val="left" w:pos="1701"/>
        </w:tabs>
        <w:suppressAutoHyphens/>
        <w:spacing w:after="200" w:line="240" w:lineRule="auto"/>
        <w:ind w:left="1495" w:firstLine="0"/>
        <w:contextualSpacing/>
        <w:jc w:val="both"/>
        <w:rPr>
          <w:rFonts w:eastAsia="Calibri"/>
          <w:color w:val="auto"/>
          <w:sz w:val="24"/>
          <w:lang w:eastAsia="en-US"/>
        </w:rPr>
      </w:pPr>
    </w:p>
    <w:p w14:paraId="01ED16FC" w14:textId="41E175F9" w:rsidR="0086460F" w:rsidRPr="009A21C7" w:rsidRDefault="0086460F" w:rsidP="003004F2">
      <w:pPr>
        <w:spacing w:after="0" w:line="240" w:lineRule="auto"/>
        <w:ind w:left="0" w:firstLine="0"/>
        <w:jc w:val="center"/>
        <w:rPr>
          <w:b/>
          <w:bCs/>
          <w:sz w:val="24"/>
          <w:szCs w:val="24"/>
        </w:rPr>
      </w:pPr>
    </w:p>
    <w:sectPr w:rsidR="0086460F" w:rsidRPr="009A21C7" w:rsidSect="007F4382">
      <w:pgSz w:w="11906" w:h="16838" w:code="9"/>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F9ADF" w14:textId="77777777" w:rsidR="00234123" w:rsidRDefault="00234123" w:rsidP="00C11225">
      <w:pPr>
        <w:spacing w:after="0" w:line="240" w:lineRule="auto"/>
      </w:pPr>
      <w:r>
        <w:separator/>
      </w:r>
    </w:p>
  </w:endnote>
  <w:endnote w:type="continuationSeparator" w:id="0">
    <w:p w14:paraId="08979002" w14:textId="77777777" w:rsidR="00234123" w:rsidRDefault="00234123"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FBE95" w14:textId="77777777" w:rsidR="00234123" w:rsidRDefault="00234123" w:rsidP="00C11225">
      <w:pPr>
        <w:spacing w:after="0" w:line="240" w:lineRule="auto"/>
      </w:pPr>
      <w:r>
        <w:separator/>
      </w:r>
    </w:p>
  </w:footnote>
  <w:footnote w:type="continuationSeparator" w:id="0">
    <w:p w14:paraId="1647C2EA" w14:textId="77777777" w:rsidR="00234123" w:rsidRDefault="00234123"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5"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6"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9" w15:restartNumberingAfterBreak="0">
    <w:nsid w:val="78FA6A32"/>
    <w:multiLevelType w:val="hybridMultilevel"/>
    <w:tmpl w:val="F8743070"/>
    <w:lvl w:ilvl="0" w:tplc="457AEAE6">
      <w:start w:val="1"/>
      <w:numFmt w:val="decimal"/>
      <w:lvlText w:val="%1."/>
      <w:lvlJc w:val="left"/>
      <w:pPr>
        <w:ind w:left="1607" w:hanging="360"/>
      </w:pPr>
      <w:rPr>
        <w:rFonts w:hint="default"/>
      </w:rPr>
    </w:lvl>
    <w:lvl w:ilvl="1" w:tplc="04090019">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abstractNumId w:val="2"/>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5D0D"/>
    <w:rsid w:val="00047EA5"/>
    <w:rsid w:val="00056EB2"/>
    <w:rsid w:val="00061B03"/>
    <w:rsid w:val="00063646"/>
    <w:rsid w:val="00077E48"/>
    <w:rsid w:val="000C2F81"/>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150A"/>
    <w:rsid w:val="00234123"/>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A2B4D"/>
    <w:rsid w:val="004A4E61"/>
    <w:rsid w:val="004B1AC4"/>
    <w:rsid w:val="004C6847"/>
    <w:rsid w:val="004D6EF7"/>
    <w:rsid w:val="004D7627"/>
    <w:rsid w:val="005050B9"/>
    <w:rsid w:val="00505EBE"/>
    <w:rsid w:val="005069FF"/>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B78"/>
    <w:rsid w:val="00633C21"/>
    <w:rsid w:val="00636871"/>
    <w:rsid w:val="00637C8D"/>
    <w:rsid w:val="0064057D"/>
    <w:rsid w:val="006417D3"/>
    <w:rsid w:val="00653785"/>
    <w:rsid w:val="0066459C"/>
    <w:rsid w:val="00665DDD"/>
    <w:rsid w:val="00666532"/>
    <w:rsid w:val="00674B6A"/>
    <w:rsid w:val="006818C4"/>
    <w:rsid w:val="0068506C"/>
    <w:rsid w:val="00696F25"/>
    <w:rsid w:val="006B2641"/>
    <w:rsid w:val="006D394F"/>
    <w:rsid w:val="006D5045"/>
    <w:rsid w:val="006E25EB"/>
    <w:rsid w:val="00703DE7"/>
    <w:rsid w:val="0071599D"/>
    <w:rsid w:val="00716379"/>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1633"/>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17EB0"/>
    <w:rsid w:val="00A22135"/>
    <w:rsid w:val="00A450E6"/>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45AC"/>
    <w:rsid w:val="00C56B39"/>
    <w:rsid w:val="00C5784A"/>
    <w:rsid w:val="00C605A8"/>
    <w:rsid w:val="00C633C0"/>
    <w:rsid w:val="00C71E73"/>
    <w:rsid w:val="00C92DAB"/>
    <w:rsid w:val="00C95642"/>
    <w:rsid w:val="00CC427F"/>
    <w:rsid w:val="00CD7701"/>
    <w:rsid w:val="00CE021E"/>
    <w:rsid w:val="00CF68C8"/>
    <w:rsid w:val="00D15624"/>
    <w:rsid w:val="00D174F7"/>
    <w:rsid w:val="00D52BE9"/>
    <w:rsid w:val="00D62F50"/>
    <w:rsid w:val="00D86D93"/>
    <w:rsid w:val="00D94EDD"/>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ECEE-B794-4526-993E-0D147725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12</cp:revision>
  <cp:lastPrinted>2023-09-25T12:25:00Z</cp:lastPrinted>
  <dcterms:created xsi:type="dcterms:W3CDTF">2024-02-12T11:52:00Z</dcterms:created>
  <dcterms:modified xsi:type="dcterms:W3CDTF">2025-05-16T07:52:00Z</dcterms:modified>
</cp:coreProperties>
</file>