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679EA50F" w:rsidR="00C0552B" w:rsidRPr="00A4746A" w:rsidRDefault="008752DF" w:rsidP="00C0552B">
      <w:pPr>
        <w:jc w:val="center"/>
      </w:pPr>
      <w:r>
        <w:rPr>
          <w:rFonts w:eastAsia="Calibri"/>
          <w:b/>
          <w:bCs/>
          <w:lang w:eastAsia="lt-LT"/>
        </w:rPr>
        <w:t>KROVINIŲ VEŽIMĖLIŲ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), 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lastRenderedPageBreak/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969"/>
        <w:gridCol w:w="1134"/>
        <w:gridCol w:w="1134"/>
        <w:gridCol w:w="1134"/>
      </w:tblGrid>
      <w:tr w:rsidR="005824F6" w:rsidRPr="00C429F3" w14:paraId="1C6D9FF3" w14:textId="68140425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4D98CA6A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 xml:space="preserve">Prekių sąrašas </w:t>
            </w:r>
          </w:p>
        </w:tc>
        <w:tc>
          <w:tcPr>
            <w:tcW w:w="3969" w:type="dxa"/>
            <w:vAlign w:val="center"/>
          </w:tcPr>
          <w:p w14:paraId="799A2024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28D00AE7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503F0347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</w:p>
        </w:tc>
        <w:tc>
          <w:tcPr>
            <w:tcW w:w="1134" w:type="dxa"/>
          </w:tcPr>
          <w:p w14:paraId="3F203ED7" w14:textId="628E9E8A" w:rsidR="005824F6" w:rsidRPr="00C429F3" w:rsidRDefault="009C085D" w:rsidP="00C429F3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62EFF740" w14:textId="02F3D666" w:rsidR="005824F6" w:rsidRPr="00C429F3" w:rsidRDefault="009C085D" w:rsidP="009C085D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5824F6" w:rsidRPr="0015610C" w14:paraId="6AB6DDAC" w14:textId="2AED3D19" w:rsidTr="00BE2565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349DE8FF" w14:textId="4E3B985F" w:rsidR="005824F6" w:rsidRPr="0015610C" w:rsidRDefault="008752DF" w:rsidP="00C429F3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Krovinių vežimėlis</w:t>
            </w:r>
          </w:p>
        </w:tc>
        <w:tc>
          <w:tcPr>
            <w:tcW w:w="3969" w:type="dxa"/>
            <w:vAlign w:val="center"/>
          </w:tcPr>
          <w:p w14:paraId="0D5019A9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Aukštis – nuo 100 iki 115 cm.</w:t>
            </w:r>
          </w:p>
          <w:p w14:paraId="54F51C65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Ilgis – nuo 25 iki 45 cm.</w:t>
            </w:r>
          </w:p>
          <w:p w14:paraId="5A4F2AC7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Plotis – nuo 25 iki 45 cm.</w:t>
            </w:r>
          </w:p>
          <w:p w14:paraId="2A28F733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Svoris – ne daugiau kaip 15 kg.</w:t>
            </w:r>
          </w:p>
          <w:p w14:paraId="00A03061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Rėmas turi būti pagamintas iš metalo.</w:t>
            </w:r>
          </w:p>
          <w:p w14:paraId="1C6CAC58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 xml:space="preserve">Turi turėti šešių ratų konstrukciją, kuri leistų krovinį gabenti laiptais. </w:t>
            </w:r>
          </w:p>
          <w:p w14:paraId="101C5ACE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Keliamoji galia, krovinį gabenant ant lygaus paviršiaus, ne mažiau kaip 120 kg.</w:t>
            </w:r>
          </w:p>
          <w:p w14:paraId="2AD43D9B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Keliamoji galia, krovinį gabenant laiptais, ne mažiau kaip 100 kg.</w:t>
            </w:r>
          </w:p>
          <w:p w14:paraId="2B4C3E50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Krovinio pagrindo / platformos matmenys – ne mažesni kaip 300x290 mm.</w:t>
            </w:r>
          </w:p>
          <w:p w14:paraId="26FF3A79" w14:textId="77777777" w:rsidR="008752DF" w:rsidRPr="008752DF" w:rsidRDefault="008752DF" w:rsidP="008752DF">
            <w:pPr>
              <w:suppressAutoHyphens w:val="0"/>
              <w:autoSpaceDN/>
            </w:pPr>
            <w:r w:rsidRPr="008752DF">
              <w:t>Turi būti užlenkiama krovinio platforma / pagrindas.</w:t>
            </w:r>
          </w:p>
          <w:p w14:paraId="29004F90" w14:textId="28730704" w:rsidR="005824F6" w:rsidRPr="0015610C" w:rsidRDefault="008752DF" w:rsidP="008752DF">
            <w:pPr>
              <w:suppressAutoHyphens w:val="0"/>
              <w:autoSpaceDE w:val="0"/>
              <w:adjustRightInd w:val="0"/>
            </w:pPr>
            <w:r w:rsidRPr="008752DF">
              <w:t>Turi būti teleskopinis rankenų mechanizmas aukščiui reguliuoti.</w:t>
            </w:r>
          </w:p>
        </w:tc>
        <w:tc>
          <w:tcPr>
            <w:tcW w:w="1134" w:type="dxa"/>
            <w:vAlign w:val="center"/>
          </w:tcPr>
          <w:p w14:paraId="0BF90163" w14:textId="54350067" w:rsidR="005824F6" w:rsidRPr="0015610C" w:rsidRDefault="008752DF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5824F6" w:rsidRPr="0015610C">
              <w:rPr>
                <w:rFonts w:eastAsia="Calibri"/>
              </w:rPr>
              <w:t xml:space="preserve"> vnt.</w:t>
            </w:r>
          </w:p>
        </w:tc>
        <w:tc>
          <w:tcPr>
            <w:tcW w:w="1134" w:type="dxa"/>
          </w:tcPr>
          <w:p w14:paraId="480814CC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6A4DC2AB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2565" w:rsidRPr="00710090" w14:paraId="11D519AD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2F3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7C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3E8265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B0E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D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C3C91B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906" w14:textId="55BAAFB7" w:rsidR="00BE2565" w:rsidRPr="00710090" w:rsidRDefault="00BE2565" w:rsidP="00AB3E78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 w:rsidR="00697643"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B578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</w:tbl>
    <w:p w14:paraId="63702920" w14:textId="77777777" w:rsidR="00493198" w:rsidRPr="0015610C" w:rsidRDefault="00493198" w:rsidP="0059148B">
      <w:pPr>
        <w:widowControl w:val="0"/>
        <w:jc w:val="both"/>
      </w:pPr>
    </w:p>
    <w:p w14:paraId="794695F8" w14:textId="77777777" w:rsidR="00493198" w:rsidRPr="0015610C" w:rsidRDefault="00493198" w:rsidP="0059148B">
      <w:pPr>
        <w:widowControl w:val="0"/>
        <w:jc w:val="both"/>
      </w:pPr>
    </w:p>
    <w:p w14:paraId="10E073CA" w14:textId="77777777" w:rsidR="00493198" w:rsidRPr="0015610C" w:rsidRDefault="00493198" w:rsidP="0059148B">
      <w:pPr>
        <w:widowControl w:val="0"/>
        <w:jc w:val="both"/>
      </w:pP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lastRenderedPageBreak/>
        <w:t>I</w:t>
      </w:r>
      <w:bookmarkStart w:id="4" w:name="_GoBack"/>
      <w:bookmarkEnd w:id="4"/>
      <w:r w:rsidRPr="0015610C">
        <w:rPr>
          <w:color w:val="000000"/>
        </w:rPr>
        <w:t>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5F28601E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C3706E">
        <w:rPr>
          <w:i/>
          <w:iCs/>
          <w:color w:val="70AD47" w:themeColor="accent6"/>
        </w:rPr>
        <w:t>krovinių vežimėlių</w:t>
      </w:r>
      <w:r w:rsidR="006A5E1E" w:rsidRPr="0015610C">
        <w:rPr>
          <w:i/>
          <w:iCs/>
          <w:color w:val="70AD47" w:themeColor="accent6"/>
        </w:rPr>
        <w:t>,</w:t>
      </w:r>
      <w:r w:rsidRPr="0015610C">
        <w:rPr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41CA7D68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</w:t>
      </w:r>
      <w:r w:rsidR="003A498C">
        <w:rPr>
          <w:bCs/>
          <w:iCs/>
        </w:rPr>
        <w:t>šios</w:t>
      </w:r>
      <w:r w:rsidR="00E965E3" w:rsidRPr="00E965E3">
        <w:rPr>
          <w:bCs/>
          <w:iCs/>
        </w:rPr>
        <w:t xml:space="preserve"> lentelės </w:t>
      </w:r>
      <w:r w:rsidR="003A498C">
        <w:rPr>
          <w:bCs/>
          <w:iCs/>
        </w:rPr>
        <w:t xml:space="preserve">3 </w:t>
      </w:r>
      <w:r w:rsidR="00E965E3" w:rsidRPr="00E965E3">
        <w:rPr>
          <w:bCs/>
          <w:iCs/>
        </w:rPr>
        <w:t>stulpelyje prekių reikalaujamos charakteristikos Pirkėjui 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3544"/>
        <w:gridCol w:w="3685"/>
      </w:tblGrid>
      <w:tr w:rsidR="00E965E3" w:rsidRPr="006F03DF" w14:paraId="75C9A856" w14:textId="77777777" w:rsidTr="00E86DA0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276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3544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685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583454" w:rsidRDefault="00E965E3" w:rsidP="00E965E3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</w:t>
            </w:r>
            <w:r w:rsidRPr="00583454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1828F19C" w14:textId="685399E8" w:rsidR="00E965E3" w:rsidRPr="008256AA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  <w:r w:rsidRPr="00583454">
              <w:rPr>
                <w:bCs/>
                <w:color w:val="FF0000"/>
              </w:rPr>
              <w:t xml:space="preserve">Draudžiama </w:t>
            </w:r>
            <w:r w:rsidR="00A43D3C" w:rsidRPr="00583454">
              <w:rPr>
                <w:bCs/>
                <w:color w:val="FF0000"/>
              </w:rPr>
              <w:t>,,</w:t>
            </w:r>
            <w:r w:rsidRPr="00583454">
              <w:rPr>
                <w:bCs/>
                <w:color w:val="FF0000"/>
              </w:rPr>
              <w:t>kelti</w:t>
            </w:r>
            <w:r w:rsidR="00A43D3C" w:rsidRPr="00583454">
              <w:rPr>
                <w:bCs/>
                <w:color w:val="FF0000"/>
              </w:rPr>
              <w:t>“</w:t>
            </w:r>
            <w:r w:rsidRPr="00583454">
              <w:rPr>
                <w:bCs/>
                <w:color w:val="FF0000"/>
              </w:rPr>
              <w:t xml:space="preserve"> prekių nuorodas į internetinį puslapį</w:t>
            </w:r>
            <w:r w:rsidR="001915CC" w:rsidRPr="00583454">
              <w:rPr>
                <w:bCs/>
                <w:color w:val="FF0000"/>
              </w:rPr>
              <w:t>.</w:t>
            </w:r>
          </w:p>
        </w:tc>
      </w:tr>
      <w:tr w:rsidR="00041237" w:rsidRPr="006F03DF" w14:paraId="2A6B0D58" w14:textId="77777777" w:rsidTr="00E86DA0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44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685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E86DA0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2936DE" w:rsidRDefault="00E965E3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1.</w:t>
            </w:r>
          </w:p>
        </w:tc>
        <w:tc>
          <w:tcPr>
            <w:tcW w:w="1276" w:type="dxa"/>
            <w:vAlign w:val="center"/>
          </w:tcPr>
          <w:p w14:paraId="42D41F58" w14:textId="72C9F0B4" w:rsidR="00E965E3" w:rsidRPr="00121FE3" w:rsidRDefault="00E86DA0" w:rsidP="00787D8C">
            <w:pPr>
              <w:suppressAutoHyphens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</w:rPr>
              <w:t>Krovinių vežimėlis</w:t>
            </w:r>
          </w:p>
        </w:tc>
        <w:tc>
          <w:tcPr>
            <w:tcW w:w="3544" w:type="dxa"/>
            <w:vAlign w:val="center"/>
          </w:tcPr>
          <w:p w14:paraId="08CBE883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Aukštis – nuo 100 iki 115 cm.</w:t>
            </w:r>
          </w:p>
          <w:p w14:paraId="11A38CA9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Ilgis – nuo 25 iki 45 cm.</w:t>
            </w:r>
          </w:p>
          <w:p w14:paraId="4A57E32B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Plotis – nuo 25 iki 45 cm.</w:t>
            </w:r>
          </w:p>
          <w:p w14:paraId="28B2D62B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Svoris – ne daugiau kaip 15 kg.</w:t>
            </w:r>
          </w:p>
          <w:p w14:paraId="6FCEF886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Rėmas turi būti pagamintas iš metalo.</w:t>
            </w:r>
          </w:p>
          <w:p w14:paraId="722122C4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 xml:space="preserve">Turi turėti šešių ratų konstrukciją, kuri leistų krovinį gabenti laiptais. </w:t>
            </w:r>
          </w:p>
          <w:p w14:paraId="7C3F9D3B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Keliamoji galia, krovinį gabenant ant lygaus paviršiaus, ne mažiau kaip 120 kg.</w:t>
            </w:r>
          </w:p>
          <w:p w14:paraId="2F7FCD28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lastRenderedPageBreak/>
              <w:t>Keliamoji galia, krovinį gabenant laiptais, ne mažiau kaip 100 kg.</w:t>
            </w:r>
          </w:p>
          <w:p w14:paraId="54EE4096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Krovinio pagrindo / platformos matmenys – ne mažesni kaip 300x290 mm.</w:t>
            </w:r>
          </w:p>
          <w:p w14:paraId="53309827" w14:textId="77777777" w:rsidR="00E86DA0" w:rsidRPr="008752DF" w:rsidRDefault="00E86DA0" w:rsidP="00E86DA0">
            <w:pPr>
              <w:suppressAutoHyphens w:val="0"/>
              <w:autoSpaceDN/>
            </w:pPr>
            <w:r w:rsidRPr="008752DF">
              <w:t>Turi būti užlenkiama krovinio platforma / pagrindas.</w:t>
            </w:r>
          </w:p>
          <w:p w14:paraId="5EC33F52" w14:textId="0A49EBF5" w:rsidR="001B0C84" w:rsidRPr="00121FE3" w:rsidRDefault="00E86DA0" w:rsidP="00E86DA0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  <w:r w:rsidRPr="008752DF">
              <w:t>Turi būti teleskopinis rankenų mechanizmas aukščiui reguliuoti.</w:t>
            </w:r>
          </w:p>
        </w:tc>
        <w:tc>
          <w:tcPr>
            <w:tcW w:w="3685" w:type="dxa"/>
          </w:tcPr>
          <w:p w14:paraId="05836DDE" w14:textId="77777777" w:rsidR="00E86DA0" w:rsidRDefault="00E86DA0" w:rsidP="009C085D">
            <w:pPr>
              <w:suppressAutoHyphens w:val="0"/>
              <w:autoSpaceDN/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Aukštis</w:t>
            </w:r>
            <w:r w:rsidR="009C085D" w:rsidRPr="00121FE3">
              <w:rPr>
                <w:color w:val="000000"/>
                <w:lang w:eastAsia="lt-LT"/>
              </w:rPr>
              <w:t xml:space="preserve"> </w:t>
            </w:r>
            <w:r w:rsidR="009C085D" w:rsidRPr="00121FE3">
              <w:rPr>
                <w:i/>
                <w:color w:val="000000"/>
                <w:sz w:val="20"/>
                <w:szCs w:val="20"/>
                <w:lang w:eastAsia="lt-LT"/>
              </w:rPr>
              <w:t>(nurodoma konkreti  reikšmė)...........</w:t>
            </w:r>
            <w:r w:rsidR="009C085D" w:rsidRPr="00121FE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c</w:t>
            </w:r>
            <w:r w:rsidR="009C085D" w:rsidRPr="00121FE3">
              <w:rPr>
                <w:color w:val="000000"/>
                <w:lang w:eastAsia="lt-LT"/>
              </w:rPr>
              <w:t xml:space="preserve">m, </w:t>
            </w:r>
          </w:p>
          <w:p w14:paraId="575EDFE6" w14:textId="78CCA9CA" w:rsidR="009C085D" w:rsidRPr="00121FE3" w:rsidRDefault="00E86DA0" w:rsidP="009C085D">
            <w:pPr>
              <w:suppressAutoHyphens w:val="0"/>
              <w:autoSpaceDN/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Ilgis </w:t>
            </w:r>
            <w:r w:rsidR="009C085D" w:rsidRPr="00121FE3">
              <w:rPr>
                <w:i/>
                <w:color w:val="000000"/>
                <w:sz w:val="18"/>
                <w:szCs w:val="18"/>
                <w:lang w:eastAsia="lt-LT"/>
              </w:rPr>
              <w:t xml:space="preserve">(nurodoma konkreti reikšmė) </w:t>
            </w:r>
            <w:r>
              <w:rPr>
                <w:i/>
                <w:color w:val="000000"/>
                <w:sz w:val="18"/>
                <w:szCs w:val="18"/>
                <w:lang w:eastAsia="lt-LT"/>
              </w:rPr>
              <w:t>.....</w:t>
            </w:r>
            <w:r>
              <w:rPr>
                <w:color w:val="000000"/>
                <w:lang w:eastAsia="lt-LT"/>
              </w:rPr>
              <w:t>cm</w:t>
            </w:r>
            <w:r w:rsidR="009C085D" w:rsidRPr="00121FE3">
              <w:rPr>
                <w:color w:val="000000"/>
                <w:lang w:eastAsia="lt-LT"/>
              </w:rPr>
              <w:t xml:space="preserve"> </w:t>
            </w:r>
          </w:p>
          <w:p w14:paraId="08478F57" w14:textId="77777777" w:rsidR="00E0071D" w:rsidRDefault="00E86DA0" w:rsidP="00E86DA0">
            <w:pPr>
              <w:suppressAutoHyphens w:val="0"/>
              <w:autoSpaceDN/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Plotis.......</w:t>
            </w:r>
            <w:r w:rsidR="009C085D" w:rsidRPr="00121FE3">
              <w:rPr>
                <w:color w:val="000000"/>
                <w:lang w:eastAsia="lt-LT"/>
              </w:rPr>
              <w:t xml:space="preserve"> </w:t>
            </w:r>
            <w:r w:rsidR="009C085D" w:rsidRPr="00121FE3">
              <w:rPr>
                <w:i/>
                <w:color w:val="000000"/>
                <w:sz w:val="18"/>
                <w:szCs w:val="18"/>
                <w:lang w:eastAsia="lt-LT"/>
              </w:rPr>
              <w:t xml:space="preserve">(nurodoma konkreti reikšmė) </w:t>
            </w:r>
            <w:r w:rsidR="009C085D" w:rsidRPr="00121FE3">
              <w:rPr>
                <w:color w:val="000000"/>
                <w:lang w:eastAsia="lt-LT"/>
              </w:rPr>
              <w:t>...............</w:t>
            </w:r>
            <w:r>
              <w:rPr>
                <w:color w:val="000000"/>
                <w:lang w:eastAsia="lt-LT"/>
              </w:rPr>
              <w:t>cm</w:t>
            </w:r>
            <w:r w:rsidR="009C085D" w:rsidRPr="00121FE3">
              <w:rPr>
                <w:color w:val="000000"/>
                <w:lang w:eastAsia="lt-LT"/>
              </w:rPr>
              <w:t>.</w:t>
            </w:r>
          </w:p>
          <w:p w14:paraId="4E311BE7" w14:textId="77777777" w:rsidR="00E86DA0" w:rsidRDefault="00E86DA0" w:rsidP="00E86DA0">
            <w:pPr>
              <w:suppressAutoHyphens w:val="0"/>
              <w:autoSpaceDN/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Svoris ....kg.</w:t>
            </w:r>
          </w:p>
          <w:p w14:paraId="0EC254BB" w14:textId="62BF2098" w:rsidR="00E86DA0" w:rsidRDefault="00E86DA0" w:rsidP="00E86DA0">
            <w:pPr>
              <w:suppressAutoHyphens w:val="0"/>
              <w:autoSpaceDN/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Rėmas pagamintas iš metalo.</w:t>
            </w:r>
            <w:r w:rsidR="00F2577A">
              <w:rPr>
                <w:color w:val="000000"/>
                <w:lang w:eastAsia="lt-LT"/>
              </w:rPr>
              <w:t xml:space="preserve"> Su </w:t>
            </w:r>
            <w:r w:rsidR="00F2577A">
              <w:t>šešių ratų konstrukcija</w:t>
            </w:r>
            <w:r w:rsidR="00F2577A" w:rsidRPr="008752DF">
              <w:t xml:space="preserve">, kuri </w:t>
            </w:r>
            <w:r w:rsidR="00F2577A">
              <w:t>leidžia</w:t>
            </w:r>
            <w:r w:rsidR="00F2577A" w:rsidRPr="008752DF">
              <w:t xml:space="preserve"> krovinį gabenti laiptais</w:t>
            </w:r>
            <w:r w:rsidR="00F2577A">
              <w:t>.</w:t>
            </w:r>
          </w:p>
          <w:p w14:paraId="4E8262D0" w14:textId="4353872A" w:rsidR="00E86DA0" w:rsidRPr="008752DF" w:rsidRDefault="00E86DA0" w:rsidP="00E86DA0">
            <w:pPr>
              <w:suppressAutoHyphens w:val="0"/>
              <w:autoSpaceDN/>
            </w:pPr>
            <w:r w:rsidRPr="008752DF">
              <w:lastRenderedPageBreak/>
              <w:t>Keliamoji galia, krovinį gabenant ant lygaus paviršiaus</w:t>
            </w:r>
            <w:r w:rsidR="008915AE">
              <w:t xml:space="preserve"> </w:t>
            </w:r>
            <w:r w:rsidR="008915AE" w:rsidRPr="00121FE3">
              <w:rPr>
                <w:i/>
                <w:color w:val="000000"/>
                <w:sz w:val="20"/>
                <w:szCs w:val="20"/>
                <w:lang w:eastAsia="lt-LT"/>
              </w:rPr>
              <w:t>(nurodoma konkreti  reikšmė)</w:t>
            </w:r>
            <w:r w:rsidR="008915AE">
              <w:t>..........</w:t>
            </w:r>
            <w:r w:rsidRPr="008752DF">
              <w:t> kg.</w:t>
            </w:r>
          </w:p>
          <w:p w14:paraId="7B15A192" w14:textId="31E546F5" w:rsidR="00E86DA0" w:rsidRPr="008752DF" w:rsidRDefault="00E86DA0" w:rsidP="00E86DA0">
            <w:pPr>
              <w:suppressAutoHyphens w:val="0"/>
              <w:autoSpaceDN/>
            </w:pPr>
            <w:r w:rsidRPr="008752DF">
              <w:t>Keliamoji galia, krovinį gabenant laiptais</w:t>
            </w:r>
            <w:r w:rsidR="008915AE">
              <w:t xml:space="preserve"> </w:t>
            </w:r>
            <w:r w:rsidR="008915AE" w:rsidRPr="00121FE3">
              <w:rPr>
                <w:i/>
                <w:color w:val="000000"/>
                <w:sz w:val="20"/>
                <w:szCs w:val="20"/>
                <w:lang w:eastAsia="lt-LT"/>
              </w:rPr>
              <w:t>(nurodoma konkreti  reikšmė)</w:t>
            </w:r>
            <w:r w:rsidR="008915AE">
              <w:rPr>
                <w:i/>
                <w:color w:val="000000"/>
                <w:sz w:val="20"/>
                <w:szCs w:val="20"/>
                <w:lang w:eastAsia="lt-LT"/>
              </w:rPr>
              <w:t>.......</w:t>
            </w:r>
            <w:r w:rsidRPr="008752DF">
              <w:t>kg.</w:t>
            </w:r>
          </w:p>
          <w:p w14:paraId="07E46058" w14:textId="10E8301D" w:rsidR="00E86DA0" w:rsidRPr="008752DF" w:rsidRDefault="00E86DA0" w:rsidP="00E86DA0">
            <w:pPr>
              <w:suppressAutoHyphens w:val="0"/>
              <w:autoSpaceDN/>
            </w:pPr>
            <w:r w:rsidRPr="008752DF">
              <w:t xml:space="preserve">Krovinio pagrindo / platformos matmenys – </w:t>
            </w:r>
            <w:r w:rsidR="008915AE" w:rsidRPr="00121FE3">
              <w:rPr>
                <w:i/>
                <w:color w:val="000000"/>
                <w:sz w:val="20"/>
                <w:szCs w:val="20"/>
                <w:lang w:eastAsia="lt-LT"/>
              </w:rPr>
              <w:t>(nurodoma konkreti  reikšmė)</w:t>
            </w:r>
            <w:r w:rsidR="008915AE">
              <w:rPr>
                <w:i/>
                <w:color w:val="000000"/>
                <w:sz w:val="20"/>
                <w:szCs w:val="20"/>
                <w:lang w:eastAsia="lt-LT"/>
              </w:rPr>
              <w:t>......</w:t>
            </w:r>
            <w:r w:rsidRPr="008752DF">
              <w:t>mm.</w:t>
            </w:r>
          </w:p>
          <w:p w14:paraId="6E9B6BF3" w14:textId="77777777" w:rsidR="008915AE" w:rsidRDefault="008915AE" w:rsidP="008915AE">
            <w:pPr>
              <w:suppressAutoHyphens w:val="0"/>
              <w:autoSpaceDN/>
            </w:pPr>
            <w:r>
              <w:t>U</w:t>
            </w:r>
            <w:r w:rsidR="00E86DA0" w:rsidRPr="008752DF">
              <w:t>žlenkiama krovinio platforma / pagrindas.</w:t>
            </w:r>
          </w:p>
          <w:p w14:paraId="03610A27" w14:textId="6FCFB285" w:rsidR="00E86DA0" w:rsidRPr="008915AE" w:rsidRDefault="008915AE" w:rsidP="008915AE">
            <w:pPr>
              <w:suppressAutoHyphens w:val="0"/>
              <w:autoSpaceDN/>
            </w:pPr>
            <w:r>
              <w:t>T</w:t>
            </w:r>
            <w:r w:rsidR="00E86DA0" w:rsidRPr="008752DF">
              <w:t>eleskopinis rankenų mechanizmas aukščiui reguliuoti.</w:t>
            </w: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6D62" w14:textId="77777777" w:rsidR="00271168" w:rsidRDefault="00271168" w:rsidP="00C0552B">
      <w:r>
        <w:separator/>
      </w:r>
    </w:p>
  </w:endnote>
  <w:endnote w:type="continuationSeparator" w:id="0">
    <w:p w14:paraId="7ABE57E0" w14:textId="77777777" w:rsidR="00271168" w:rsidRDefault="00271168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6CA51589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491A00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F4E1" w14:textId="77777777" w:rsidR="00271168" w:rsidRDefault="00271168" w:rsidP="00C0552B">
      <w:r>
        <w:separator/>
      </w:r>
    </w:p>
  </w:footnote>
  <w:footnote w:type="continuationSeparator" w:id="0">
    <w:p w14:paraId="71AC45CC" w14:textId="77777777" w:rsidR="00271168" w:rsidRDefault="00271168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AAEDA25" w14:textId="77777777" w:rsidR="00BE2565" w:rsidRPr="00117053" w:rsidRDefault="00BE2565" w:rsidP="00BE2565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30F38DEA" w14:textId="77777777" w:rsidR="00BE2565" w:rsidRDefault="00BE2565" w:rsidP="00BE2565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5992"/>
    <w:rsid w:val="00220252"/>
    <w:rsid w:val="00234AF3"/>
    <w:rsid w:val="00237A5B"/>
    <w:rsid w:val="00245A57"/>
    <w:rsid w:val="00251784"/>
    <w:rsid w:val="00254EE9"/>
    <w:rsid w:val="00260E7B"/>
    <w:rsid w:val="00262B25"/>
    <w:rsid w:val="00264DB7"/>
    <w:rsid w:val="00271168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4907"/>
    <w:rsid w:val="002E439D"/>
    <w:rsid w:val="002E6E35"/>
    <w:rsid w:val="002E7A89"/>
    <w:rsid w:val="002F52C9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6DE3"/>
    <w:rsid w:val="003A498C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63841"/>
    <w:rsid w:val="004701B2"/>
    <w:rsid w:val="00470ECD"/>
    <w:rsid w:val="00473DAB"/>
    <w:rsid w:val="00484E37"/>
    <w:rsid w:val="00491A00"/>
    <w:rsid w:val="00493198"/>
    <w:rsid w:val="004A44DD"/>
    <w:rsid w:val="004B06E5"/>
    <w:rsid w:val="004B63C9"/>
    <w:rsid w:val="004C2491"/>
    <w:rsid w:val="004C2840"/>
    <w:rsid w:val="004D3587"/>
    <w:rsid w:val="004E665E"/>
    <w:rsid w:val="004F5885"/>
    <w:rsid w:val="005032CE"/>
    <w:rsid w:val="00506341"/>
    <w:rsid w:val="00507541"/>
    <w:rsid w:val="005176CF"/>
    <w:rsid w:val="005216E7"/>
    <w:rsid w:val="0052565C"/>
    <w:rsid w:val="00533FB8"/>
    <w:rsid w:val="00534009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A13A7"/>
    <w:rsid w:val="005A5833"/>
    <w:rsid w:val="005D0010"/>
    <w:rsid w:val="005D01AE"/>
    <w:rsid w:val="005D4437"/>
    <w:rsid w:val="005D5CA5"/>
    <w:rsid w:val="005E1706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4DD"/>
    <w:rsid w:val="007B36D7"/>
    <w:rsid w:val="007C2B8E"/>
    <w:rsid w:val="007F617C"/>
    <w:rsid w:val="00800955"/>
    <w:rsid w:val="00804CDD"/>
    <w:rsid w:val="00806E80"/>
    <w:rsid w:val="0081147C"/>
    <w:rsid w:val="008207C2"/>
    <w:rsid w:val="008209DC"/>
    <w:rsid w:val="008256AA"/>
    <w:rsid w:val="008336FA"/>
    <w:rsid w:val="00835E99"/>
    <w:rsid w:val="008369E8"/>
    <w:rsid w:val="00847BD8"/>
    <w:rsid w:val="00850EB1"/>
    <w:rsid w:val="00854491"/>
    <w:rsid w:val="00865954"/>
    <w:rsid w:val="00866721"/>
    <w:rsid w:val="00873CA7"/>
    <w:rsid w:val="008752DF"/>
    <w:rsid w:val="008758E5"/>
    <w:rsid w:val="00884ADA"/>
    <w:rsid w:val="008915AE"/>
    <w:rsid w:val="00894130"/>
    <w:rsid w:val="008A6849"/>
    <w:rsid w:val="008C342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67ADE"/>
    <w:rsid w:val="00972719"/>
    <w:rsid w:val="00974A9E"/>
    <w:rsid w:val="009857A3"/>
    <w:rsid w:val="00987B91"/>
    <w:rsid w:val="009917B2"/>
    <w:rsid w:val="009C085D"/>
    <w:rsid w:val="009C08C0"/>
    <w:rsid w:val="009C1E25"/>
    <w:rsid w:val="009C7577"/>
    <w:rsid w:val="009D76E2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552FF"/>
    <w:rsid w:val="00A6032C"/>
    <w:rsid w:val="00A619F7"/>
    <w:rsid w:val="00A714FB"/>
    <w:rsid w:val="00A76D8A"/>
    <w:rsid w:val="00A76F37"/>
    <w:rsid w:val="00A857A4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6354"/>
    <w:rsid w:val="00B4131B"/>
    <w:rsid w:val="00B66C79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3706E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4BBD"/>
    <w:rsid w:val="00CB1520"/>
    <w:rsid w:val="00CB3EB3"/>
    <w:rsid w:val="00CB4456"/>
    <w:rsid w:val="00CC66B9"/>
    <w:rsid w:val="00CD1260"/>
    <w:rsid w:val="00CD79BF"/>
    <w:rsid w:val="00CE226A"/>
    <w:rsid w:val="00CF72E1"/>
    <w:rsid w:val="00CF7E23"/>
    <w:rsid w:val="00D03EEF"/>
    <w:rsid w:val="00D06846"/>
    <w:rsid w:val="00D06D40"/>
    <w:rsid w:val="00D128BB"/>
    <w:rsid w:val="00D21D75"/>
    <w:rsid w:val="00D25ACE"/>
    <w:rsid w:val="00D33CD8"/>
    <w:rsid w:val="00D5037D"/>
    <w:rsid w:val="00D539E0"/>
    <w:rsid w:val="00D56CE3"/>
    <w:rsid w:val="00D6023B"/>
    <w:rsid w:val="00D702B4"/>
    <w:rsid w:val="00D7141B"/>
    <w:rsid w:val="00D82E47"/>
    <w:rsid w:val="00D93D06"/>
    <w:rsid w:val="00D9606A"/>
    <w:rsid w:val="00D96C6A"/>
    <w:rsid w:val="00D97AE1"/>
    <w:rsid w:val="00DB3D25"/>
    <w:rsid w:val="00DD3A2D"/>
    <w:rsid w:val="00DE32AB"/>
    <w:rsid w:val="00E0071D"/>
    <w:rsid w:val="00E03928"/>
    <w:rsid w:val="00E05693"/>
    <w:rsid w:val="00E14E63"/>
    <w:rsid w:val="00E151C4"/>
    <w:rsid w:val="00E26CEB"/>
    <w:rsid w:val="00E33439"/>
    <w:rsid w:val="00E370ED"/>
    <w:rsid w:val="00E642A0"/>
    <w:rsid w:val="00E77213"/>
    <w:rsid w:val="00E837C3"/>
    <w:rsid w:val="00E86DA0"/>
    <w:rsid w:val="00E965E3"/>
    <w:rsid w:val="00E978A5"/>
    <w:rsid w:val="00EA59BE"/>
    <w:rsid w:val="00EA5DCC"/>
    <w:rsid w:val="00EB204B"/>
    <w:rsid w:val="00EB7CB0"/>
    <w:rsid w:val="00EC5C63"/>
    <w:rsid w:val="00ED7AF1"/>
    <w:rsid w:val="00EF769F"/>
    <w:rsid w:val="00F01C56"/>
    <w:rsid w:val="00F1010E"/>
    <w:rsid w:val="00F16994"/>
    <w:rsid w:val="00F2577A"/>
    <w:rsid w:val="00F25F90"/>
    <w:rsid w:val="00F2675E"/>
    <w:rsid w:val="00F30DAE"/>
    <w:rsid w:val="00F451FF"/>
    <w:rsid w:val="00F468B8"/>
    <w:rsid w:val="00F54BF5"/>
    <w:rsid w:val="00F60DBD"/>
    <w:rsid w:val="00F67BA4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B120-2DE8-4D59-B23F-CB1B11F3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375</cp:revision>
  <dcterms:created xsi:type="dcterms:W3CDTF">2024-03-27T09:27:00Z</dcterms:created>
  <dcterms:modified xsi:type="dcterms:W3CDTF">2025-05-21T11:03:00Z</dcterms:modified>
</cp:coreProperties>
</file>