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Pr="00AC4F68" w:rsidRDefault="003C01B9" w:rsidP="00CE6A1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Pirkimo</w:t>
      </w:r>
      <w:r w:rsidR="00B63C10">
        <w:rPr>
          <w:rFonts w:ascii="Times New Roman" w:hAnsi="Times New Roman" w:cs="Times New Roman"/>
          <w:sz w:val="24"/>
          <w:szCs w:val="24"/>
        </w:rPr>
        <w:t xml:space="preserve"> sąlygų </w:t>
      </w:r>
      <w:r w:rsidR="00487CC5">
        <w:rPr>
          <w:rFonts w:ascii="Times New Roman" w:hAnsi="Times New Roman" w:cs="Times New Roman"/>
          <w:sz w:val="24"/>
          <w:szCs w:val="24"/>
        </w:rPr>
        <w:t>7 priedas</w:t>
      </w:r>
    </w:p>
    <w:p w:rsidR="00AC4F68" w:rsidRPr="00AC4F68" w:rsidRDefault="00AC4F68" w:rsidP="00AC4F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F68">
        <w:rPr>
          <w:rFonts w:ascii="Times New Roman" w:hAnsi="Times New Roman" w:cs="Times New Roman"/>
          <w:b/>
          <w:sz w:val="24"/>
          <w:szCs w:val="24"/>
        </w:rPr>
        <w:t>TECHNINIAI REIKALAVIMAI ĮRENGINIAMS</w:t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98"/>
        <w:gridCol w:w="4707"/>
        <w:gridCol w:w="3988"/>
      </w:tblGrid>
      <w:tr w:rsidR="00CE6A1B" w:rsidTr="00CE6A1B">
        <w:tc>
          <w:tcPr>
            <w:tcW w:w="798" w:type="dxa"/>
          </w:tcPr>
          <w:p w:rsidR="00CE6A1B" w:rsidRDefault="00096469" w:rsidP="009F5CF7">
            <w:pPr>
              <w:jc w:val="center"/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  <w:t>Eil. N</w:t>
            </w:r>
            <w:r w:rsidR="00CE6A1B"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  <w:t>r.</w:t>
            </w:r>
          </w:p>
        </w:tc>
        <w:tc>
          <w:tcPr>
            <w:tcW w:w="4707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  <w:t>Prekės pavadinimas, aprašymas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  <w:t>Tiekėjo siūlomos prekės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4"/>
                <w14:ligatures w14:val="none"/>
              </w:rPr>
              <w:t>(konkrečios charakteristikos ir kita informacija)</w:t>
            </w: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9E47AD"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1.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1.1.</w:t>
            </w:r>
          </w:p>
        </w:tc>
        <w:tc>
          <w:tcPr>
            <w:tcW w:w="4707" w:type="dxa"/>
          </w:tcPr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Vaikų  daugiafunkcinis žaidimų kompleksas.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Įrenginio pvz.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Vizualizacija tik informacinio pobūdžio.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31E0BACE" wp14:editId="156B3459">
                  <wp:extent cx="2095500" cy="2659380"/>
                  <wp:effectExtent l="0" t="0" r="0" b="7620"/>
                  <wp:docPr id="3441183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65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Komplekso matmenys: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Plotis ne mažesnis nei 3,50 m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Ilgis ne mažesnis nei 3,85 m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Aukštis ne mažesnis nei 2,85 m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Kritimo aukštis iki 1,25 m.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Įrenginio saugos zona ne didesnė nei – 6,85 x 6,99 m.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Kompleksas turi būti iš bokštelių, skirtingo aukščio platformų, sujungtų judančiu tilteliu, nuožulnia rampa, žaidimų sienelių, čiuožyklos.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Konstrukcija medinė, statoma ant metalinių kojų, kurios įbetonuojamos.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Metalinės detalės cinkuotos, nudažytos milteliniu būdu ir galvanizuotos, medinės dalys pagamintos iš klijuotos,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impregnuotos ir lakuotos aplinkos poveikiui atspariu laku medienos. Apdailos detalės pagamintos iš HDPE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plokštės, čiuožykla - nerūdijančio plieno.</w:t>
            </w:r>
          </w:p>
          <w:p w:rsidR="00FC60D4" w:rsidRPr="00FC60D4" w:rsidRDefault="00FC60D4" w:rsidP="009F5CF7">
            <w:pPr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</w:pPr>
          </w:p>
          <w:p w:rsidR="00CE6A1B" w:rsidRPr="00BC0B75" w:rsidRDefault="00FC60D4" w:rsidP="009F5CF7">
            <w:pPr>
              <w:rPr>
                <w:rFonts w:ascii="Times New Roman" w:hAnsi="Times New Roman" w:cs="Times New Roman"/>
                <w:b/>
                <w:bCs/>
              </w:rPr>
            </w:pPr>
            <w:r w:rsidRPr="00FC60D4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Gaminys turi atitikti EN 1176:2018 standarto reikalavimus.</w:t>
            </w:r>
            <w:r w:rsidRPr="00FC60D4">
              <w:rPr>
                <w:rFonts w:ascii="Calibri" w:eastAsia="Calibri" w:hAnsi="Calibri" w:cs="Calibri"/>
                <w:color w:val="000000"/>
                <w:lang w:eastAsia="lt-LT"/>
              </w:rPr>
              <w:t xml:space="preserve"> </w:t>
            </w:r>
            <w:r w:rsidRPr="00FC60D4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HN 131 higienos normos reikalavimus.</w:t>
            </w:r>
          </w:p>
        </w:tc>
        <w:tc>
          <w:tcPr>
            <w:tcW w:w="3988" w:type="dxa"/>
          </w:tcPr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2.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Pr="009E47AD" w:rsidRDefault="00CE6A1B" w:rsidP="009F5CF7">
            <w:pP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2.1.</w:t>
            </w:r>
          </w:p>
        </w:tc>
        <w:tc>
          <w:tcPr>
            <w:tcW w:w="4707" w:type="dxa"/>
          </w:tcPr>
          <w:p w:rsidR="00CE6A1B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FF56B1">
              <w:rPr>
                <w:rFonts w:ascii="Times New Roman" w:hAnsi="Times New Roman" w:cs="Times New Roman"/>
              </w:rPr>
              <w:lastRenderedPageBreak/>
              <w:t xml:space="preserve">Sūpynės </w:t>
            </w:r>
            <w:r>
              <w:rPr>
                <w:rFonts w:ascii="Times New Roman" w:hAnsi="Times New Roman" w:cs="Times New Roman"/>
              </w:rPr>
              <w:t>su gandro lizdas.</w:t>
            </w:r>
          </w:p>
          <w:p w:rsidR="00CE6A1B" w:rsidRPr="00FF56B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lastRenderedPageBreak/>
              <w:t>Įrenginio pvz.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Vizualizacija tik informacinio pobūdžio.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2B8ADE2" wp14:editId="11F38A80">
                  <wp:extent cx="1752600" cy="1226154"/>
                  <wp:effectExtent l="0" t="0" r="0" b="0"/>
                  <wp:docPr id="67060496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0496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371" cy="1231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Sūpynės konstrukcija turi būti komplektuojama su gandro lizdo krepšiu ne mažesniu nei 1m diametro.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Komplekso matmenys: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Plotis ne didesnis nei 1,80 m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Ilgis ne didesnis nei 2,65 m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Aukštis ne didesnis nei 2,30 m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Kritimo aukštis iki 1,2 m. 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Saugos zona turi būti ne didesnė nei 7,3x3 m.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Įrenginio kolonos turi būti pagamintos iš klijuotos medienos konstrukcijos, mediena yra impregnuota, nudažyta ir nulakuota aplinkos poveikiui atspariu laku, kolonos statomos ant įbetonuojamų metalinių </w:t>
            </w:r>
            <w:proofErr w:type="spellStart"/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>ankeriavimo</w:t>
            </w:r>
            <w:proofErr w:type="spellEnd"/>
            <w:r w:rsidRPr="00FC60D4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elementų. Visos metalinės detalės turėtų būti cinkuotos, nudažytos ir galvanizuotos.</w:t>
            </w:r>
          </w:p>
          <w:p w:rsidR="00FC60D4" w:rsidRPr="00FC60D4" w:rsidRDefault="00FC60D4" w:rsidP="00FC60D4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CE6A1B" w:rsidRPr="00BC0B75" w:rsidRDefault="00FC60D4" w:rsidP="00FC60D4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FC60D4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Gaminys turi atitikti EN 1176:2018 reikalavimus.</w:t>
            </w:r>
          </w:p>
        </w:tc>
        <w:tc>
          <w:tcPr>
            <w:tcW w:w="3988" w:type="dxa"/>
          </w:tcPr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3.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3.1.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3.2.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5F16F6" w:rsidRDefault="005F16F6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lastRenderedPageBreak/>
              <w:t>3.3.</w:t>
            </w:r>
          </w:p>
        </w:tc>
        <w:tc>
          <w:tcPr>
            <w:tcW w:w="4707" w:type="dxa"/>
          </w:tcPr>
          <w:p w:rsidR="00CE6A1B" w:rsidRPr="00026EE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026EE1">
              <w:rPr>
                <w:rFonts w:ascii="Times New Roman" w:hAnsi="Times New Roman" w:cs="Times New Roman"/>
              </w:rPr>
              <w:lastRenderedPageBreak/>
              <w:t>Smėlio dėžė su dangčiu</w:t>
            </w:r>
          </w:p>
          <w:p w:rsidR="00CE6A1B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</w:pP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t>Įrenginio pvz.</w:t>
            </w:r>
            <w:r w:rsidRPr="005F16F6">
              <w:rPr>
                <w:rFonts w:ascii="Times New Roman" w:eastAsia="Calibri" w:hAnsi="Times New Roman" w:cs="Times New Roman"/>
                <w:noProof/>
                <w:color w:val="000000"/>
                <w:lang w:eastAsia="lt-LT"/>
              </w:rPr>
              <w:t xml:space="preserve"> 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5F16F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Vizualizacija tik informacinio pobūdžio.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lt-LT"/>
              </w:rPr>
            </w:pP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F16F6">
              <w:rPr>
                <w:rFonts w:ascii="Times New Roman" w:eastAsia="Calibri" w:hAnsi="Times New Roman" w:cs="Times New Roman"/>
                <w:noProof/>
                <w:color w:val="000000"/>
                <w:sz w:val="24"/>
                <w:lang w:eastAsia="lt-LT"/>
              </w:rPr>
              <w:drawing>
                <wp:inline distT="0" distB="0" distL="0" distR="0" wp14:anchorId="6F945F54" wp14:editId="2A1A0D82">
                  <wp:extent cx="2438740" cy="1343212"/>
                  <wp:effectExtent l="0" t="0" r="0" b="9525"/>
                  <wp:docPr id="162768524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68524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740" cy="13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t>Išmatavimai: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t>Ilgis – ne trumpesnė kaip 1450 mm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Plotis – ne siauresnė kaip 1450  mm 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t-LT"/>
              </w:rPr>
            </w:pP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Įrenginio konstrukcija turi būti iš plieno, visi Apdailos elementai turi būti pagaminti iš HDPE </w:t>
            </w:r>
            <w:r w:rsidRPr="005F16F6">
              <w:rPr>
                <w:rFonts w:ascii="Times New Roman" w:eastAsia="Calibri" w:hAnsi="Times New Roman" w:cs="Times New Roman"/>
                <w:color w:val="000000"/>
                <w:lang w:eastAsia="lt-LT"/>
              </w:rPr>
              <w:lastRenderedPageBreak/>
              <w:t xml:space="preserve">(aukšto tankio polietileno) arba HPL (Aukšto tankio laminatas), negali būti naudojama mediena. 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5F16F6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Turi būti su dangčiu, kuris gali būti transformuojamas į sėdimąsias vietas.</w:t>
            </w:r>
          </w:p>
          <w:p w:rsidR="005F16F6" w:rsidRPr="005F16F6" w:rsidRDefault="005F16F6" w:rsidP="005F16F6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CE6A1B" w:rsidRPr="00BC0B75" w:rsidRDefault="005F16F6" w:rsidP="005F16F6">
            <w:pPr>
              <w:jc w:val="both"/>
              <w:rPr>
                <w:rFonts w:ascii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5F16F6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Gaminys turi atitikti EN 1176:2018 standarto reikalavimus.</w:t>
            </w:r>
          </w:p>
        </w:tc>
        <w:tc>
          <w:tcPr>
            <w:tcW w:w="3988" w:type="dxa"/>
          </w:tcPr>
          <w:p w:rsidR="00CE6A1B" w:rsidRPr="002E629F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4.</w:t>
            </w:r>
          </w:p>
        </w:tc>
        <w:tc>
          <w:tcPr>
            <w:tcW w:w="4707" w:type="dxa"/>
          </w:tcPr>
          <w:p w:rsidR="00CE6A1B" w:rsidRDefault="00CE6A1B" w:rsidP="009F5CF7">
            <w:pPr>
              <w:jc w:val="both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Balansinės supynės</w:t>
            </w:r>
          </w:p>
          <w:p w:rsidR="00CE6A1B" w:rsidRDefault="00CE6A1B" w:rsidP="009F5CF7">
            <w:pPr>
              <w:jc w:val="both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163F4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Įrenginio pvz.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163F4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Vizualizacija tik informacinio pobūdžio.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63F4F">
              <w:rPr>
                <w:rFonts w:ascii="Times New Roman" w:eastAsia="Calibri" w:hAnsi="Times New Roman" w:cs="Times New Roman"/>
                <w:bCs/>
                <w:noProof/>
                <w:kern w:val="0"/>
                <w:sz w:val="24"/>
                <w:szCs w:val="24"/>
                <w:lang w:eastAsia="lt-LT"/>
                <w14:ligatures w14:val="none"/>
              </w:rPr>
              <w:drawing>
                <wp:inline distT="0" distB="0" distL="0" distR="0" wp14:anchorId="54716D54" wp14:editId="1E7C1DBD">
                  <wp:extent cx="2429214" cy="1286054"/>
                  <wp:effectExtent l="0" t="0" r="9525" b="9525"/>
                  <wp:docPr id="142567310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731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214" cy="1286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Balansinės sūpynės  matmenys: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Plotis ne didesnis nei 0,60 m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Ilgis ne didesnis nei 2,60 m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Aukštis ne didesnis nei 0,60 m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Kritimo aukštis iki 0,80 m.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Įrenginio saugos zona ne didesnė nei – 5,50 x 3,60 m.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lang w:eastAsia="lt-LT"/>
              </w:rPr>
            </w:pP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Vaikų amžiaus grupei iki 12 metų. Konstrukcija medinė, įbetonuojama. Visos metalinės dalys cinkuotos ir nudažytos milteliniu būdu. Medinės dalys yra padengtos specialiais lauko sąlygoms skirtais dažais.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b/>
                <w:bCs/>
                <w:color w:val="000000"/>
                <w:lang w:eastAsia="lt-LT"/>
              </w:rPr>
              <w:t>Gaminys turi atitikti EN 1176:2018 standarto reikalavimus.</w:t>
            </w:r>
          </w:p>
          <w:p w:rsidR="00CE6A1B" w:rsidRPr="00026EE1" w:rsidRDefault="00CE6A1B" w:rsidP="00163F4F">
            <w:pPr>
              <w:jc w:val="both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3988" w:type="dxa"/>
          </w:tcPr>
          <w:p w:rsidR="00CE6A1B" w:rsidRPr="009E47AD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5.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5.1.</w:t>
            </w:r>
          </w:p>
        </w:tc>
        <w:tc>
          <w:tcPr>
            <w:tcW w:w="4707" w:type="dxa"/>
          </w:tcPr>
          <w:p w:rsidR="00CE6A1B" w:rsidRPr="009A5DD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>Lauko suoliukas</w:t>
            </w:r>
          </w:p>
          <w:p w:rsidR="00163F4F" w:rsidRPr="00163F4F" w:rsidRDefault="00CE6A1B" w:rsidP="00163F4F">
            <w:pPr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>
              <w:t xml:space="preserve"> </w:t>
            </w:r>
            <w:r w:rsidR="00163F4F"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Suoliuko pvz.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163F4F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Vizualizacija tik informacinio pobūdžio.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lt-LT"/>
              </w:rPr>
            </w:pP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24"/>
                <w:lang w:eastAsia="lt-LT"/>
              </w:rPr>
            </w:pPr>
            <w:r w:rsidRPr="00163F4F">
              <w:rPr>
                <w:rFonts w:ascii="Calibri" w:eastAsia="Calibri" w:hAnsi="Calibri" w:cs="Calibri"/>
                <w:noProof/>
                <w:color w:val="000000"/>
                <w:sz w:val="24"/>
                <w:lang w:eastAsia="lt-LT"/>
              </w:rPr>
              <w:drawing>
                <wp:inline distT="0" distB="0" distL="0" distR="0" wp14:anchorId="5E625B74" wp14:editId="7E5B656D">
                  <wp:extent cx="2200582" cy="1524213"/>
                  <wp:effectExtent l="0" t="0" r="0" b="0"/>
                  <wp:docPr id="109220442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20442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582" cy="152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lastRenderedPageBreak/>
              <w:t xml:space="preserve">Ilgis – ne trumpesnis nei 175 cm; 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Plotis – ne siauresnis kaip 60 cm;</w:t>
            </w:r>
          </w:p>
          <w:p w:rsidR="00163F4F" w:rsidRPr="00163F4F" w:rsidRDefault="00163F4F" w:rsidP="00163F4F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lt-LT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Aukštis – ne žemesnis nei 70 cm.</w:t>
            </w:r>
          </w:p>
          <w:p w:rsidR="00CE6A1B" w:rsidRDefault="00163F4F" w:rsidP="00163F4F">
            <w:pPr>
              <w:jc w:val="both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Turėtų būti pagamintas iš aliuminio konstrukcijos ir tropinio </w:t>
            </w:r>
            <w:proofErr w:type="spellStart"/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kietmedžio</w:t>
            </w:r>
            <w:proofErr w:type="spellEnd"/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>alyvuotų</w:t>
            </w:r>
            <w:proofErr w:type="spellEnd"/>
            <w:r w:rsidRPr="00163F4F">
              <w:rPr>
                <w:rFonts w:ascii="Times New Roman" w:eastAsia="Calibri" w:hAnsi="Times New Roman" w:cs="Times New Roman"/>
                <w:color w:val="000000"/>
                <w:lang w:eastAsia="lt-LT"/>
              </w:rPr>
              <w:t xml:space="preserve"> lentų.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6.</w:t>
            </w:r>
          </w:p>
          <w:p w:rsidR="00D8664D" w:rsidRDefault="00D8664D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6.1.</w:t>
            </w:r>
          </w:p>
        </w:tc>
        <w:tc>
          <w:tcPr>
            <w:tcW w:w="4707" w:type="dxa"/>
          </w:tcPr>
          <w:p w:rsidR="00CE6A1B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9A5DD1">
              <w:rPr>
                <w:rFonts w:ascii="Times New Roman" w:hAnsi="Times New Roman" w:cs="Times New Roman"/>
              </w:rPr>
              <w:t>Šiukšliadėžė</w:t>
            </w:r>
          </w:p>
          <w:p w:rsidR="00D8664D" w:rsidRPr="009A5DD1" w:rsidRDefault="00D8664D" w:rsidP="009F5CF7">
            <w:pPr>
              <w:jc w:val="both"/>
              <w:rPr>
                <w:rFonts w:ascii="Times New Roman" w:hAnsi="Times New Roman" w:cs="Times New Roman"/>
              </w:rPr>
            </w:pPr>
          </w:p>
          <w:p w:rsidR="00CE6A1B" w:rsidRDefault="00CE6A1B" w:rsidP="009F5CF7">
            <w:pPr>
              <w:jc w:val="both"/>
            </w:pPr>
            <w:r w:rsidRPr="009A5DD1">
              <w:rPr>
                <w:rFonts w:ascii="Times New Roman" w:hAnsi="Times New Roman" w:cs="Times New Roman"/>
              </w:rPr>
              <w:t>Talpa – ne mažesnė kaip 50 l. Komplekte turėtų būti su kibiru.</w:t>
            </w:r>
            <w:r>
              <w:t xml:space="preserve"> 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7.</w:t>
            </w: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7.1.</w:t>
            </w:r>
          </w:p>
        </w:tc>
        <w:tc>
          <w:tcPr>
            <w:tcW w:w="4707" w:type="dxa"/>
          </w:tcPr>
          <w:p w:rsidR="00CE6A1B" w:rsidRPr="001C72E8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1C72E8">
              <w:rPr>
                <w:rFonts w:ascii="Times New Roman" w:hAnsi="Times New Roman" w:cs="Times New Roman"/>
              </w:rPr>
              <w:t>Segmentinė tvora.</w:t>
            </w:r>
          </w:p>
          <w:p w:rsidR="00CE6A1B" w:rsidRPr="001C72E8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E6A1B" w:rsidRPr="009A5DD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1C72E8">
              <w:rPr>
                <w:rFonts w:ascii="Times New Roman" w:hAnsi="Times New Roman" w:cs="Times New Roman"/>
              </w:rPr>
              <w:t>Segmentų matmenys: 1200 x 4 mm. Stulpų matmenys: 60 x 40 mm, aukštis – ne žemesnis kaip 2 m. Vartelių matmenys: 890 x 1230 mm. Cinkuota, dažyta milteliniu būdu. Stulpai įbetonuojami.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Pr="00B07781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B07781"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8.</w:t>
            </w:r>
          </w:p>
          <w:p w:rsidR="00CE6A1B" w:rsidRPr="00B07781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Pr="00B07781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B07781"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8.1.</w:t>
            </w:r>
          </w:p>
        </w:tc>
        <w:tc>
          <w:tcPr>
            <w:tcW w:w="4707" w:type="dxa"/>
          </w:tcPr>
          <w:p w:rsidR="00CE6A1B" w:rsidRPr="00B0778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B07781">
              <w:rPr>
                <w:rFonts w:ascii="Times New Roman" w:hAnsi="Times New Roman" w:cs="Times New Roman"/>
              </w:rPr>
              <w:t>Liejama guminė danga</w:t>
            </w:r>
          </w:p>
          <w:p w:rsidR="00CE6A1B" w:rsidRPr="00B0778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</w:p>
          <w:p w:rsidR="00CE6A1B" w:rsidRPr="00B07781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B07781">
              <w:rPr>
                <w:rFonts w:ascii="Times New Roman" w:hAnsi="Times New Roman" w:cs="Times New Roman"/>
              </w:rPr>
              <w:t>Liejama danga privalo turėti saugumo standartus atitinkančius sertifikatus, būti ekologiška ir itin aukštos kokybės.  Danga turėtų sugerti smūgį, saugoti nuo nubrozdinimų, įbrėžimų bei galimų traumų. Apatinis sluoksnis SBR – 30mm Viršutinis (spalvotas) sluoksnis EPDM – 10mm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</w:tr>
      <w:tr w:rsidR="00CE6A1B" w:rsidTr="00CE6A1B">
        <w:tc>
          <w:tcPr>
            <w:tcW w:w="79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D50CE8"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9.</w:t>
            </w:r>
          </w:p>
          <w:p w:rsidR="00CE6A1B" w:rsidRPr="00D50CE8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</w:tc>
        <w:tc>
          <w:tcPr>
            <w:tcW w:w="4707" w:type="dxa"/>
          </w:tcPr>
          <w:p w:rsidR="00CE6A1B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</w:p>
          <w:p w:rsidR="00CE6A1B" w:rsidRPr="00D50CE8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Pagrindo paruošimo paslauga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</w:p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-</w:t>
            </w:r>
          </w:p>
        </w:tc>
      </w:tr>
      <w:tr w:rsidR="00CE6A1B" w:rsidTr="00CE6A1B">
        <w:tc>
          <w:tcPr>
            <w:tcW w:w="798" w:type="dxa"/>
          </w:tcPr>
          <w:p w:rsidR="00CE6A1B" w:rsidRPr="00D50CE8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 w:rsidRPr="00D50CE8"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10.</w:t>
            </w:r>
          </w:p>
        </w:tc>
        <w:tc>
          <w:tcPr>
            <w:tcW w:w="4707" w:type="dxa"/>
          </w:tcPr>
          <w:p w:rsidR="00CE6A1B" w:rsidRPr="00D50CE8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Montavimo paslauga</w:t>
            </w:r>
          </w:p>
          <w:p w:rsidR="00CE6A1B" w:rsidRPr="00D50CE8" w:rsidRDefault="00CE6A1B" w:rsidP="009F5CF7">
            <w:pPr>
              <w:jc w:val="both"/>
              <w:rPr>
                <w:rFonts w:ascii="Times New Roman" w:hAnsi="Times New Roman" w:cs="Times New Roman"/>
              </w:rPr>
            </w:pPr>
            <w:r w:rsidRPr="00D50CE8">
              <w:rPr>
                <w:rFonts w:ascii="Times New Roman" w:hAnsi="Times New Roman" w:cs="Times New Roman"/>
              </w:rPr>
              <w:t>Visi įrenginiai turi būti sumontuoti nurodytoje vietoje.</w:t>
            </w:r>
          </w:p>
        </w:tc>
        <w:tc>
          <w:tcPr>
            <w:tcW w:w="3988" w:type="dxa"/>
          </w:tcPr>
          <w:p w:rsidR="00CE6A1B" w:rsidRDefault="00CE6A1B" w:rsidP="009F5CF7">
            <w:pPr>
              <w:jc w:val="center"/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4"/>
                <w14:ligatures w14:val="none"/>
              </w:rPr>
              <w:t>-</w:t>
            </w:r>
          </w:p>
        </w:tc>
      </w:tr>
    </w:tbl>
    <w:p w:rsidR="00CE6A1B" w:rsidRDefault="00CE6A1B" w:rsidP="00CE6A1B"/>
    <w:sectPr w:rsidR="00CE6A1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B"/>
    <w:rsid w:val="00096469"/>
    <w:rsid w:val="00163F4F"/>
    <w:rsid w:val="001C608C"/>
    <w:rsid w:val="002C6318"/>
    <w:rsid w:val="003C01B9"/>
    <w:rsid w:val="00487CC5"/>
    <w:rsid w:val="005F16F6"/>
    <w:rsid w:val="00905994"/>
    <w:rsid w:val="00AC4F68"/>
    <w:rsid w:val="00B63C10"/>
    <w:rsid w:val="00CE6A1B"/>
    <w:rsid w:val="00D8664D"/>
    <w:rsid w:val="00F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A57FE-8F42-4750-B376-E03D28E8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E6A1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2496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6</cp:revision>
  <dcterms:created xsi:type="dcterms:W3CDTF">2024-12-05T07:01:00Z</dcterms:created>
  <dcterms:modified xsi:type="dcterms:W3CDTF">2024-12-05T08:23:00Z</dcterms:modified>
</cp:coreProperties>
</file>