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C428" w14:textId="4DE3E16A" w:rsidR="00EE5F6C" w:rsidRPr="00EE5F6C" w:rsidRDefault="00EE5F6C" w:rsidP="00EE5F6C">
      <w:pPr>
        <w:keepNext/>
        <w:keepLines/>
        <w:spacing w:before="120"/>
        <w:ind w:left="5387"/>
        <w:jc w:val="right"/>
        <w:outlineLvl w:val="1"/>
        <w:rPr>
          <w:rFonts w:eastAsia="Calibri"/>
          <w:b/>
          <w:bCs/>
          <w:color w:val="0070C0"/>
          <w:sz w:val="22"/>
          <w:szCs w:val="22"/>
        </w:rPr>
      </w:pPr>
      <w:bookmarkStart w:id="0" w:name="_Ref38285444"/>
      <w:bookmarkStart w:id="1" w:name="_Ref38291496"/>
      <w:bookmarkStart w:id="2" w:name="_Toc126333941"/>
      <w:r>
        <w:rPr>
          <w:rFonts w:eastAsia="Calibri"/>
          <w:color w:val="0070C0"/>
          <w:sz w:val="22"/>
          <w:szCs w:val="22"/>
        </w:rPr>
        <w:t>Specialiųjų p</w:t>
      </w:r>
      <w:r w:rsidRPr="00FA6EBC">
        <w:rPr>
          <w:rFonts w:eastAsia="Calibri"/>
          <w:color w:val="0070C0"/>
          <w:sz w:val="22"/>
          <w:szCs w:val="22"/>
        </w:rPr>
        <w:t xml:space="preserve">irkimo sąlygų </w:t>
      </w:r>
      <w:r>
        <w:rPr>
          <w:rFonts w:eastAsia="Calibri"/>
          <w:color w:val="0070C0"/>
          <w:sz w:val="22"/>
          <w:szCs w:val="22"/>
        </w:rPr>
        <w:t xml:space="preserve">11 </w:t>
      </w:r>
      <w:r w:rsidRPr="00FA6EBC">
        <w:rPr>
          <w:rFonts w:eastAsia="Calibri"/>
          <w:color w:val="0070C0"/>
          <w:sz w:val="22"/>
          <w:szCs w:val="22"/>
        </w:rPr>
        <w:t>priedas „</w:t>
      </w:r>
      <w:r w:rsidRPr="00EE5F6C">
        <w:rPr>
          <w:rFonts w:eastAsia="Calibri"/>
          <w:color w:val="0070C0"/>
          <w:sz w:val="22"/>
          <w:szCs w:val="22"/>
        </w:rPr>
        <w:t>Paslaugų pirkimo-pardavimo sutarties Specialiosios sąlygos</w:t>
      </w:r>
      <w:r>
        <w:rPr>
          <w:rFonts w:eastAsia="Calibri"/>
          <w:color w:val="0070C0"/>
          <w:sz w:val="22"/>
          <w:szCs w:val="22"/>
        </w:rPr>
        <w:t>“</w:t>
      </w:r>
    </w:p>
    <w:bookmarkEnd w:id="0"/>
    <w:bookmarkEnd w:id="1"/>
    <w:bookmarkEnd w:id="2"/>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2C539A2" w:rsidR="00027B83" w:rsidRDefault="007A3F7E">
            <w:pPr>
              <w:jc w:val="both"/>
              <w:rPr>
                <w:kern w:val="2"/>
                <w:szCs w:val="24"/>
              </w:rPr>
            </w:pPr>
            <w:r w:rsidRPr="007A3F7E">
              <w:rPr>
                <w:kern w:val="2"/>
                <w:szCs w:val="24"/>
              </w:rPr>
              <w:t xml:space="preserve">Pastato Taikos pr. 15, Visagine, kapitalinio remonto projekto (keičiant pastato paskirtį iš gydymo į kultūros) parengimo paslaugos kartu su projekto vykdymo priežiūros paslaugomis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A3F7E" w14:paraId="7A216576" w14:textId="77777777">
        <w:tc>
          <w:tcPr>
            <w:tcW w:w="2808" w:type="dxa"/>
            <w:vMerge w:val="restart"/>
          </w:tcPr>
          <w:p w14:paraId="79087AD5" w14:textId="77777777" w:rsidR="007A3F7E" w:rsidRDefault="007A3F7E" w:rsidP="007A3F7E">
            <w:pPr>
              <w:jc w:val="center"/>
              <w:rPr>
                <w:b/>
                <w:kern w:val="2"/>
                <w:szCs w:val="24"/>
              </w:rPr>
            </w:pPr>
          </w:p>
          <w:p w14:paraId="555D406D" w14:textId="77777777" w:rsidR="007A3F7E" w:rsidRDefault="007A3F7E" w:rsidP="007A3F7E">
            <w:pPr>
              <w:jc w:val="center"/>
              <w:rPr>
                <w:b/>
                <w:kern w:val="2"/>
                <w:szCs w:val="24"/>
              </w:rPr>
            </w:pPr>
          </w:p>
          <w:p w14:paraId="757D89F5" w14:textId="77777777" w:rsidR="007A3F7E" w:rsidRDefault="007A3F7E" w:rsidP="007A3F7E">
            <w:pPr>
              <w:jc w:val="center"/>
              <w:rPr>
                <w:b/>
                <w:kern w:val="2"/>
                <w:szCs w:val="24"/>
              </w:rPr>
            </w:pPr>
          </w:p>
          <w:p w14:paraId="6C227F93" w14:textId="77777777" w:rsidR="007A3F7E" w:rsidRDefault="007A3F7E" w:rsidP="007A3F7E">
            <w:pPr>
              <w:rPr>
                <w:b/>
                <w:kern w:val="2"/>
                <w:szCs w:val="24"/>
              </w:rPr>
            </w:pPr>
          </w:p>
          <w:p w14:paraId="0285291C" w14:textId="77777777" w:rsidR="007A3F7E" w:rsidRDefault="007A3F7E" w:rsidP="007A3F7E">
            <w:pPr>
              <w:rPr>
                <w:b/>
                <w:kern w:val="2"/>
                <w:szCs w:val="24"/>
              </w:rPr>
            </w:pPr>
            <w:r>
              <w:rPr>
                <w:b/>
                <w:kern w:val="2"/>
                <w:szCs w:val="24"/>
              </w:rPr>
              <w:t>1.1. Pirkėjas</w:t>
            </w:r>
          </w:p>
        </w:tc>
        <w:tc>
          <w:tcPr>
            <w:tcW w:w="3240" w:type="dxa"/>
          </w:tcPr>
          <w:p w14:paraId="4986D0A4" w14:textId="77777777" w:rsidR="007A3F7E" w:rsidRDefault="007A3F7E" w:rsidP="007A3F7E">
            <w:pPr>
              <w:rPr>
                <w:kern w:val="2"/>
                <w:szCs w:val="24"/>
              </w:rPr>
            </w:pPr>
            <w:r>
              <w:rPr>
                <w:kern w:val="2"/>
                <w:szCs w:val="24"/>
              </w:rPr>
              <w:t>1.1.1. Pavadinimas</w:t>
            </w:r>
          </w:p>
        </w:tc>
        <w:tc>
          <w:tcPr>
            <w:tcW w:w="3510" w:type="dxa"/>
          </w:tcPr>
          <w:p w14:paraId="53FF09A2" w14:textId="6F1F902B" w:rsidR="007A3F7E" w:rsidRDefault="007A3F7E" w:rsidP="007A3F7E">
            <w:pPr>
              <w:jc w:val="center"/>
              <w:rPr>
                <w:kern w:val="2"/>
                <w:szCs w:val="24"/>
              </w:rPr>
            </w:pPr>
            <w:r w:rsidRPr="00E000CB">
              <w:t>Visagino savivaldybės administracija</w:t>
            </w:r>
          </w:p>
        </w:tc>
      </w:tr>
      <w:tr w:rsidR="007A3F7E" w14:paraId="46894EEE" w14:textId="77777777">
        <w:tc>
          <w:tcPr>
            <w:tcW w:w="2808" w:type="dxa"/>
            <w:vMerge/>
          </w:tcPr>
          <w:p w14:paraId="6E3E695C" w14:textId="77777777" w:rsidR="007A3F7E" w:rsidRDefault="007A3F7E" w:rsidP="007A3F7E">
            <w:pPr>
              <w:rPr>
                <w:kern w:val="2"/>
                <w:szCs w:val="24"/>
              </w:rPr>
            </w:pPr>
          </w:p>
        </w:tc>
        <w:tc>
          <w:tcPr>
            <w:tcW w:w="3240" w:type="dxa"/>
          </w:tcPr>
          <w:p w14:paraId="6B5CD43F" w14:textId="77777777" w:rsidR="007A3F7E" w:rsidRDefault="007A3F7E" w:rsidP="007A3F7E">
            <w:pPr>
              <w:rPr>
                <w:kern w:val="2"/>
                <w:szCs w:val="24"/>
              </w:rPr>
            </w:pPr>
            <w:r>
              <w:rPr>
                <w:kern w:val="2"/>
                <w:szCs w:val="24"/>
              </w:rPr>
              <w:t>1.1.2. Juridinio asmens kodas</w:t>
            </w:r>
          </w:p>
        </w:tc>
        <w:tc>
          <w:tcPr>
            <w:tcW w:w="3510" w:type="dxa"/>
          </w:tcPr>
          <w:p w14:paraId="63476F65" w14:textId="28EABC35" w:rsidR="007A3F7E" w:rsidRDefault="007A3F7E" w:rsidP="007A3F7E">
            <w:pPr>
              <w:jc w:val="center"/>
              <w:rPr>
                <w:kern w:val="2"/>
                <w:szCs w:val="24"/>
              </w:rPr>
            </w:pPr>
            <w:r w:rsidRPr="00E000CB">
              <w:t>188711925</w:t>
            </w:r>
          </w:p>
        </w:tc>
      </w:tr>
      <w:tr w:rsidR="007A3F7E" w14:paraId="356739C7" w14:textId="77777777">
        <w:tc>
          <w:tcPr>
            <w:tcW w:w="2808" w:type="dxa"/>
            <w:vMerge/>
          </w:tcPr>
          <w:p w14:paraId="1CA5E71D" w14:textId="77777777" w:rsidR="007A3F7E" w:rsidRDefault="007A3F7E" w:rsidP="007A3F7E">
            <w:pPr>
              <w:rPr>
                <w:kern w:val="2"/>
                <w:szCs w:val="24"/>
              </w:rPr>
            </w:pPr>
          </w:p>
        </w:tc>
        <w:tc>
          <w:tcPr>
            <w:tcW w:w="3240" w:type="dxa"/>
          </w:tcPr>
          <w:p w14:paraId="23A01788" w14:textId="77777777" w:rsidR="007A3F7E" w:rsidRDefault="007A3F7E" w:rsidP="007A3F7E">
            <w:pPr>
              <w:rPr>
                <w:kern w:val="2"/>
                <w:szCs w:val="24"/>
              </w:rPr>
            </w:pPr>
            <w:r>
              <w:rPr>
                <w:kern w:val="2"/>
                <w:szCs w:val="24"/>
              </w:rPr>
              <w:t>1.1.3. Adresas</w:t>
            </w:r>
          </w:p>
        </w:tc>
        <w:tc>
          <w:tcPr>
            <w:tcW w:w="3510" w:type="dxa"/>
          </w:tcPr>
          <w:p w14:paraId="4FB387A2" w14:textId="5042F706" w:rsidR="007A3F7E" w:rsidRDefault="007A3F7E" w:rsidP="007A3F7E">
            <w:pPr>
              <w:jc w:val="center"/>
              <w:rPr>
                <w:kern w:val="2"/>
                <w:szCs w:val="24"/>
              </w:rPr>
            </w:pPr>
            <w:r w:rsidRPr="00E000CB">
              <w:t>Parko g. 14, 31140 Visaginas</w:t>
            </w:r>
          </w:p>
        </w:tc>
      </w:tr>
      <w:tr w:rsidR="007A3F7E" w14:paraId="00E15A94" w14:textId="77777777">
        <w:tc>
          <w:tcPr>
            <w:tcW w:w="2808" w:type="dxa"/>
            <w:vMerge/>
          </w:tcPr>
          <w:p w14:paraId="54205EA9" w14:textId="77777777" w:rsidR="007A3F7E" w:rsidRDefault="007A3F7E" w:rsidP="007A3F7E">
            <w:pPr>
              <w:rPr>
                <w:kern w:val="2"/>
                <w:szCs w:val="24"/>
              </w:rPr>
            </w:pPr>
          </w:p>
        </w:tc>
        <w:tc>
          <w:tcPr>
            <w:tcW w:w="3240" w:type="dxa"/>
          </w:tcPr>
          <w:p w14:paraId="78DC4B4A" w14:textId="77777777" w:rsidR="007A3F7E" w:rsidRDefault="007A3F7E" w:rsidP="007A3F7E">
            <w:pPr>
              <w:rPr>
                <w:kern w:val="2"/>
                <w:szCs w:val="24"/>
              </w:rPr>
            </w:pPr>
            <w:r>
              <w:rPr>
                <w:kern w:val="2"/>
                <w:szCs w:val="24"/>
              </w:rPr>
              <w:t>1.1.4. PVM mokėtojo kodas</w:t>
            </w:r>
          </w:p>
        </w:tc>
        <w:tc>
          <w:tcPr>
            <w:tcW w:w="3510" w:type="dxa"/>
          </w:tcPr>
          <w:p w14:paraId="3641442E" w14:textId="77777777" w:rsidR="007A3F7E" w:rsidRDefault="007A3F7E" w:rsidP="007A3F7E">
            <w:pPr>
              <w:jc w:val="center"/>
              <w:rPr>
                <w:kern w:val="2"/>
                <w:szCs w:val="24"/>
              </w:rPr>
            </w:pPr>
          </w:p>
        </w:tc>
      </w:tr>
      <w:tr w:rsidR="007A3F7E" w14:paraId="164424F3" w14:textId="77777777">
        <w:tc>
          <w:tcPr>
            <w:tcW w:w="2808" w:type="dxa"/>
            <w:vMerge/>
          </w:tcPr>
          <w:p w14:paraId="605C8647" w14:textId="77777777" w:rsidR="007A3F7E" w:rsidRDefault="007A3F7E" w:rsidP="007A3F7E">
            <w:pPr>
              <w:rPr>
                <w:kern w:val="2"/>
                <w:szCs w:val="24"/>
              </w:rPr>
            </w:pPr>
          </w:p>
        </w:tc>
        <w:tc>
          <w:tcPr>
            <w:tcW w:w="3240" w:type="dxa"/>
          </w:tcPr>
          <w:p w14:paraId="58983992" w14:textId="77777777" w:rsidR="007A3F7E" w:rsidRDefault="007A3F7E" w:rsidP="007A3F7E">
            <w:pPr>
              <w:rPr>
                <w:kern w:val="2"/>
                <w:szCs w:val="24"/>
              </w:rPr>
            </w:pPr>
            <w:r>
              <w:rPr>
                <w:kern w:val="2"/>
                <w:szCs w:val="24"/>
              </w:rPr>
              <w:t>1.1.5. Atsiskaitomoji sąskaita</w:t>
            </w:r>
          </w:p>
        </w:tc>
        <w:tc>
          <w:tcPr>
            <w:tcW w:w="3510" w:type="dxa"/>
          </w:tcPr>
          <w:p w14:paraId="62E56AEE" w14:textId="340B7CBE" w:rsidR="007A3F7E" w:rsidRDefault="007A3F7E" w:rsidP="007A3F7E">
            <w:pPr>
              <w:jc w:val="center"/>
              <w:rPr>
                <w:kern w:val="2"/>
                <w:szCs w:val="24"/>
              </w:rPr>
            </w:pPr>
            <w:r w:rsidRPr="00E000CB">
              <w:t>LT95 7300 0100 4214 4361</w:t>
            </w:r>
          </w:p>
        </w:tc>
      </w:tr>
      <w:tr w:rsidR="007A3F7E" w14:paraId="6B7E848E" w14:textId="77777777">
        <w:tc>
          <w:tcPr>
            <w:tcW w:w="2808" w:type="dxa"/>
            <w:vMerge/>
          </w:tcPr>
          <w:p w14:paraId="4F4A34C0" w14:textId="77777777" w:rsidR="007A3F7E" w:rsidRDefault="007A3F7E" w:rsidP="007A3F7E">
            <w:pPr>
              <w:rPr>
                <w:kern w:val="2"/>
                <w:szCs w:val="24"/>
              </w:rPr>
            </w:pPr>
          </w:p>
        </w:tc>
        <w:tc>
          <w:tcPr>
            <w:tcW w:w="3240" w:type="dxa"/>
          </w:tcPr>
          <w:p w14:paraId="6CD6859C" w14:textId="77777777" w:rsidR="007A3F7E" w:rsidRDefault="007A3F7E" w:rsidP="007A3F7E">
            <w:pPr>
              <w:rPr>
                <w:kern w:val="2"/>
                <w:szCs w:val="24"/>
              </w:rPr>
            </w:pPr>
            <w:r>
              <w:rPr>
                <w:kern w:val="2"/>
                <w:szCs w:val="24"/>
              </w:rPr>
              <w:t>1.1.6. Bankas, banko kodas</w:t>
            </w:r>
          </w:p>
        </w:tc>
        <w:tc>
          <w:tcPr>
            <w:tcW w:w="3510" w:type="dxa"/>
          </w:tcPr>
          <w:p w14:paraId="7CD0A608" w14:textId="37BD5D84" w:rsidR="007A3F7E" w:rsidRDefault="007A3F7E" w:rsidP="007A3F7E">
            <w:pPr>
              <w:jc w:val="center"/>
              <w:rPr>
                <w:kern w:val="2"/>
                <w:szCs w:val="24"/>
              </w:rPr>
            </w:pPr>
            <w:r w:rsidRPr="00E000CB">
              <w:t>73000</w:t>
            </w:r>
          </w:p>
        </w:tc>
      </w:tr>
      <w:tr w:rsidR="007A3F7E" w14:paraId="3C8A477F" w14:textId="77777777">
        <w:tc>
          <w:tcPr>
            <w:tcW w:w="2808" w:type="dxa"/>
            <w:vMerge/>
          </w:tcPr>
          <w:p w14:paraId="6FB01AF8" w14:textId="77777777" w:rsidR="007A3F7E" w:rsidRDefault="007A3F7E" w:rsidP="007A3F7E">
            <w:pPr>
              <w:rPr>
                <w:kern w:val="2"/>
                <w:szCs w:val="24"/>
              </w:rPr>
            </w:pPr>
          </w:p>
        </w:tc>
        <w:tc>
          <w:tcPr>
            <w:tcW w:w="3240" w:type="dxa"/>
          </w:tcPr>
          <w:p w14:paraId="52077EC6" w14:textId="77777777" w:rsidR="007A3F7E" w:rsidRDefault="007A3F7E" w:rsidP="007A3F7E">
            <w:pPr>
              <w:rPr>
                <w:kern w:val="2"/>
                <w:szCs w:val="24"/>
              </w:rPr>
            </w:pPr>
            <w:r>
              <w:rPr>
                <w:kern w:val="2"/>
                <w:szCs w:val="24"/>
              </w:rPr>
              <w:t>1.1.7. Telefonas</w:t>
            </w:r>
          </w:p>
        </w:tc>
        <w:tc>
          <w:tcPr>
            <w:tcW w:w="3510" w:type="dxa"/>
          </w:tcPr>
          <w:p w14:paraId="04975451" w14:textId="76B95848" w:rsidR="007A3F7E" w:rsidRDefault="007A3F7E" w:rsidP="007A3F7E">
            <w:pPr>
              <w:jc w:val="center"/>
              <w:rPr>
                <w:kern w:val="2"/>
                <w:szCs w:val="24"/>
              </w:rPr>
            </w:pPr>
            <w:r w:rsidRPr="00E000CB">
              <w:t>+370 386 60 246</w:t>
            </w:r>
          </w:p>
        </w:tc>
      </w:tr>
      <w:tr w:rsidR="007A3F7E" w14:paraId="7B8191B7" w14:textId="77777777">
        <w:tc>
          <w:tcPr>
            <w:tcW w:w="2808" w:type="dxa"/>
            <w:vMerge/>
          </w:tcPr>
          <w:p w14:paraId="1FE5A316" w14:textId="77777777" w:rsidR="007A3F7E" w:rsidRDefault="007A3F7E" w:rsidP="007A3F7E">
            <w:pPr>
              <w:rPr>
                <w:kern w:val="2"/>
                <w:szCs w:val="24"/>
              </w:rPr>
            </w:pPr>
          </w:p>
        </w:tc>
        <w:tc>
          <w:tcPr>
            <w:tcW w:w="3240" w:type="dxa"/>
          </w:tcPr>
          <w:p w14:paraId="47AE5590" w14:textId="77777777" w:rsidR="007A3F7E" w:rsidRDefault="007A3F7E" w:rsidP="007A3F7E">
            <w:pPr>
              <w:rPr>
                <w:kern w:val="2"/>
                <w:szCs w:val="24"/>
              </w:rPr>
            </w:pPr>
            <w:r>
              <w:rPr>
                <w:kern w:val="2"/>
                <w:szCs w:val="24"/>
              </w:rPr>
              <w:t>1.1.8. El. paštas</w:t>
            </w:r>
          </w:p>
        </w:tc>
        <w:tc>
          <w:tcPr>
            <w:tcW w:w="3510" w:type="dxa"/>
          </w:tcPr>
          <w:p w14:paraId="06155599" w14:textId="3F7CBF5D" w:rsidR="007A3F7E" w:rsidRDefault="007A3F7E" w:rsidP="007A3F7E">
            <w:pPr>
              <w:jc w:val="center"/>
              <w:rPr>
                <w:kern w:val="2"/>
                <w:szCs w:val="24"/>
              </w:rPr>
            </w:pPr>
            <w:r w:rsidRPr="00E000CB">
              <w:t xml:space="preserve">visaginas@visaginas.lt </w:t>
            </w:r>
          </w:p>
        </w:tc>
      </w:tr>
      <w:tr w:rsidR="007A3F7E" w14:paraId="1959C3F5" w14:textId="77777777">
        <w:tc>
          <w:tcPr>
            <w:tcW w:w="2808" w:type="dxa"/>
            <w:vMerge/>
          </w:tcPr>
          <w:p w14:paraId="34C01018" w14:textId="77777777" w:rsidR="007A3F7E" w:rsidRDefault="007A3F7E" w:rsidP="007A3F7E">
            <w:pPr>
              <w:rPr>
                <w:kern w:val="2"/>
                <w:szCs w:val="24"/>
              </w:rPr>
            </w:pPr>
          </w:p>
        </w:tc>
        <w:tc>
          <w:tcPr>
            <w:tcW w:w="3240" w:type="dxa"/>
          </w:tcPr>
          <w:p w14:paraId="473630E0" w14:textId="77777777" w:rsidR="007A3F7E" w:rsidRDefault="007A3F7E" w:rsidP="007A3F7E">
            <w:pPr>
              <w:rPr>
                <w:kern w:val="2"/>
                <w:szCs w:val="24"/>
              </w:rPr>
            </w:pPr>
            <w:r>
              <w:rPr>
                <w:kern w:val="2"/>
                <w:szCs w:val="24"/>
              </w:rPr>
              <w:t>1.1.9. Šalies atstovas</w:t>
            </w:r>
          </w:p>
        </w:tc>
        <w:tc>
          <w:tcPr>
            <w:tcW w:w="3510" w:type="dxa"/>
          </w:tcPr>
          <w:p w14:paraId="04FDD825" w14:textId="2FC61A58" w:rsidR="007A3F7E" w:rsidRDefault="007A3F7E" w:rsidP="007A3F7E">
            <w:pPr>
              <w:jc w:val="center"/>
              <w:rPr>
                <w:kern w:val="2"/>
                <w:szCs w:val="24"/>
              </w:rPr>
            </w:pPr>
            <w:r w:rsidRPr="00E000CB">
              <w:t>Administracijos direktorius Virginijus Andrius Bukauskas</w:t>
            </w:r>
          </w:p>
        </w:tc>
      </w:tr>
      <w:tr w:rsidR="007A3F7E" w14:paraId="475D93E9" w14:textId="77777777">
        <w:tc>
          <w:tcPr>
            <w:tcW w:w="2808" w:type="dxa"/>
            <w:vMerge/>
          </w:tcPr>
          <w:p w14:paraId="23BF508B" w14:textId="77777777" w:rsidR="007A3F7E" w:rsidRDefault="007A3F7E" w:rsidP="007A3F7E">
            <w:pPr>
              <w:rPr>
                <w:kern w:val="2"/>
                <w:szCs w:val="24"/>
              </w:rPr>
            </w:pPr>
          </w:p>
        </w:tc>
        <w:tc>
          <w:tcPr>
            <w:tcW w:w="3240" w:type="dxa"/>
          </w:tcPr>
          <w:p w14:paraId="7D81A35C" w14:textId="77777777" w:rsidR="007A3F7E" w:rsidRDefault="007A3F7E" w:rsidP="007A3F7E">
            <w:pPr>
              <w:rPr>
                <w:kern w:val="2"/>
                <w:szCs w:val="24"/>
              </w:rPr>
            </w:pPr>
            <w:r>
              <w:rPr>
                <w:kern w:val="2"/>
                <w:szCs w:val="24"/>
              </w:rPr>
              <w:t>1.1.10. Atstovavimo pagrindas</w:t>
            </w:r>
          </w:p>
        </w:tc>
        <w:tc>
          <w:tcPr>
            <w:tcW w:w="3510" w:type="dxa"/>
          </w:tcPr>
          <w:p w14:paraId="7164E978" w14:textId="5DED675A" w:rsidR="007A3F7E" w:rsidRDefault="007A3F7E" w:rsidP="007A3F7E">
            <w:pPr>
              <w:jc w:val="center"/>
              <w:rPr>
                <w:kern w:val="2"/>
                <w:szCs w:val="24"/>
              </w:rPr>
            </w:pPr>
            <w:r w:rsidRPr="00745755">
              <w:rPr>
                <w:color w:val="000000" w:themeColor="text1"/>
                <w:kern w:val="2"/>
                <w:szCs w:val="24"/>
              </w:rPr>
              <w:t>Visagino savivaldybės administracijos nuostatai, patvirtinti 2024-01-26 Visagino savivaldybės tarybos sprendimu Nr. TS-1 ,,Dėl Visagino savivaldybės administracijos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0807EF">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807EF" w:rsidRPr="000807EF" w14:paraId="67CA8A8E" w14:textId="77777777">
        <w:tc>
          <w:tcPr>
            <w:tcW w:w="2808" w:type="dxa"/>
            <w:vMerge/>
          </w:tcPr>
          <w:p w14:paraId="03ECA91F" w14:textId="77777777" w:rsidR="00027B83" w:rsidRPr="000807EF" w:rsidRDefault="00027B83">
            <w:pPr>
              <w:rPr>
                <w:b/>
                <w:color w:val="000000" w:themeColor="text1"/>
                <w:kern w:val="2"/>
                <w:szCs w:val="24"/>
              </w:rPr>
            </w:pPr>
          </w:p>
        </w:tc>
        <w:tc>
          <w:tcPr>
            <w:tcW w:w="3240" w:type="dxa"/>
          </w:tcPr>
          <w:p w14:paraId="2920CEAC" w14:textId="77777777" w:rsidR="00027B83" w:rsidRPr="000807EF" w:rsidRDefault="000B0897">
            <w:pPr>
              <w:rPr>
                <w:color w:val="000000" w:themeColor="text1"/>
                <w:kern w:val="2"/>
                <w:szCs w:val="24"/>
              </w:rPr>
            </w:pPr>
            <w:r w:rsidRPr="000807EF">
              <w:rPr>
                <w:color w:val="000000" w:themeColor="text1"/>
                <w:kern w:val="2"/>
                <w:szCs w:val="24"/>
              </w:rPr>
              <w:t>1.2.9. Šalies atstovas</w:t>
            </w:r>
          </w:p>
        </w:tc>
        <w:tc>
          <w:tcPr>
            <w:tcW w:w="3510" w:type="dxa"/>
          </w:tcPr>
          <w:p w14:paraId="6AA5701A" w14:textId="77777777" w:rsidR="00027B83" w:rsidRPr="000807EF" w:rsidRDefault="00027B83">
            <w:pPr>
              <w:jc w:val="center"/>
              <w:rPr>
                <w:color w:val="000000" w:themeColor="text1"/>
                <w:kern w:val="2"/>
                <w:szCs w:val="24"/>
              </w:rPr>
            </w:pPr>
          </w:p>
        </w:tc>
      </w:tr>
      <w:tr w:rsidR="00027B83" w:rsidRPr="000807EF" w14:paraId="21B1C29D" w14:textId="77777777">
        <w:tc>
          <w:tcPr>
            <w:tcW w:w="2808" w:type="dxa"/>
            <w:vMerge/>
          </w:tcPr>
          <w:p w14:paraId="6032661D" w14:textId="77777777" w:rsidR="00027B83" w:rsidRPr="000807EF" w:rsidRDefault="00027B83">
            <w:pPr>
              <w:rPr>
                <w:b/>
                <w:color w:val="000000" w:themeColor="text1"/>
                <w:kern w:val="2"/>
                <w:szCs w:val="24"/>
              </w:rPr>
            </w:pPr>
          </w:p>
        </w:tc>
        <w:tc>
          <w:tcPr>
            <w:tcW w:w="3240" w:type="dxa"/>
          </w:tcPr>
          <w:p w14:paraId="08846265" w14:textId="77777777" w:rsidR="00027B83" w:rsidRPr="000807EF" w:rsidRDefault="000B0897">
            <w:pPr>
              <w:rPr>
                <w:color w:val="000000" w:themeColor="text1"/>
                <w:kern w:val="2"/>
                <w:szCs w:val="24"/>
              </w:rPr>
            </w:pPr>
            <w:r w:rsidRPr="000807EF">
              <w:rPr>
                <w:color w:val="000000" w:themeColor="text1"/>
                <w:kern w:val="2"/>
                <w:szCs w:val="24"/>
              </w:rPr>
              <w:t>1.2.10. Atstovavimo pagrindas</w:t>
            </w:r>
          </w:p>
        </w:tc>
        <w:tc>
          <w:tcPr>
            <w:tcW w:w="3510" w:type="dxa"/>
          </w:tcPr>
          <w:p w14:paraId="59BF79D5" w14:textId="77777777" w:rsidR="00027B83" w:rsidRPr="000807EF" w:rsidRDefault="00027B83">
            <w:pPr>
              <w:jc w:val="center"/>
              <w:rPr>
                <w:color w:val="000000" w:themeColor="text1"/>
                <w:kern w:val="2"/>
                <w:szCs w:val="24"/>
              </w:rPr>
            </w:pPr>
          </w:p>
        </w:tc>
      </w:tr>
    </w:tbl>
    <w:p w14:paraId="3B83B988" w14:textId="77777777" w:rsidR="00027B83" w:rsidRPr="000807EF"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07EF" w:rsidRPr="000807EF" w14:paraId="65ACB567" w14:textId="77777777">
        <w:trPr>
          <w:trHeight w:val="300"/>
        </w:trPr>
        <w:tc>
          <w:tcPr>
            <w:tcW w:w="9535" w:type="dxa"/>
            <w:gridSpan w:val="4"/>
          </w:tcPr>
          <w:p w14:paraId="47716E99" w14:textId="77777777" w:rsidR="00027B83" w:rsidRPr="000807EF" w:rsidRDefault="000B0897">
            <w:pPr>
              <w:jc w:val="center"/>
              <w:rPr>
                <w:b/>
                <w:color w:val="000000" w:themeColor="text1"/>
                <w:kern w:val="2"/>
                <w:szCs w:val="24"/>
              </w:rPr>
            </w:pPr>
            <w:r w:rsidRPr="000807EF">
              <w:rPr>
                <w:b/>
                <w:color w:val="000000" w:themeColor="text1"/>
                <w:kern w:val="2"/>
                <w:szCs w:val="24"/>
              </w:rPr>
              <w:t>2. ATSAKINGI ASMENYS</w:t>
            </w:r>
          </w:p>
        </w:tc>
      </w:tr>
      <w:tr w:rsidR="000807EF" w:rsidRPr="000807EF" w14:paraId="15A7C904" w14:textId="77777777">
        <w:trPr>
          <w:trHeight w:val="300"/>
        </w:trPr>
        <w:tc>
          <w:tcPr>
            <w:tcW w:w="3094" w:type="dxa"/>
            <w:gridSpan w:val="2"/>
          </w:tcPr>
          <w:p w14:paraId="2DB817BF" w14:textId="77777777" w:rsidR="00027B83" w:rsidRPr="000807EF" w:rsidRDefault="000B0897">
            <w:pPr>
              <w:rPr>
                <w:b/>
                <w:color w:val="000000" w:themeColor="text1"/>
                <w:kern w:val="2"/>
                <w:szCs w:val="24"/>
              </w:rPr>
            </w:pPr>
            <w:r w:rsidRPr="000807EF">
              <w:rPr>
                <w:b/>
                <w:color w:val="000000" w:themeColor="text1"/>
                <w:kern w:val="2"/>
                <w:szCs w:val="24"/>
              </w:rPr>
              <w:t xml:space="preserve">2.1. Pirkėjo kontaktiniai asmenys, atsakingi už Sutarties vykdymą, </w:t>
            </w:r>
            <w:r w:rsidRPr="000807EF">
              <w:rPr>
                <w:b/>
                <w:color w:val="000000" w:themeColor="text1"/>
                <w:szCs w:val="24"/>
              </w:rPr>
              <w:t>Paslaugų</w:t>
            </w:r>
            <w:r w:rsidRPr="000807EF">
              <w:rPr>
                <w:b/>
                <w:color w:val="000000" w:themeColor="text1"/>
                <w:kern w:val="2"/>
                <w:szCs w:val="24"/>
              </w:rPr>
              <w:t xml:space="preserve"> priėmimą, </w:t>
            </w:r>
            <w:r w:rsidRPr="000807EF">
              <w:rPr>
                <w:b/>
                <w:color w:val="000000" w:themeColor="text1"/>
                <w:kern w:val="2"/>
                <w:szCs w:val="24"/>
              </w:rPr>
              <w:lastRenderedPageBreak/>
              <w:t>Sąskaitų per informacinę sistemą SABIS priėmimą</w:t>
            </w:r>
          </w:p>
        </w:tc>
        <w:tc>
          <w:tcPr>
            <w:tcW w:w="6441" w:type="dxa"/>
            <w:gridSpan w:val="2"/>
          </w:tcPr>
          <w:p w14:paraId="0A73C060" w14:textId="07ABA85D" w:rsidR="00027B83" w:rsidRPr="000807EF" w:rsidRDefault="007A3F7E">
            <w:pPr>
              <w:rPr>
                <w:color w:val="000000" w:themeColor="text1"/>
                <w:kern w:val="2"/>
                <w:szCs w:val="24"/>
              </w:rPr>
            </w:pPr>
            <w:r w:rsidRPr="000807EF">
              <w:rPr>
                <w:color w:val="000000" w:themeColor="text1"/>
                <w:kern w:val="2"/>
                <w:szCs w:val="24"/>
              </w:rPr>
              <w:lastRenderedPageBreak/>
              <w:t xml:space="preserve">Visagino savivaldybės administracijos Vietinio ūkio valdymo ir statybos skyriaus inžinierius statybai </w:t>
            </w:r>
            <w:proofErr w:type="spellStart"/>
            <w:r w:rsidRPr="000807EF">
              <w:rPr>
                <w:color w:val="000000" w:themeColor="text1"/>
                <w:kern w:val="2"/>
                <w:szCs w:val="24"/>
              </w:rPr>
              <w:t>Aleksej</w:t>
            </w:r>
            <w:proofErr w:type="spellEnd"/>
            <w:r w:rsidRPr="000807EF">
              <w:rPr>
                <w:color w:val="000000" w:themeColor="text1"/>
                <w:kern w:val="2"/>
                <w:szCs w:val="24"/>
              </w:rPr>
              <w:t xml:space="preserve"> </w:t>
            </w:r>
            <w:proofErr w:type="spellStart"/>
            <w:r w:rsidRPr="000807EF">
              <w:rPr>
                <w:color w:val="000000" w:themeColor="text1"/>
                <w:kern w:val="2"/>
                <w:szCs w:val="24"/>
              </w:rPr>
              <w:t>Gergel</w:t>
            </w:r>
            <w:proofErr w:type="spellEnd"/>
            <w:r w:rsidRPr="000807EF">
              <w:rPr>
                <w:color w:val="000000" w:themeColor="text1"/>
                <w:kern w:val="2"/>
                <w:szCs w:val="24"/>
              </w:rPr>
              <w:t xml:space="preserve">, tel. +370 386 61 212, mob. +370 646 39 137, el. p. </w:t>
            </w:r>
            <w:hyperlink r:id="rId10" w:history="1">
              <w:r w:rsidRPr="000807EF">
                <w:rPr>
                  <w:rStyle w:val="Hipersaitas"/>
                  <w:color w:val="000000" w:themeColor="text1"/>
                  <w:kern w:val="2"/>
                  <w:szCs w:val="24"/>
                </w:rPr>
                <w:t>aleksej.gergel@visaginas.lt</w:t>
              </w:r>
            </w:hyperlink>
          </w:p>
        </w:tc>
      </w:tr>
      <w:tr w:rsidR="000807EF" w:rsidRPr="000807EF" w14:paraId="7B08F743" w14:textId="77777777">
        <w:trPr>
          <w:trHeight w:val="300"/>
        </w:trPr>
        <w:tc>
          <w:tcPr>
            <w:tcW w:w="3094" w:type="dxa"/>
            <w:gridSpan w:val="2"/>
          </w:tcPr>
          <w:p w14:paraId="60D76363" w14:textId="77777777" w:rsidR="00027B83" w:rsidRPr="000807EF" w:rsidRDefault="000B0897">
            <w:pPr>
              <w:rPr>
                <w:b/>
                <w:color w:val="000000" w:themeColor="text1"/>
                <w:kern w:val="2"/>
                <w:szCs w:val="24"/>
              </w:rPr>
            </w:pPr>
            <w:r w:rsidRPr="000807EF">
              <w:rPr>
                <w:b/>
                <w:color w:val="000000" w:themeColor="text1"/>
                <w:kern w:val="2"/>
                <w:szCs w:val="24"/>
              </w:rPr>
              <w:t>2.2. Tiekėjo kontaktiniai asmenys, atsakingi už Sutarties vykdymą</w:t>
            </w:r>
          </w:p>
        </w:tc>
        <w:tc>
          <w:tcPr>
            <w:tcW w:w="6441" w:type="dxa"/>
            <w:gridSpan w:val="2"/>
          </w:tcPr>
          <w:p w14:paraId="420CAB00" w14:textId="77777777" w:rsidR="00027B83" w:rsidRPr="000807EF" w:rsidRDefault="000B0897">
            <w:pPr>
              <w:rPr>
                <w:color w:val="000000" w:themeColor="text1"/>
                <w:kern w:val="2"/>
                <w:szCs w:val="24"/>
              </w:rPr>
            </w:pPr>
            <w:r w:rsidRPr="000807EF">
              <w:rPr>
                <w:color w:val="000000" w:themeColor="text1"/>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7730B38" w14:textId="06FABE93" w:rsidR="00027B83" w:rsidRDefault="007A3F7E">
            <w:pPr>
              <w:rPr>
                <w:color w:val="000000"/>
                <w:kern w:val="2"/>
                <w:szCs w:val="24"/>
              </w:rPr>
            </w:pPr>
            <w:r w:rsidRPr="007A3F7E">
              <w:rPr>
                <w:kern w:val="2"/>
                <w:szCs w:val="24"/>
              </w:rPr>
              <w:t>Tiekėjas įsipareigoja Sutartyje numatytomis sąlygomis suteikti Pirkėjui Pastato Taikos pr. 15, Visagine, kapitalinio remonto projekto (keičiant pastato paskirtį iš gydymo į kultūros) parengimo paslaugas kartu su projekto vykdymo priežiūros paslaugomis. Išsamus Paslaugų aprašymas ir kiti reikalavimai teikiamoms Paslaugoms nustatyti Sutarties priede Nr. 1 „Statinio projektavimo užduotyje (Techninėje specifikacijoje)“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Pr="00F7082A" w:rsidRDefault="000B0897">
            <w:pPr>
              <w:rPr>
                <w:b/>
                <w:kern w:val="2"/>
                <w:szCs w:val="24"/>
              </w:rPr>
            </w:pPr>
            <w:r w:rsidRPr="00F7082A">
              <w:rPr>
                <w:b/>
                <w:kern w:val="2"/>
                <w:szCs w:val="24"/>
              </w:rPr>
              <w:t>3.2. Pirkimo pavadinimas ir numeris</w:t>
            </w:r>
          </w:p>
        </w:tc>
        <w:tc>
          <w:tcPr>
            <w:tcW w:w="6441" w:type="dxa"/>
            <w:gridSpan w:val="2"/>
          </w:tcPr>
          <w:p w14:paraId="67D99209" w14:textId="4350E802" w:rsidR="00027B83" w:rsidRPr="00F7082A" w:rsidRDefault="00F7082A">
            <w:pPr>
              <w:rPr>
                <w:kern w:val="2"/>
                <w:szCs w:val="24"/>
              </w:rPr>
            </w:pPr>
            <w:r w:rsidRPr="00F7082A">
              <w:rPr>
                <w:kern w:val="2"/>
                <w:szCs w:val="24"/>
              </w:rPr>
              <w:t>Pastato Taikos pr. 15, Visagine, kapitalinio remonto projekto parengimo paslaugos kartu su projekto vykdymo priežiūros paslaugomis</w:t>
            </w:r>
            <w:r w:rsidRPr="00F7082A">
              <w:rPr>
                <w:kern w:val="2"/>
                <w:szCs w:val="24"/>
              </w:rPr>
              <w:t xml:space="preserve">. Pirkimo </w:t>
            </w:r>
            <w:r w:rsidRPr="00F7082A">
              <w:rPr>
                <w:color w:val="4472C4" w:themeColor="accent1"/>
                <w:kern w:val="2"/>
                <w:szCs w:val="24"/>
              </w:rPr>
              <w:t>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D481CAA"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15FF9" w14:paraId="41C471D4" w14:textId="77777777">
        <w:trPr>
          <w:trHeight w:val="300"/>
        </w:trPr>
        <w:tc>
          <w:tcPr>
            <w:tcW w:w="3094" w:type="dxa"/>
            <w:gridSpan w:val="2"/>
          </w:tcPr>
          <w:p w14:paraId="122DEAA4" w14:textId="0CA29A63" w:rsidR="00A15FF9" w:rsidRPr="00F7082A" w:rsidRDefault="00067E49">
            <w:pPr>
              <w:rPr>
                <w:b/>
                <w:kern w:val="2"/>
                <w:szCs w:val="24"/>
              </w:rPr>
            </w:pPr>
            <w:r w:rsidRPr="00F7082A">
              <w:rPr>
                <w:b/>
                <w:kern w:val="2"/>
                <w:szCs w:val="24"/>
              </w:rPr>
              <w:t>4.1. Paslaugų suteikimo terminai, kai Paslaugos teikiamos etapais</w:t>
            </w:r>
          </w:p>
        </w:tc>
        <w:tc>
          <w:tcPr>
            <w:tcW w:w="6441" w:type="dxa"/>
            <w:gridSpan w:val="2"/>
          </w:tcPr>
          <w:p w14:paraId="620D7A60" w14:textId="77777777" w:rsidR="00067E49" w:rsidRPr="00F7082A" w:rsidRDefault="00067E49" w:rsidP="00067E49">
            <w:pPr>
              <w:jc w:val="both"/>
              <w:rPr>
                <w:szCs w:val="24"/>
              </w:rPr>
            </w:pPr>
            <w:r w:rsidRPr="00F7082A">
              <w:rPr>
                <w:szCs w:val="24"/>
              </w:rPr>
              <w:t>Tiekėjas Projekto parengimo paslaugas įsipareigoja suteikti per 365 kalendorines dienas ir pateikti Projekto ekspertizei atlikti. Gavus Projekto bendrosios ekspertizės Tiekėjo pastabas, jos ištaisomos per 10 kalendorinių dienų ir pateikiamos ekspertizės išvadai gauti.</w:t>
            </w:r>
          </w:p>
          <w:p w14:paraId="3A1CAC89" w14:textId="77777777" w:rsidR="00067E49" w:rsidRPr="00F7082A" w:rsidRDefault="00067E49" w:rsidP="00067E49">
            <w:pPr>
              <w:jc w:val="both"/>
              <w:rPr>
                <w:szCs w:val="24"/>
              </w:rPr>
            </w:pPr>
            <w:r w:rsidRPr="00F7082A">
              <w:rPr>
                <w:szCs w:val="24"/>
              </w:rPr>
              <w:t>Tiekėjas įsipareigoja suteikti Projektavimo paslaugas suderintame Projektavimo paslaugų teikimo grafike nurodytų etapų eiliškumu, terminais ir sąlygomis.</w:t>
            </w:r>
          </w:p>
          <w:p w14:paraId="7913E0AD" w14:textId="77777777" w:rsidR="00067E49" w:rsidRPr="00F7082A" w:rsidRDefault="00067E49" w:rsidP="00067E49">
            <w:pPr>
              <w:jc w:val="both"/>
              <w:rPr>
                <w:szCs w:val="24"/>
              </w:rPr>
            </w:pPr>
          </w:p>
          <w:p w14:paraId="068F47DC" w14:textId="0A9F560C" w:rsidR="00A15FF9" w:rsidRPr="00F7082A" w:rsidRDefault="00067E49" w:rsidP="00067E49">
            <w:pPr>
              <w:jc w:val="both"/>
              <w:rPr>
                <w:szCs w:val="24"/>
              </w:rPr>
            </w:pPr>
            <w:r w:rsidRPr="00F7082A">
              <w:rPr>
                <w:szCs w:val="24"/>
              </w:rPr>
              <w:t>Tiekėjas įsipareigoja kapitalinio remonto darbų vykdymo laikotarpiu, nuo statybos pradžios iki statybos užbaigimo įforminimo teisės aktų nustatyta tvarka, organizuoti ir užtikrinti tinkamą statinio projekto vykdymo priežiūros atlikimą, numatytą Techninėje specifikacijoje bei galiojančiuose teisės aktuose.</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87911BE" w:rsidR="007A75C6" w:rsidRDefault="007A75C6" w:rsidP="007A3F7E">
            <w:pPr>
              <w:jc w:val="both"/>
              <w:rPr>
                <w:szCs w:val="24"/>
              </w:rPr>
            </w:pPr>
            <w:r w:rsidRPr="007A3F7E">
              <w:rPr>
                <w:color w:val="000000" w:themeColor="text1"/>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A3F7E" w:rsidRPr="007A3F7E">
              <w:rPr>
                <w:color w:val="000000" w:themeColor="text1"/>
                <w:kern w:val="2"/>
                <w:szCs w:val="24"/>
              </w:rPr>
              <w:t>30 kalendorinių dienų</w:t>
            </w:r>
            <w:r w:rsidRPr="007A3F7E">
              <w:rPr>
                <w:color w:val="000000" w:themeColor="text1"/>
                <w:kern w:val="2"/>
                <w:szCs w:val="24"/>
              </w:rPr>
              <w:t xml:space="preserve">, apie tai praneša Pirkėjui, pateikdamas minėtų aplinkybių egzistavimo įrodymus. </w:t>
            </w:r>
            <w:r w:rsidRPr="007A3F7E">
              <w:rPr>
                <w:color w:val="000000" w:themeColor="text1"/>
                <w:kern w:val="2"/>
                <w:szCs w:val="24"/>
              </w:rPr>
              <w:lastRenderedPageBreak/>
              <w:t xml:space="preserve">Nurodytas aplinkybes vertina Pirkėjas. Pirkėjui sutikus, Paslaugų suteikimo terminas gali būti pratęsiamas tik minėtų aplinkybių egzistavimo laikotarpiui, bet ne ilgiau nei </w:t>
            </w:r>
            <w:r w:rsidR="007A3F7E" w:rsidRPr="007A3F7E">
              <w:rPr>
                <w:color w:val="000000" w:themeColor="text1"/>
                <w:kern w:val="2"/>
                <w:szCs w:val="24"/>
              </w:rPr>
              <w:t>60 kalendorinių dienų</w:t>
            </w:r>
            <w:r w:rsidRPr="007A3F7E">
              <w:rPr>
                <w:color w:val="000000" w:themeColor="text1"/>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7E9B2466" w:rsidR="00027B83" w:rsidRDefault="000B0897">
            <w:pPr>
              <w:rPr>
                <w:szCs w:val="24"/>
              </w:rPr>
            </w:pPr>
            <w:r>
              <w:rPr>
                <w:szCs w:val="24"/>
              </w:rPr>
              <w:t>Netaikoma</w:t>
            </w:r>
          </w:p>
        </w:tc>
      </w:tr>
      <w:tr w:rsidR="00027B83" w14:paraId="63190814" w14:textId="77777777" w:rsidTr="00CD11A9">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8989A76" w:rsidR="00027B83" w:rsidRPr="007A3F7E"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C8896A6" w14:textId="77777777" w:rsidR="007A3F7E" w:rsidRPr="000807EF" w:rsidRDefault="007A3F7E" w:rsidP="00CD11A9">
            <w:pPr>
              <w:jc w:val="both"/>
              <w:rPr>
                <w:color w:val="000000" w:themeColor="text1"/>
                <w:kern w:val="2"/>
                <w:szCs w:val="24"/>
              </w:rPr>
            </w:pPr>
            <w:r w:rsidRPr="000807EF">
              <w:rPr>
                <w:color w:val="000000" w:themeColor="text1"/>
                <w:kern w:val="2"/>
                <w:szCs w:val="24"/>
              </w:rPr>
              <w:t>Turi būti pateikiami šie dokumentai: Tarpinis Paslaugų perdavimo - priėmimo aktas ir sąskaita – faktūra, Projektavimo paslaugų perdavimo – priėmimo aktas.</w:t>
            </w:r>
          </w:p>
          <w:p w14:paraId="7F0836DE" w14:textId="77777777" w:rsidR="007A3F7E" w:rsidRPr="000807EF" w:rsidRDefault="007A3F7E" w:rsidP="00CD11A9">
            <w:pPr>
              <w:jc w:val="both"/>
              <w:rPr>
                <w:color w:val="000000" w:themeColor="text1"/>
                <w:kern w:val="2"/>
                <w:szCs w:val="24"/>
              </w:rPr>
            </w:pPr>
            <w:r w:rsidRPr="000807EF">
              <w:rPr>
                <w:color w:val="000000" w:themeColor="text1"/>
                <w:kern w:val="2"/>
                <w:szCs w:val="24"/>
              </w:rPr>
              <w:t>Detalus Projektavimo paslaugų  grafikas pateikiamas derinti Pirkėjui ne vėliau kaip per 5 (penkias) darbo dienas nuo Sutarties įsigaliojimo dienos. Kartu su Projektavimo paslaugų grafiku Tiekėjas pateikia visų Paslaugų atlikime dalyvaujančių projektuotojų sąrašą, jų kontaktinę informaciją ir atsakomybių aprašymą.</w:t>
            </w:r>
          </w:p>
          <w:p w14:paraId="0CE28B9D" w14:textId="792DD74F" w:rsidR="00027B83" w:rsidRPr="000807EF" w:rsidRDefault="007A3F7E" w:rsidP="00CD11A9">
            <w:pPr>
              <w:jc w:val="both"/>
              <w:rPr>
                <w:color w:val="000000" w:themeColor="text1"/>
                <w:szCs w:val="24"/>
              </w:rPr>
            </w:pPr>
            <w:r w:rsidRPr="000807EF">
              <w:rPr>
                <w:color w:val="000000" w:themeColor="text1"/>
                <w:kern w:val="2"/>
                <w:szCs w:val="24"/>
              </w:rPr>
              <w:t>Tiekėjui nepateikus nurodytų dokumentų, laikoma, kad Paslaugos nėra atliktos pagal Techninėje specifikacijoje nustatytus reikalavimus.</w:t>
            </w:r>
          </w:p>
        </w:tc>
      </w:tr>
      <w:tr w:rsidR="00027B83" w14:paraId="5BCB922D" w14:textId="77777777">
        <w:trPr>
          <w:trHeight w:val="300"/>
        </w:trPr>
        <w:tc>
          <w:tcPr>
            <w:tcW w:w="9535" w:type="dxa"/>
            <w:gridSpan w:val="4"/>
          </w:tcPr>
          <w:p w14:paraId="694A2072" w14:textId="77777777" w:rsidR="00027B83" w:rsidRPr="000807EF" w:rsidRDefault="000B0897">
            <w:pPr>
              <w:jc w:val="center"/>
              <w:rPr>
                <w:b/>
                <w:color w:val="000000" w:themeColor="text1"/>
                <w:kern w:val="2"/>
                <w:szCs w:val="24"/>
              </w:rPr>
            </w:pPr>
            <w:r w:rsidRPr="000807EF">
              <w:rPr>
                <w:b/>
                <w:color w:val="000000" w:themeColor="text1"/>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344A62B2" w:rsidR="00027B83" w:rsidRPr="000807EF" w:rsidRDefault="000B0897">
            <w:pPr>
              <w:rPr>
                <w:color w:val="000000" w:themeColor="text1"/>
                <w:kern w:val="2"/>
                <w:szCs w:val="24"/>
              </w:rPr>
            </w:pPr>
            <w:r w:rsidRPr="000807EF">
              <w:rPr>
                <w:color w:val="000000" w:themeColor="text1"/>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A00E729" w14:textId="6D62E38F"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FE3A3F" w14:textId="77777777" w:rsidR="00027B83" w:rsidRPr="000807EF" w:rsidRDefault="000B0897">
            <w:pPr>
              <w:rPr>
                <w:color w:val="000000" w:themeColor="text1"/>
                <w:szCs w:val="24"/>
              </w:rPr>
            </w:pPr>
            <w:r w:rsidRPr="000807EF">
              <w:rPr>
                <w:color w:val="000000" w:themeColor="text1"/>
                <w:kern w:val="2"/>
                <w:szCs w:val="24"/>
              </w:rPr>
              <w:t>Pradinės Sutarties vertė yra (nurodyti sumą skaičiais) Eur (nurodyti sumą žodžiais) be PVM.</w:t>
            </w:r>
          </w:p>
          <w:p w14:paraId="3A0D6950" w14:textId="77777777" w:rsidR="00027B83" w:rsidRPr="000807EF" w:rsidRDefault="000B0897">
            <w:pPr>
              <w:rPr>
                <w:color w:val="000000" w:themeColor="text1"/>
                <w:szCs w:val="24"/>
              </w:rPr>
            </w:pPr>
            <w:r w:rsidRPr="000807EF">
              <w:rPr>
                <w:color w:val="000000" w:themeColor="text1"/>
                <w:kern w:val="2"/>
                <w:szCs w:val="24"/>
              </w:rPr>
              <w:t>PVM sudaro (nurodyti sumą skaičiais) Eur (nurodyti sumą žodžiais).</w:t>
            </w:r>
          </w:p>
          <w:p w14:paraId="2F8E0784" w14:textId="77777777" w:rsidR="00027B83" w:rsidRPr="000807EF" w:rsidRDefault="000B0897">
            <w:pPr>
              <w:rPr>
                <w:color w:val="000000" w:themeColor="text1"/>
                <w:szCs w:val="24"/>
              </w:rPr>
            </w:pPr>
            <w:r w:rsidRPr="000807EF">
              <w:rPr>
                <w:color w:val="000000" w:themeColor="text1"/>
                <w:kern w:val="2"/>
                <w:szCs w:val="24"/>
              </w:rPr>
              <w:t>Sutarties kaina yra (nurodyti sumą skaičiais) Eur (nurodyti sumą žodžiais) su PVM.</w:t>
            </w:r>
          </w:p>
          <w:p w14:paraId="76C32A8B" w14:textId="77777777" w:rsidR="00027B83" w:rsidRPr="000807EF" w:rsidRDefault="000B0897">
            <w:pPr>
              <w:rPr>
                <w:color w:val="000000" w:themeColor="text1"/>
                <w:kern w:val="2"/>
                <w:szCs w:val="24"/>
              </w:rPr>
            </w:pPr>
            <w:r w:rsidRPr="000807EF">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14:paraId="7C6FAC1F" w14:textId="77777777">
        <w:trPr>
          <w:trHeight w:val="300"/>
        </w:trPr>
        <w:tc>
          <w:tcPr>
            <w:tcW w:w="3094" w:type="dxa"/>
            <w:gridSpan w:val="2"/>
          </w:tcPr>
          <w:p w14:paraId="5D7C9F13" w14:textId="6FE26C50" w:rsidR="00027B83" w:rsidRDefault="000B0897" w:rsidP="007A3F7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5751E94A" w14:textId="5138174B" w:rsidR="00027B83" w:rsidRDefault="007A3F7E">
            <w:pPr>
              <w:rPr>
                <w:color w:val="000000"/>
                <w:kern w:val="2"/>
                <w:szCs w:val="24"/>
              </w:rPr>
            </w:pPr>
            <w:r>
              <w:rPr>
                <w:kern w:val="2"/>
                <w:szCs w:val="24"/>
              </w:rPr>
              <w:t>Netaikoma</w:t>
            </w:r>
          </w:p>
        </w:tc>
      </w:tr>
      <w:tr w:rsidR="00027B83" w14:paraId="01AE4949" w14:textId="77777777">
        <w:trPr>
          <w:trHeight w:val="300"/>
        </w:trPr>
        <w:tc>
          <w:tcPr>
            <w:tcW w:w="3094" w:type="dxa"/>
            <w:gridSpan w:val="2"/>
          </w:tcPr>
          <w:p w14:paraId="1ECA089D" w14:textId="1FF33088"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0A628C55" w14:textId="6DEACFA4" w:rsidR="00027B83" w:rsidRDefault="007A3F7E">
            <w:pPr>
              <w:rPr>
                <w:szCs w:val="24"/>
              </w:rPr>
            </w:pPr>
            <w:r>
              <w:rPr>
                <w:kern w:val="2"/>
                <w:szCs w:val="24"/>
              </w:rPr>
              <w:t>Netaikoma</w:t>
            </w:r>
          </w:p>
        </w:tc>
      </w:tr>
      <w:tr w:rsidR="00027B83" w14:paraId="4675A860" w14:textId="77777777">
        <w:trPr>
          <w:trHeight w:val="300"/>
        </w:trPr>
        <w:tc>
          <w:tcPr>
            <w:tcW w:w="3094" w:type="dxa"/>
            <w:gridSpan w:val="2"/>
          </w:tcPr>
          <w:p w14:paraId="4C8583E4" w14:textId="5417CF65" w:rsidR="00027B83" w:rsidRDefault="000B0897" w:rsidP="007A3F7E">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7C57917F" w14:textId="34292105" w:rsidR="00027B83" w:rsidRPr="007A3F7E" w:rsidRDefault="007A3F7E">
            <w:pPr>
              <w:rPr>
                <w:color w:val="000000" w:themeColor="text1"/>
                <w:kern w:val="2"/>
                <w:szCs w:val="24"/>
              </w:rPr>
            </w:pPr>
            <w:r w:rsidRPr="007A3F7E">
              <w:rPr>
                <w:color w:val="000000" w:themeColor="text1"/>
                <w:kern w:val="2"/>
                <w:szCs w:val="24"/>
              </w:rPr>
              <w:t>Netaikoma</w:t>
            </w:r>
          </w:p>
        </w:tc>
      </w:tr>
      <w:tr w:rsidR="00027B83" w14:paraId="214747C0" w14:textId="77777777">
        <w:trPr>
          <w:trHeight w:val="300"/>
        </w:trPr>
        <w:tc>
          <w:tcPr>
            <w:tcW w:w="3094" w:type="dxa"/>
            <w:gridSpan w:val="2"/>
          </w:tcPr>
          <w:p w14:paraId="6136E4BA" w14:textId="63FBC222" w:rsidR="00027B83" w:rsidRPr="007A3F7E" w:rsidRDefault="000B0897" w:rsidP="007A3F7E">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1415BED9" w14:textId="3AB9F37C" w:rsidR="00027B83" w:rsidRPr="007A3F7E" w:rsidRDefault="007A3F7E">
            <w:pPr>
              <w:rPr>
                <w:color w:val="000000" w:themeColor="text1"/>
                <w:kern w:val="2"/>
                <w:szCs w:val="24"/>
              </w:rPr>
            </w:pPr>
            <w:r w:rsidRPr="007A3F7E">
              <w:rPr>
                <w:color w:val="000000" w:themeColor="text1"/>
                <w:kern w:val="2"/>
                <w:szCs w:val="24"/>
              </w:rPr>
              <w:t>Netaikoma</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0101D12C" w14:textId="77777777" w:rsidR="007A3F7E" w:rsidRPr="007A3F7E" w:rsidRDefault="007A3F7E" w:rsidP="00CD11A9">
            <w:pPr>
              <w:jc w:val="both"/>
              <w:rPr>
                <w:color w:val="000000" w:themeColor="text1"/>
                <w:kern w:val="2"/>
                <w:szCs w:val="24"/>
              </w:rPr>
            </w:pPr>
            <w:r w:rsidRPr="007A3F7E">
              <w:rPr>
                <w:color w:val="000000" w:themeColor="text1"/>
                <w:kern w:val="2"/>
                <w:szCs w:val="24"/>
              </w:rPr>
              <w:t>Sutarties vykdymo laikotarpiu, vieną kartą po 6 mėnesių nuo statybos rangos darbų pradžios, pradinė Sutarties vertė dėl projekto vykdymo priežiūros paslaugų peržiūrima (didinama ar mažinama) šiais atvejais ir tokia tvarka:</w:t>
            </w:r>
          </w:p>
          <w:p w14:paraId="3DC23F94" w14:textId="77777777" w:rsidR="007A3F7E" w:rsidRPr="007A3F7E" w:rsidRDefault="007A3F7E" w:rsidP="00CD11A9">
            <w:pPr>
              <w:jc w:val="both"/>
              <w:rPr>
                <w:color w:val="000000" w:themeColor="text1"/>
                <w:kern w:val="2"/>
                <w:szCs w:val="24"/>
              </w:rPr>
            </w:pPr>
            <w:r w:rsidRPr="007A3F7E">
              <w:rPr>
                <w:color w:val="000000" w:themeColor="text1"/>
                <w:kern w:val="2"/>
                <w:szCs w:val="24"/>
              </w:rPr>
              <w:t>Sutarties kaina / įkainiai bus perskaičiuojami:</w:t>
            </w:r>
          </w:p>
          <w:p w14:paraId="600DEC41" w14:textId="77777777" w:rsidR="007A3F7E" w:rsidRPr="007A3F7E" w:rsidRDefault="007A3F7E" w:rsidP="00CD11A9">
            <w:pPr>
              <w:jc w:val="both"/>
              <w:rPr>
                <w:color w:val="000000" w:themeColor="text1"/>
                <w:kern w:val="2"/>
                <w:szCs w:val="24"/>
              </w:rPr>
            </w:pPr>
            <w:r w:rsidRPr="007A3F7E">
              <w:rPr>
                <w:color w:val="000000" w:themeColor="text1"/>
                <w:kern w:val="2"/>
                <w:szCs w:val="24"/>
              </w:rPr>
              <w:t>5.3.1. dėl PVM tarifo pasikeitimo;</w:t>
            </w:r>
          </w:p>
          <w:p w14:paraId="662EA503" w14:textId="62D87802" w:rsidR="00027B83" w:rsidRPr="00CD11A9" w:rsidRDefault="007A3F7E" w:rsidP="00CD11A9">
            <w:pPr>
              <w:jc w:val="both"/>
              <w:rPr>
                <w:strike/>
                <w:color w:val="FF0000"/>
                <w:kern w:val="2"/>
                <w:szCs w:val="24"/>
              </w:rPr>
            </w:pPr>
            <w:r w:rsidRPr="007A3F7E">
              <w:rPr>
                <w:color w:val="000000" w:themeColor="text1"/>
                <w:kern w:val="2"/>
                <w:szCs w:val="24"/>
              </w:rPr>
              <w:t>5.3.</w:t>
            </w:r>
            <w:r w:rsidR="00CD11A9">
              <w:rPr>
                <w:color w:val="000000" w:themeColor="text1"/>
                <w:kern w:val="2"/>
                <w:szCs w:val="24"/>
              </w:rPr>
              <w:t>3</w:t>
            </w:r>
            <w:r w:rsidRPr="007A3F7E">
              <w:rPr>
                <w:color w:val="000000" w:themeColor="text1"/>
                <w:kern w:val="2"/>
                <w:szCs w:val="24"/>
              </w:rPr>
              <w:t>. Pradinė Sutarties vertė perskaičiuojama taikant Valstybės duomenų agentūros paskelbtus architektūros ir inžinerijos veiklos, techninio tikrinimo ir analizės sąnaudų kainų indeksus, jeigu nuo pasiūlymo pateikimo dienos, architektūros ir inžinerijos veiklos, techninio tikrinimo ir analizės sąnaudų kainų pokytis yra didesnis kaip 5 procentai</w:t>
            </w:r>
            <w:r w:rsidR="00CD11A9">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D11A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CD11A9">
            <w:pPr>
              <w:jc w:val="both"/>
              <w:rPr>
                <w:kern w:val="2"/>
                <w:szCs w:val="24"/>
              </w:rPr>
            </w:pPr>
          </w:p>
          <w:p w14:paraId="20571E9F" w14:textId="0B23630E" w:rsidR="00027B83" w:rsidRPr="007A3F7E" w:rsidRDefault="000B0897" w:rsidP="00CD11A9">
            <w:pPr>
              <w:jc w:val="both"/>
              <w:rPr>
                <w:color w:val="FF0000"/>
                <w:kern w:val="2"/>
                <w:szCs w:val="24"/>
              </w:rPr>
            </w:pPr>
            <w:r w:rsidRPr="000807EF">
              <w:rPr>
                <w:color w:val="000000" w:themeColor="text1"/>
                <w:kern w:val="2"/>
                <w:szCs w:val="24"/>
              </w:rPr>
              <w:t xml:space="preserve">Perskaičiavimas įforminamas Susitarimu ne vėliau kaip per </w:t>
            </w:r>
            <w:r w:rsidR="007A3F7E" w:rsidRPr="000807EF">
              <w:rPr>
                <w:color w:val="000000" w:themeColor="text1"/>
                <w:kern w:val="2"/>
                <w:szCs w:val="24"/>
              </w:rPr>
              <w:t>30 kalendorinių dienų</w:t>
            </w:r>
            <w:r w:rsidRPr="000807EF">
              <w:rPr>
                <w:color w:val="000000" w:themeColor="text1"/>
                <w:kern w:val="2"/>
                <w:szCs w:val="24"/>
              </w:rPr>
              <w:t xml:space="preserve"> nuo PVM mokėjimą reglamentuojančių teisės aktų pasikeitimo, kuris tampa neatskiriama Sutarties dalimi. Perskaičiuota (-as) Sutarties kaina / įkainiai taikoma (-i) už tą P</w:t>
            </w:r>
            <w:r w:rsidRPr="000807EF">
              <w:rPr>
                <w:color w:val="000000" w:themeColor="text1"/>
                <w:szCs w:val="24"/>
              </w:rPr>
              <w:t>aslaugų</w:t>
            </w:r>
            <w:r w:rsidRPr="000807EF">
              <w:rPr>
                <w:color w:val="000000" w:themeColor="text1"/>
                <w:kern w:val="2"/>
                <w:szCs w:val="24"/>
              </w:rPr>
              <w:t xml:space="preserve"> dalį, kurios bus teikiamos nuo Šalių pasirašyto Susitarimo įsigaliojimo dienos</w:t>
            </w:r>
            <w:r w:rsidR="007A3F7E" w:rsidRPr="000807EF">
              <w:rPr>
                <w:color w:val="000000" w:themeColor="text1"/>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5D2BC2AC" w:rsidR="00027B83" w:rsidRPr="007A3F7E"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32399C92" w:rsidR="006F0803" w:rsidRDefault="006F0803" w:rsidP="006F0803">
            <w:pPr>
              <w:rPr>
                <w:b/>
                <w:kern w:val="2"/>
                <w:szCs w:val="24"/>
              </w:rPr>
            </w:pPr>
          </w:p>
        </w:tc>
        <w:tc>
          <w:tcPr>
            <w:tcW w:w="6441" w:type="dxa"/>
            <w:gridSpan w:val="2"/>
          </w:tcPr>
          <w:p w14:paraId="115CA309" w14:textId="77777777" w:rsidR="000453FC" w:rsidRPr="000453FC" w:rsidRDefault="000453FC" w:rsidP="00CD11A9">
            <w:pPr>
              <w:jc w:val="both"/>
              <w:rPr>
                <w:kern w:val="2"/>
                <w:szCs w:val="24"/>
              </w:rPr>
            </w:pPr>
            <w:r w:rsidRPr="000453FC">
              <w:rPr>
                <w:kern w:val="2"/>
                <w:szCs w:val="24"/>
              </w:rPr>
              <w:t>5.3.3.1. Bet kuri Sutarties Šalis Sutarties galiojimo metu turi teisę inicijuoti Sutarties kainos peržiūrą (keitimą) ne anksčiau kaip po 6 mėnesių nuo paskutinės pirkimo, kurio pagrindu sudaryta Sutartis, Sutarties įsigaliojimo dienos (jeigu peržiūra jau buvo atlikta – nuo Susitarimo dėl paskutinio perskaičiavimo pagal šį Specialiųjų sąlygų punktą įsigaliojimo dienos), jeigu architektūros ir inžinerijos veiklos, techninio tikrinimo ir analizės sąnaudų kainų pokytis (k), apskaičiuotas kaip nustatyta 5.3.3.6 punkte, viršija 5 procentus . Sutarties kainos peržiūra atliekama ne rečiau kaip kas 6 mėnesiai.</w:t>
            </w:r>
          </w:p>
          <w:p w14:paraId="29E74937" w14:textId="77777777" w:rsidR="000453FC" w:rsidRPr="000453FC" w:rsidRDefault="000453FC" w:rsidP="00CD11A9">
            <w:pPr>
              <w:jc w:val="both"/>
              <w:rPr>
                <w:kern w:val="2"/>
                <w:szCs w:val="24"/>
              </w:rPr>
            </w:pPr>
            <w:r w:rsidRPr="000453FC">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28F09E9F" w14:textId="77777777" w:rsidR="000453FC" w:rsidRPr="000453FC" w:rsidRDefault="000453FC" w:rsidP="00CD11A9">
            <w:pPr>
              <w:jc w:val="both"/>
              <w:rPr>
                <w:kern w:val="2"/>
                <w:szCs w:val="24"/>
              </w:rPr>
            </w:pPr>
            <w:r w:rsidRPr="000453FC">
              <w:rPr>
                <w:kern w:val="2"/>
                <w:szCs w:val="24"/>
              </w:rPr>
              <w:lastRenderedPageBreak/>
              <w:t>5.3.3.3. Jeigu Paslaugų teikimas vėluoja dėl Tiekėjo kaltės, uždelstų suteikti Paslaugų kaina nėra perskaičiuojami dėl kainų lygio kilimo (gali būti mažinami, tačiau negali būti didinami).</w:t>
            </w:r>
          </w:p>
          <w:p w14:paraId="3201F2DC" w14:textId="77777777" w:rsidR="000453FC" w:rsidRPr="000453FC" w:rsidRDefault="000453FC" w:rsidP="00CD11A9">
            <w:pPr>
              <w:jc w:val="both"/>
              <w:rPr>
                <w:kern w:val="2"/>
                <w:szCs w:val="24"/>
              </w:rPr>
            </w:pPr>
            <w:r w:rsidRPr="000453FC">
              <w:rPr>
                <w:kern w:val="2"/>
                <w:szCs w:val="24"/>
              </w:rPr>
              <w:t>5.3.3.4. Atlikdamos Sutarties kainos peržiūrą Šalys vadovaujasi Valstybės duomenų agentūros viešai Valstybės duomenų agentūros paskelbtus architektūros ir inžinerijos veiklos, techninio tikrinimo ir analizės sąnaudų kainų indeksais. Iš kitos Šalies reikalaujama pateikti oficialaus Valstybės duomenų agentūros ar kitos institucijos išduoto dokumento ar patvirtinimo raštą.</w:t>
            </w:r>
          </w:p>
          <w:p w14:paraId="0FCEA523" w14:textId="77777777" w:rsidR="000453FC" w:rsidRPr="000453FC" w:rsidRDefault="000453FC" w:rsidP="00CD11A9">
            <w:pPr>
              <w:jc w:val="both"/>
              <w:rPr>
                <w:kern w:val="2"/>
                <w:szCs w:val="24"/>
              </w:rPr>
            </w:pPr>
            <w:r w:rsidRPr="000453FC">
              <w:rPr>
                <w:kern w:val="2"/>
                <w:szCs w:val="24"/>
              </w:rPr>
              <w:t>5.3.3.5. Šalys privalo Susitarime nurodyti architektūros ir inžinerijos veiklos, techninio tikrinimo ir analizės sąnaudų indekso reikšmę laikotarpio pradžioje ir jo nustatymo datą, indekso reikšmę laikotarpio pabaigoje ir jo nustatymo datą, kainų pokytį (k), perskaičiuotą Sutarties kainą, perskaičiuotą Pradinės Sutarties vertę.</w:t>
            </w:r>
          </w:p>
          <w:p w14:paraId="05A1E092" w14:textId="77777777" w:rsidR="000453FC" w:rsidRPr="000453FC" w:rsidRDefault="000453FC" w:rsidP="00CD11A9">
            <w:pPr>
              <w:jc w:val="both"/>
              <w:rPr>
                <w:kern w:val="2"/>
                <w:szCs w:val="24"/>
              </w:rPr>
            </w:pPr>
            <w:r w:rsidRPr="000453FC">
              <w:rPr>
                <w:kern w:val="2"/>
                <w:szCs w:val="24"/>
              </w:rPr>
              <w:t>5.3.3.6. Nauja Sutarties kaina apskaičiuojami pagal žemiau pateiktą formulę:</w:t>
            </w:r>
          </w:p>
          <w:p w14:paraId="2E310500" w14:textId="77777777" w:rsidR="000453FC" w:rsidRPr="000453FC" w:rsidRDefault="000453FC" w:rsidP="00CD11A9">
            <w:pPr>
              <w:jc w:val="both"/>
              <w:rPr>
                <w:kern w:val="2"/>
                <w:szCs w:val="24"/>
              </w:rPr>
            </w:pPr>
          </w:p>
          <w:p w14:paraId="2999A12D" w14:textId="77777777" w:rsidR="000453FC" w:rsidRPr="000453FC" w:rsidRDefault="000453FC" w:rsidP="00CD11A9">
            <w:pPr>
              <w:jc w:val="both"/>
              <w:rPr>
                <w:kern w:val="2"/>
                <w:szCs w:val="24"/>
              </w:rPr>
            </w:pPr>
            <w:r w:rsidRPr="000453FC">
              <w:rPr>
                <w:kern w:val="2"/>
                <w:szCs w:val="24"/>
              </w:rPr>
              <w:t>a_1=a+(k/100×a), kur a – kaina (Eur be PVM) (jei peržiūra jau buvo atlikta, tai po paskutinio perskaičiavimo)</w:t>
            </w:r>
          </w:p>
          <w:p w14:paraId="05C8FC77" w14:textId="77777777" w:rsidR="000453FC" w:rsidRPr="000453FC" w:rsidRDefault="000453FC" w:rsidP="00CD11A9">
            <w:pPr>
              <w:jc w:val="both"/>
              <w:rPr>
                <w:kern w:val="2"/>
                <w:szCs w:val="24"/>
              </w:rPr>
            </w:pPr>
            <w:r w:rsidRPr="000453FC">
              <w:rPr>
                <w:kern w:val="2"/>
                <w:szCs w:val="24"/>
              </w:rPr>
              <w:t>a1 – perskaičiuota (pakeista) kaina (Eur be PVM)</w:t>
            </w:r>
          </w:p>
          <w:p w14:paraId="0A8A0ECA" w14:textId="77777777" w:rsidR="000453FC" w:rsidRPr="000453FC" w:rsidRDefault="000453FC" w:rsidP="00CD11A9">
            <w:pPr>
              <w:jc w:val="both"/>
              <w:rPr>
                <w:kern w:val="2"/>
                <w:szCs w:val="24"/>
              </w:rPr>
            </w:pPr>
            <w:r w:rsidRPr="000453FC">
              <w:rPr>
                <w:kern w:val="2"/>
                <w:szCs w:val="24"/>
              </w:rPr>
              <w:t>k – pagal Valstybės duomenų agentūros paskelbtus architektūros ir inžinerijos veiklos, techninio tikrinimo ir analizės sąnaudų kainų indeksus apskaičiuotas Vartojimo paslaugų kainų pokytis (padidėjimas arba sumažėjimas) (%). „k“ reikšmė skaičiuojama pagal formulę:</w:t>
            </w:r>
          </w:p>
          <w:p w14:paraId="6D661FA4" w14:textId="77777777" w:rsidR="000453FC" w:rsidRPr="000453FC" w:rsidRDefault="000453FC" w:rsidP="00CD11A9">
            <w:pPr>
              <w:jc w:val="both"/>
              <w:rPr>
                <w:kern w:val="2"/>
                <w:szCs w:val="24"/>
              </w:rPr>
            </w:pPr>
            <w:r w:rsidRPr="000453FC">
              <w:rPr>
                <w:kern w:val="2"/>
                <w:szCs w:val="24"/>
              </w:rPr>
              <w:t>k =</w:t>
            </w:r>
            <w:proofErr w:type="spellStart"/>
            <w:r w:rsidRPr="000453FC">
              <w:rPr>
                <w:kern w:val="2"/>
                <w:szCs w:val="24"/>
              </w:rPr>
              <w:t>Ind_naujausias</w:t>
            </w:r>
            <w:proofErr w:type="spellEnd"/>
            <w:r w:rsidRPr="000453FC">
              <w:rPr>
                <w:kern w:val="2"/>
                <w:szCs w:val="24"/>
              </w:rPr>
              <w:t>/</w:t>
            </w:r>
            <w:proofErr w:type="spellStart"/>
            <w:r w:rsidRPr="000453FC">
              <w:rPr>
                <w:kern w:val="2"/>
                <w:szCs w:val="24"/>
              </w:rPr>
              <w:t>Ind_pradžia</w:t>
            </w:r>
            <w:proofErr w:type="spellEnd"/>
            <w:r w:rsidRPr="000453FC">
              <w:rPr>
                <w:kern w:val="2"/>
                <w:szCs w:val="24"/>
              </w:rPr>
              <w:t xml:space="preserve"> ×100-100, (proc.) kur</w:t>
            </w:r>
          </w:p>
          <w:p w14:paraId="01D8C2A1" w14:textId="77777777" w:rsidR="000453FC" w:rsidRPr="000453FC" w:rsidRDefault="000453FC" w:rsidP="00CD11A9">
            <w:pPr>
              <w:jc w:val="both"/>
              <w:rPr>
                <w:kern w:val="2"/>
                <w:szCs w:val="24"/>
              </w:rPr>
            </w:pPr>
            <w:proofErr w:type="spellStart"/>
            <w:r w:rsidRPr="000453FC">
              <w:rPr>
                <w:kern w:val="2"/>
                <w:szCs w:val="24"/>
              </w:rPr>
              <w:t>Ind</w:t>
            </w:r>
            <w:proofErr w:type="spellEnd"/>
            <w:r w:rsidRPr="000453FC">
              <w:rPr>
                <w:kern w:val="2"/>
                <w:szCs w:val="24"/>
              </w:rPr>
              <w:t xml:space="preserve"> naujausias – kreipimosi dėl kainos peržiūros išsiuntimo kitai Šaliai dieną paskelbtas naujausias architektūros ir inžinerijos veiklos, techninio tikrinimo ir analizės sąnaudų indeksas pagal Valstybės duomenų agentūros paskelbtus architektūros ir inžinerijos veiklos, techninio tikrinimo ir analizės sąnaudų kainų indeksus</w:t>
            </w:r>
          </w:p>
          <w:p w14:paraId="73AF4B44" w14:textId="77777777" w:rsidR="000453FC" w:rsidRPr="000453FC" w:rsidRDefault="000453FC" w:rsidP="00CD11A9">
            <w:pPr>
              <w:jc w:val="both"/>
              <w:rPr>
                <w:kern w:val="2"/>
                <w:szCs w:val="24"/>
              </w:rPr>
            </w:pPr>
            <w:proofErr w:type="spellStart"/>
            <w:r w:rsidRPr="000453FC">
              <w:rPr>
                <w:kern w:val="2"/>
                <w:szCs w:val="24"/>
              </w:rPr>
              <w:t>Ind</w:t>
            </w:r>
            <w:proofErr w:type="spellEnd"/>
            <w:r w:rsidRPr="000453FC">
              <w:rPr>
                <w:kern w:val="2"/>
                <w:szCs w:val="24"/>
              </w:rPr>
              <w:t xml:space="preserve"> pradžia – laikotarpio pradžios datos (mėnesio) paslaugų indeksas pagal Valstybės duomenų agentūros paskelbtus architektūros ir inžinerijos veiklos, techninio tikrinimo ir analizės sąnaudų kainų indeksus.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E75310" w14:textId="77777777" w:rsidR="000453FC" w:rsidRPr="000453FC" w:rsidRDefault="000453FC" w:rsidP="00CD11A9">
            <w:pPr>
              <w:jc w:val="both"/>
              <w:rPr>
                <w:kern w:val="2"/>
                <w:szCs w:val="24"/>
              </w:rPr>
            </w:pPr>
            <w:r w:rsidRPr="000453FC">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36A51D3" w14:textId="77777777" w:rsidR="000453FC" w:rsidRPr="000453FC" w:rsidRDefault="000453FC" w:rsidP="00CD11A9">
            <w:pPr>
              <w:jc w:val="both"/>
              <w:rPr>
                <w:kern w:val="2"/>
                <w:szCs w:val="24"/>
              </w:rPr>
            </w:pPr>
            <w:r w:rsidRPr="000453FC">
              <w:rPr>
                <w:kern w:val="2"/>
                <w:szCs w:val="24"/>
              </w:rPr>
              <w:t xml:space="preserve">5.3.3.8. Šalis, siekianti Sutarties kainos peržiūros, privalo raštu kreiptis į kitą Šalį ir prašyme pateikti visą reikalingą informaciją: </w:t>
            </w:r>
            <w:r w:rsidRPr="000453FC">
              <w:rPr>
                <w:kern w:val="2"/>
                <w:szCs w:val="24"/>
              </w:rPr>
              <w:lastRenderedPageBreak/>
              <w:t>Sutarties pavadinimą, numerį, datą, neperduotų ir neapmokėtų Paslaugų sąrašą su kiekiais, indekso reikšmes su nuorodomis į Statistikos departamento prie Lietuvos Respublikos Vyriausybės paskelbtus architektūros ir inžinerijos veiklos, techninio tikrinimo ir analizės sąnaudų kainų indeksus. Prašyme Šalis neturi teisės nurodyti kito indekso ar prašyti perskaičiavimo pagal kitą indeksą nei nurodytas šioje procedūroje.</w:t>
            </w:r>
          </w:p>
          <w:p w14:paraId="70D1CA4A" w14:textId="77777777" w:rsidR="000453FC" w:rsidRPr="000453FC" w:rsidRDefault="000453FC" w:rsidP="00CD11A9">
            <w:pPr>
              <w:jc w:val="both"/>
              <w:rPr>
                <w:kern w:val="2"/>
                <w:szCs w:val="24"/>
              </w:rPr>
            </w:pPr>
            <w:r w:rsidRPr="000453FC">
              <w:rPr>
                <w:kern w:val="2"/>
                <w:szCs w:val="24"/>
              </w:rPr>
              <w:t>5.3.3.9. Susitarimas turi būti sudarytas per 15 kalendorinių dienų nuo Šalies pateikto tinkamo prašymo perskaičiuoti Sutarties kainą gavimo dienos.</w:t>
            </w:r>
          </w:p>
          <w:p w14:paraId="38752C12" w14:textId="3B4A7364" w:rsidR="006F0803" w:rsidRDefault="000453FC" w:rsidP="00CD11A9">
            <w:pPr>
              <w:jc w:val="both"/>
              <w:rPr>
                <w:color w:val="4472C4"/>
                <w:kern w:val="2"/>
                <w:szCs w:val="24"/>
              </w:rPr>
            </w:pPr>
            <w:r w:rsidRPr="000453FC">
              <w:rPr>
                <w:kern w:val="2"/>
                <w:szCs w:val="24"/>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75FB6382" w:rsidR="00027B83" w:rsidRPr="000453FC"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D7330DA"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2CDCB4B" w14:textId="77777777" w:rsidR="000453FC" w:rsidRPr="000453FC" w:rsidRDefault="000453FC" w:rsidP="000453FC">
            <w:pPr>
              <w:rPr>
                <w:kern w:val="2"/>
                <w:szCs w:val="24"/>
              </w:rPr>
            </w:pPr>
            <w:r w:rsidRPr="000453FC">
              <w:rPr>
                <w:kern w:val="2"/>
                <w:szCs w:val="24"/>
              </w:rPr>
              <w:t>Pirkėjas atsiskaito su Tiekėju ne vėliau kaip per 30 kalendorinių dienų nuo Sąskaitos gavimo dienos.</w:t>
            </w:r>
          </w:p>
          <w:p w14:paraId="4BFCCCCB" w14:textId="77777777" w:rsidR="000453FC" w:rsidRPr="000453FC" w:rsidRDefault="000453FC" w:rsidP="000453FC">
            <w:pPr>
              <w:rPr>
                <w:kern w:val="2"/>
                <w:szCs w:val="24"/>
              </w:rPr>
            </w:pPr>
          </w:p>
          <w:p w14:paraId="3C496BB3" w14:textId="77777777" w:rsidR="000453FC" w:rsidRPr="000453FC" w:rsidRDefault="000453FC" w:rsidP="0046626A">
            <w:pPr>
              <w:jc w:val="both"/>
              <w:rPr>
                <w:kern w:val="2"/>
                <w:szCs w:val="24"/>
              </w:rPr>
            </w:pPr>
            <w:r w:rsidRPr="000453FC">
              <w:rPr>
                <w:kern w:val="2"/>
                <w:szCs w:val="24"/>
              </w:rPr>
              <w:t>Apmokėjimo sąlygos:</w:t>
            </w:r>
          </w:p>
          <w:p w14:paraId="67B597B4" w14:textId="77777777" w:rsidR="000453FC" w:rsidRPr="000453FC" w:rsidRDefault="000453FC" w:rsidP="0046626A">
            <w:pPr>
              <w:jc w:val="both"/>
              <w:rPr>
                <w:kern w:val="2"/>
                <w:szCs w:val="24"/>
              </w:rPr>
            </w:pPr>
            <w:r w:rsidRPr="000453FC">
              <w:rPr>
                <w:kern w:val="2"/>
                <w:szCs w:val="24"/>
              </w:rPr>
              <w:t>numatomas tarpinis apmokėjimas:</w:t>
            </w:r>
          </w:p>
          <w:p w14:paraId="3C89C0E3" w14:textId="77777777" w:rsidR="000453FC" w:rsidRPr="000453FC" w:rsidRDefault="000453FC" w:rsidP="0046626A">
            <w:pPr>
              <w:jc w:val="both"/>
              <w:rPr>
                <w:kern w:val="2"/>
                <w:szCs w:val="24"/>
              </w:rPr>
            </w:pPr>
            <w:r w:rsidRPr="000453FC">
              <w:rPr>
                <w:kern w:val="2"/>
                <w:szCs w:val="24"/>
              </w:rPr>
              <w:t>-20 proc. nuo projektavimo paslaugų kainos atlikus topografinius, inžinerinius, geologinius, geotechninius tyrimus;</w:t>
            </w:r>
          </w:p>
          <w:p w14:paraId="0BB99EE8" w14:textId="77777777" w:rsidR="000453FC" w:rsidRPr="000453FC" w:rsidRDefault="000453FC" w:rsidP="0046626A">
            <w:pPr>
              <w:jc w:val="both"/>
              <w:rPr>
                <w:kern w:val="2"/>
                <w:szCs w:val="24"/>
              </w:rPr>
            </w:pPr>
            <w:r w:rsidRPr="000453FC">
              <w:rPr>
                <w:kern w:val="2"/>
                <w:szCs w:val="24"/>
              </w:rPr>
              <w:t>-50 proc. nuo projektavimo paslaugų kainos pateikus visą Projektą Užsakovui;</w:t>
            </w:r>
          </w:p>
          <w:p w14:paraId="6B11E6F9" w14:textId="77777777" w:rsidR="000453FC" w:rsidRPr="000453FC" w:rsidRDefault="000453FC" w:rsidP="0046626A">
            <w:pPr>
              <w:jc w:val="both"/>
              <w:rPr>
                <w:kern w:val="2"/>
                <w:szCs w:val="24"/>
              </w:rPr>
            </w:pPr>
            <w:r w:rsidRPr="000453FC">
              <w:rPr>
                <w:kern w:val="2"/>
                <w:szCs w:val="24"/>
              </w:rPr>
              <w:t xml:space="preserve">-30 proc. nuo projektavimo paslaugų kainos ištaisius Projektą po ekspertų pastabų ir gavus teigiamą bendrosios Projekto ekspertizės aktą. </w:t>
            </w:r>
          </w:p>
          <w:p w14:paraId="2E393D74" w14:textId="28D6BD3E" w:rsidR="00027B83" w:rsidRDefault="000453FC" w:rsidP="0046626A">
            <w:pPr>
              <w:jc w:val="both"/>
              <w:rPr>
                <w:color w:val="4472C4"/>
                <w:kern w:val="2"/>
                <w:szCs w:val="24"/>
                <w:shd w:val="clear" w:color="auto" w:fill="FFFFFF"/>
              </w:rPr>
            </w:pPr>
            <w:r w:rsidRPr="000453FC">
              <w:rPr>
                <w:kern w:val="2"/>
                <w:szCs w:val="24"/>
              </w:rPr>
              <w:t>Už projekto vykdymo priežiūros paslaugas apmokama nuo projekto vykdymo priežiūros paslaugų kainos proporcingai nuo atliktų statybos darbų kainos.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57598933" w:rsidR="006F0803" w:rsidRPr="000453FC" w:rsidRDefault="006F0803" w:rsidP="000453FC">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40B2F4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1C494C4" w:rsidR="006F0803" w:rsidRPr="000453FC"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2203B7E1"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31EB9FE" w:rsidR="000453FC" w:rsidRDefault="006F0803" w:rsidP="000453FC">
            <w:pPr>
              <w:rPr>
                <w:kern w:val="2"/>
                <w:szCs w:val="24"/>
              </w:rPr>
            </w:pPr>
            <w:r>
              <w:rPr>
                <w:kern w:val="2"/>
                <w:szCs w:val="24"/>
              </w:rPr>
              <w:t>Netaikoma</w:t>
            </w:r>
          </w:p>
          <w:p w14:paraId="449C3520" w14:textId="03B1EED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41395485" w14:textId="77777777" w:rsidR="0046626A" w:rsidRDefault="0046626A" w:rsidP="0046626A">
            <w:pPr>
              <w:rPr>
                <w:kern w:val="2"/>
                <w:szCs w:val="24"/>
              </w:rPr>
            </w:pPr>
            <w:r>
              <w:rPr>
                <w:kern w:val="2"/>
                <w:szCs w:val="24"/>
              </w:rPr>
              <w:t>Sutarties vykdymui subtiekėjai ir (ar) specialistai nepasitelkiami.</w:t>
            </w:r>
          </w:p>
          <w:p w14:paraId="4F6C4EA1" w14:textId="77777777" w:rsidR="0046626A" w:rsidRDefault="0046626A" w:rsidP="0046626A">
            <w:pPr>
              <w:rPr>
                <w:kern w:val="2"/>
                <w:szCs w:val="24"/>
              </w:rPr>
            </w:pPr>
          </w:p>
          <w:p w14:paraId="091147F0" w14:textId="77777777" w:rsidR="0046626A" w:rsidRDefault="0046626A" w:rsidP="0046626A">
            <w:pPr>
              <w:rPr>
                <w:color w:val="FF0000"/>
                <w:kern w:val="2"/>
                <w:szCs w:val="24"/>
              </w:rPr>
            </w:pPr>
            <w:r>
              <w:rPr>
                <w:color w:val="FF0000"/>
                <w:kern w:val="2"/>
                <w:szCs w:val="24"/>
              </w:rPr>
              <w:t>arba</w:t>
            </w:r>
          </w:p>
          <w:p w14:paraId="770186AB" w14:textId="77777777" w:rsidR="0046626A" w:rsidRDefault="0046626A" w:rsidP="0046626A">
            <w:pPr>
              <w:rPr>
                <w:kern w:val="2"/>
                <w:szCs w:val="24"/>
              </w:rPr>
            </w:pPr>
          </w:p>
          <w:p w14:paraId="76AAE2E0" w14:textId="77777777" w:rsidR="00027B83" w:rsidRDefault="0046626A" w:rsidP="0046626A">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 </w:t>
            </w:r>
          </w:p>
          <w:p w14:paraId="54BC1F6A" w14:textId="77777777" w:rsidR="0046626A" w:rsidRDefault="0046626A" w:rsidP="0046626A">
            <w:pPr>
              <w:rPr>
                <w:b/>
                <w:kern w:val="2"/>
                <w:szCs w:val="24"/>
              </w:rPr>
            </w:pPr>
          </w:p>
          <w:p w14:paraId="10514FEF" w14:textId="3D0DF40E" w:rsidR="0046626A" w:rsidRDefault="0046626A" w:rsidP="0046626A">
            <w:pPr>
              <w:rPr>
                <w:b/>
                <w:kern w:val="2"/>
                <w:szCs w:val="24"/>
              </w:rPr>
            </w:pPr>
            <w:r>
              <w:rPr>
                <w:b/>
                <w:kern w:val="2"/>
                <w:szCs w:val="24"/>
              </w:rPr>
              <w:t>(</w:t>
            </w:r>
            <w:r w:rsidRPr="0046626A">
              <w:rPr>
                <w:b/>
                <w:i/>
                <w:iCs/>
                <w:kern w:val="2"/>
                <w:szCs w:val="24"/>
              </w:rPr>
              <w:t>Pasirašant sutartį bus pasirinktas tinkamas variantas</w:t>
            </w:r>
            <w:r>
              <w:rPr>
                <w:b/>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261E8708" w:rsidR="00027B83" w:rsidRDefault="000B0897">
            <w:pPr>
              <w:rPr>
                <w:kern w:val="2"/>
                <w:szCs w:val="24"/>
              </w:rPr>
            </w:pPr>
            <w:r>
              <w:rPr>
                <w:kern w:val="2"/>
                <w:szCs w:val="24"/>
              </w:rPr>
              <w:t>Prievolių pagal Sutartį įvykdymas užtikrinamas</w:t>
            </w:r>
            <w:r w:rsidR="000453FC">
              <w:rPr>
                <w:kern w:val="2"/>
                <w:szCs w:val="24"/>
              </w:rPr>
              <w:t xml:space="preserve"> n</w:t>
            </w:r>
            <w:r>
              <w:rPr>
                <w:kern w:val="2"/>
                <w:szCs w:val="24"/>
              </w:rPr>
              <w:t>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335EA6B3"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4AED5E2D" w:rsidR="00027B83" w:rsidRPr="000453FC" w:rsidRDefault="000B0897">
            <w:pPr>
              <w:rPr>
                <w:kern w:val="2"/>
                <w:szCs w:val="24"/>
              </w:rPr>
            </w:pPr>
            <w:r>
              <w:rPr>
                <w:kern w:val="2"/>
                <w:szCs w:val="24"/>
              </w:rPr>
              <w:t>Netaikom</w:t>
            </w:r>
            <w:r w:rsidR="000453FC">
              <w:rPr>
                <w:kern w:val="2"/>
                <w:szCs w:val="24"/>
              </w:rPr>
              <w:t>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C0E5B55" w:rsidR="00402199" w:rsidRPr="000453FC" w:rsidRDefault="000453FC" w:rsidP="0046626A">
            <w:pPr>
              <w:jc w:val="both"/>
              <w:rPr>
                <w:bCs/>
                <w:kern w:val="2"/>
                <w:szCs w:val="24"/>
              </w:rPr>
            </w:pPr>
            <w:r w:rsidRPr="000453F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5593F94" w:rsidR="00402199" w:rsidRPr="000453FC" w:rsidRDefault="00402199" w:rsidP="0046626A">
            <w:pPr>
              <w:jc w:val="both"/>
              <w:rPr>
                <w:color w:val="000000" w:themeColor="text1"/>
              </w:rPr>
            </w:pPr>
            <w:r w:rsidRPr="000453FC">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w:t>
            </w:r>
            <w:r w:rsidR="000453FC" w:rsidRPr="000453FC">
              <w:rPr>
                <w:color w:val="000000" w:themeColor="text1"/>
                <w:szCs w:val="24"/>
                <w:lang w:val="lt"/>
              </w:rPr>
              <w:t xml:space="preserve"> kalendorinę</w:t>
            </w:r>
            <w:r w:rsidRPr="000453FC">
              <w:rPr>
                <w:color w:val="000000" w:themeColor="text1"/>
                <w:szCs w:val="24"/>
                <w:lang w:val="lt"/>
              </w:rPr>
              <w:t xml:space="preserve"> dieną nuo laiku nesuteiktų Paslaugų ar kitų sutartinių įsipareigojimų nevykdymo kainos be PVM.</w:t>
            </w:r>
          </w:p>
          <w:p w14:paraId="66025186" w14:textId="0897714C" w:rsidR="00402199" w:rsidRPr="000453FC" w:rsidRDefault="00402199" w:rsidP="0046626A">
            <w:pPr>
              <w:jc w:val="both"/>
              <w:rPr>
                <w:color w:val="000000" w:themeColor="text1"/>
                <w:szCs w:val="24"/>
              </w:rPr>
            </w:pPr>
            <w:r w:rsidRPr="000453FC">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dydžio</w:t>
            </w:r>
            <w:r w:rsidR="000453FC" w:rsidRPr="000453FC">
              <w:rPr>
                <w:color w:val="000000" w:themeColor="text1"/>
                <w:szCs w:val="24"/>
                <w:lang w:val="lt"/>
              </w:rPr>
              <w:t xml:space="preserve"> </w:t>
            </w:r>
            <w:r w:rsidRPr="000453FC">
              <w:rPr>
                <w:color w:val="000000" w:themeColor="text1"/>
                <w:szCs w:val="24"/>
                <w:lang w:val="lt"/>
              </w:rPr>
              <w:t>delspinigius už kiekvieną uždelstą</w:t>
            </w:r>
            <w:r w:rsidR="000453FC" w:rsidRPr="000453FC">
              <w:rPr>
                <w:color w:val="000000" w:themeColor="text1"/>
                <w:szCs w:val="24"/>
                <w:lang w:val="lt"/>
              </w:rPr>
              <w:t xml:space="preserve"> kalendorinę</w:t>
            </w:r>
            <w:r w:rsidRPr="000453FC">
              <w:rPr>
                <w:color w:val="000000" w:themeColor="text1"/>
                <w:szCs w:val="24"/>
                <w:lang w:val="lt"/>
              </w:rPr>
              <w:t xml:space="preserve"> nuo laiku negrąžintos permokos kainos be PVM.</w:t>
            </w:r>
          </w:p>
          <w:p w14:paraId="0E6DFBC8" w14:textId="4D56910A" w:rsidR="00402199" w:rsidRDefault="00402199" w:rsidP="0046626A">
            <w:pPr>
              <w:jc w:val="both"/>
              <w:rPr>
                <w:b/>
                <w:kern w:val="2"/>
                <w:szCs w:val="24"/>
              </w:rPr>
            </w:pPr>
            <w:r w:rsidRPr="000453FC">
              <w:rPr>
                <w:color w:val="000000" w:themeColor="text1"/>
                <w:kern w:val="2"/>
              </w:rPr>
              <w:t xml:space="preserve">9.2.3. Tiekėjas privalo sumokėti Pirkėjui netesybas per </w:t>
            </w:r>
            <w:r w:rsidR="000453FC" w:rsidRPr="000453FC">
              <w:rPr>
                <w:color w:val="000000" w:themeColor="text1"/>
                <w:kern w:val="2"/>
              </w:rPr>
              <w:t>30 kalendorinių</w:t>
            </w:r>
            <w:r w:rsidRPr="000453FC">
              <w:rPr>
                <w:bCs/>
                <w:color w:val="000000" w:themeColor="text1"/>
                <w:kern w:val="2"/>
                <w:szCs w:val="24"/>
              </w:rPr>
              <w:t xml:space="preserve"> </w:t>
            </w:r>
            <w:r w:rsidRPr="000453FC">
              <w:rPr>
                <w:color w:val="000000" w:themeColor="text1"/>
                <w:kern w:val="2"/>
              </w:rPr>
              <w:t xml:space="preserve">dienų nuo Pirkėjo pareikalavimo, jeigu netesybų suma nėra </w:t>
            </w:r>
            <w:r w:rsidRPr="000453FC">
              <w:rPr>
                <w:color w:val="000000" w:themeColor="text1"/>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5B588D68" w:rsidR="00402199" w:rsidRPr="0046626A" w:rsidRDefault="00402199" w:rsidP="00BF3B7B">
            <w:pPr>
              <w:jc w:val="both"/>
              <w:rPr>
                <w:bCs/>
                <w:szCs w:val="24"/>
              </w:rPr>
            </w:pPr>
            <w:r w:rsidRPr="0046626A">
              <w:rPr>
                <w:bCs/>
                <w:kern w:val="2"/>
                <w:szCs w:val="24"/>
              </w:rPr>
              <w:t xml:space="preserve">9.3.1. Nutraukus Sutartį dėl esminio Sutarties pažeidimo, nustatyto Sutarties Specialiosiose sąlygose, mokama </w:t>
            </w:r>
            <w:r w:rsidR="00BF3B7B" w:rsidRPr="0046626A">
              <w:rPr>
                <w:bCs/>
                <w:kern w:val="2"/>
                <w:szCs w:val="24"/>
              </w:rPr>
              <w:t>500 Eur</w:t>
            </w:r>
            <w:r w:rsidRPr="0046626A">
              <w:rPr>
                <w:bCs/>
                <w:kern w:val="2"/>
                <w:szCs w:val="24"/>
              </w:rPr>
              <w:t xml:space="preserve"> dydžio bauda</w:t>
            </w:r>
            <w:r w:rsidR="00BF3B7B" w:rsidRPr="0046626A">
              <w:rPr>
                <w:bCs/>
                <w:kern w:val="2"/>
                <w:szCs w:val="24"/>
              </w:rPr>
              <w:t>.</w:t>
            </w:r>
            <w:r w:rsidRPr="0046626A">
              <w:rPr>
                <w:bCs/>
                <w:kern w:val="2"/>
                <w:szCs w:val="24"/>
              </w:rPr>
              <w:t xml:space="preserve"> </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EDAFC0" w:rsidR="00402199" w:rsidRDefault="000453FC" w:rsidP="00402199">
            <w:pPr>
              <w:rPr>
                <w:kern w:val="2"/>
                <w:szCs w:val="24"/>
              </w:rPr>
            </w:pPr>
            <w:r>
              <w:rPr>
                <w:bCs/>
                <w:color w:val="000000"/>
                <w:kern w:val="2"/>
                <w:szCs w:val="24"/>
              </w:rPr>
              <w:t>500 Eur.</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F133093" w:rsidR="00402199" w:rsidRPr="000453FC" w:rsidRDefault="000453FC" w:rsidP="00402199">
            <w:pPr>
              <w:rPr>
                <w:bCs/>
                <w:color w:val="000000"/>
                <w:kern w:val="2"/>
                <w:szCs w:val="24"/>
              </w:rPr>
            </w:pPr>
            <w:r>
              <w:rPr>
                <w:bCs/>
                <w:color w:val="000000"/>
                <w:kern w:val="2"/>
                <w:szCs w:val="24"/>
              </w:rPr>
              <w:t>500 Eur.</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E3B60AE"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BEB329C" w:rsidR="000453FC" w:rsidRDefault="00402199" w:rsidP="000453FC">
            <w:pPr>
              <w:rPr>
                <w:color w:val="4472C4"/>
                <w:kern w:val="2"/>
                <w:szCs w:val="24"/>
              </w:rPr>
            </w:pPr>
            <w:r>
              <w:rPr>
                <w:bCs/>
                <w:szCs w:val="24"/>
              </w:rPr>
              <w:t>Netaikoma</w:t>
            </w:r>
          </w:p>
          <w:p w14:paraId="31D0481F" w14:textId="66F8AEA1" w:rsidR="00402199" w:rsidRDefault="00402199" w:rsidP="00402199">
            <w:pPr>
              <w:rPr>
                <w:color w:val="4472C4"/>
                <w:kern w:val="2"/>
                <w:szCs w:val="24"/>
              </w:rPr>
            </w:pPr>
          </w:p>
        </w:tc>
      </w:tr>
      <w:tr w:rsidR="00402199" w14:paraId="2E410A63" w14:textId="77777777" w:rsidTr="0046626A">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2901415F"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1717846B" w14:textId="77777777" w:rsidR="00402199" w:rsidRDefault="00402199" w:rsidP="00402199">
            <w:pPr>
              <w:rPr>
                <w:bCs/>
                <w:kern w:val="2"/>
                <w:szCs w:val="24"/>
              </w:rPr>
            </w:pPr>
          </w:p>
          <w:p w14:paraId="39D0982B" w14:textId="77777777" w:rsidR="00402199" w:rsidRDefault="00402199" w:rsidP="000453FC">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09A3793" w:rsidR="00402199" w:rsidRDefault="000453FC" w:rsidP="00402199">
            <w:pPr>
              <w:rPr>
                <w:color w:val="4472C4"/>
                <w:kern w:val="2"/>
                <w:szCs w:val="24"/>
              </w:rPr>
            </w:pPr>
            <w:r w:rsidRPr="000453FC">
              <w:rPr>
                <w:bCs/>
                <w:color w:val="000000" w:themeColor="text1"/>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B887F8" w14:textId="77777777" w:rsidR="000453FC" w:rsidRPr="000453FC" w:rsidRDefault="000453FC" w:rsidP="0046626A">
            <w:pPr>
              <w:jc w:val="both"/>
              <w:rPr>
                <w:kern w:val="2"/>
                <w:szCs w:val="24"/>
              </w:rPr>
            </w:pPr>
            <w:r w:rsidRPr="000453FC">
              <w:rPr>
                <w:kern w:val="2"/>
                <w:szCs w:val="24"/>
              </w:rPr>
              <w:t>Pažeidimas, atitinkantis Civilinio kodekso 6.217 straipsnio 2 dalies kriterijus, nepaisant to, kad tokie nebuvo apibrėžti Sutartyje;</w:t>
            </w:r>
          </w:p>
          <w:p w14:paraId="7844FF32" w14:textId="77777777" w:rsidR="000453FC" w:rsidRPr="000453FC" w:rsidRDefault="000453FC" w:rsidP="0046626A">
            <w:pPr>
              <w:jc w:val="both"/>
              <w:rPr>
                <w:kern w:val="2"/>
                <w:szCs w:val="24"/>
              </w:rPr>
            </w:pPr>
            <w:r w:rsidRPr="000453FC">
              <w:rPr>
                <w:kern w:val="2"/>
                <w:szCs w:val="24"/>
              </w:rPr>
              <w:t>Paslaugų teikėjo sutartinių įsipareigojimų vykdymo terminų nesilaikymas;</w:t>
            </w:r>
          </w:p>
          <w:p w14:paraId="09FF13A8" w14:textId="77777777" w:rsidR="000453FC" w:rsidRPr="000453FC" w:rsidRDefault="000453FC" w:rsidP="0046626A">
            <w:pPr>
              <w:jc w:val="both"/>
              <w:rPr>
                <w:kern w:val="2"/>
                <w:szCs w:val="24"/>
              </w:rPr>
            </w:pPr>
            <w:r w:rsidRPr="000453FC">
              <w:rPr>
                <w:kern w:val="2"/>
                <w:szCs w:val="24"/>
              </w:rPr>
              <w:t>Sutarties kainodaros taisyklių nesilaikymas;</w:t>
            </w:r>
          </w:p>
          <w:p w14:paraId="19A1DC7D" w14:textId="77777777" w:rsidR="000453FC" w:rsidRPr="000453FC" w:rsidRDefault="000453FC" w:rsidP="0046626A">
            <w:pPr>
              <w:jc w:val="both"/>
              <w:rPr>
                <w:kern w:val="2"/>
                <w:szCs w:val="24"/>
              </w:rPr>
            </w:pPr>
            <w:r w:rsidRPr="000453FC">
              <w:rPr>
                <w:kern w:val="2"/>
                <w:szCs w:val="24"/>
              </w:rPr>
              <w:t>Subtiekėjų keitimo tvarkos nesilaikymas;</w:t>
            </w:r>
          </w:p>
          <w:p w14:paraId="1AD3CD3A" w14:textId="719473AF" w:rsidR="00402199" w:rsidRDefault="000453FC" w:rsidP="0046626A">
            <w:pPr>
              <w:jc w:val="both"/>
              <w:rPr>
                <w:color w:val="4472C4"/>
                <w:kern w:val="2"/>
                <w:szCs w:val="24"/>
              </w:rPr>
            </w:pPr>
            <w:r w:rsidRPr="000453FC">
              <w:rPr>
                <w:kern w:val="2"/>
                <w:szCs w:val="24"/>
              </w:rPr>
              <w:t>Projekto vadovo keitimas nesilaikant Sutarties bendrųjų sąlygų 3.2 skyriuje nustatytų reikalavimo.</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2BC2BBBD" w14:textId="665148C7" w:rsidR="000807EF" w:rsidRPr="000807EF" w:rsidRDefault="00402199" w:rsidP="0046626A">
            <w:pPr>
              <w:jc w:val="both"/>
              <w:rPr>
                <w:color w:val="4471C4"/>
              </w:rPr>
            </w:pPr>
            <w:r w:rsidRPr="000807EF">
              <w:rPr>
                <w:color w:val="000000" w:themeColor="text1"/>
                <w:lang w:val="lt"/>
              </w:rPr>
              <w:t xml:space="preserve">Paslaugų teikimo </w:t>
            </w:r>
            <w:r w:rsidR="000453FC" w:rsidRPr="000807EF">
              <w:rPr>
                <w:color w:val="000000" w:themeColor="text1"/>
                <w:lang w:val="lt"/>
              </w:rPr>
              <w:t>grafike nurody</w:t>
            </w:r>
            <w:r w:rsidR="0060697C">
              <w:rPr>
                <w:color w:val="000000" w:themeColor="text1"/>
                <w:lang w:val="lt"/>
              </w:rPr>
              <w:t>t</w:t>
            </w:r>
            <w:r w:rsidR="000453FC" w:rsidRPr="000807EF">
              <w:rPr>
                <w:color w:val="000000" w:themeColor="text1"/>
                <w:lang w:val="lt"/>
              </w:rPr>
              <w:t xml:space="preserve">ų </w:t>
            </w:r>
            <w:r w:rsidRPr="000807EF">
              <w:rPr>
                <w:color w:val="000000" w:themeColor="text1"/>
                <w:lang w:val="lt"/>
              </w:rPr>
              <w:t>termin</w:t>
            </w:r>
            <w:r w:rsidR="000453FC" w:rsidRPr="000807EF">
              <w:rPr>
                <w:color w:val="000000" w:themeColor="text1"/>
                <w:lang w:val="lt"/>
              </w:rPr>
              <w:t>ų</w:t>
            </w:r>
            <w:r w:rsidRPr="000807EF">
              <w:rPr>
                <w:color w:val="000000" w:themeColor="text1"/>
              </w:rPr>
              <w:t xml:space="preserve"> uždelsimas</w:t>
            </w:r>
            <w:r w:rsidR="000807EF" w:rsidRPr="000807EF">
              <w:rPr>
                <w:color w:val="000000" w:themeColor="text1"/>
              </w:rPr>
              <w:t xml:space="preserve">  trunkantis daugiau negu 15 kalendorinių dienų.</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4197BC56" w14:textId="77777777" w:rsidR="000807EF" w:rsidRPr="000807EF" w:rsidRDefault="000807EF" w:rsidP="0060697C">
            <w:pPr>
              <w:jc w:val="both"/>
              <w:rPr>
                <w:color w:val="000000" w:themeColor="text1"/>
                <w:kern w:val="2"/>
                <w:szCs w:val="24"/>
              </w:rPr>
            </w:pPr>
            <w:r w:rsidRPr="000807EF">
              <w:rPr>
                <w:color w:val="000000" w:themeColor="text1"/>
                <w:kern w:val="2"/>
                <w:szCs w:val="24"/>
              </w:rPr>
              <w:t>Ši Sutartis laikoma sudaryta ir įsigalioja nuo Sutarties pasirašymo dienos (antrosios Šalies pasirašymo dieną).</w:t>
            </w:r>
          </w:p>
          <w:p w14:paraId="7396F7FD" w14:textId="13A847EB" w:rsidR="00027B83" w:rsidRDefault="000807EF" w:rsidP="000807EF">
            <w:pPr>
              <w:rPr>
                <w:color w:val="4472C4"/>
                <w:kern w:val="2"/>
                <w:szCs w:val="24"/>
              </w:rPr>
            </w:pPr>
            <w:r w:rsidRPr="000807EF">
              <w:rPr>
                <w:color w:val="000000" w:themeColor="text1"/>
                <w:kern w:val="2"/>
                <w:szCs w:val="24"/>
              </w:rPr>
              <w:t>Sutartis galioja iki visiško prievolių įvykdymo.</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3E2C6860"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D44F890" w:rsidR="00027B83" w:rsidRPr="000807EF"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0807EF" w:rsidRDefault="00402199" w:rsidP="00402199">
            <w:pPr>
              <w:rPr>
                <w:color w:val="000000" w:themeColor="text1"/>
                <w:kern w:val="2"/>
                <w:szCs w:val="24"/>
              </w:rPr>
            </w:pPr>
            <w:r w:rsidRPr="000807EF">
              <w:rPr>
                <w:color w:val="000000" w:themeColor="text1"/>
                <w:kern w:val="2"/>
                <w:szCs w:val="24"/>
              </w:rPr>
              <w:t>12.2.1. jeigu Tiekėjas nevykdo prisiimtų įsipareigojimų už Sutartyje nustatytą Sutarties kainą / įkainius;</w:t>
            </w:r>
          </w:p>
          <w:p w14:paraId="69D2DF92" w14:textId="7C40EC81" w:rsidR="00402199" w:rsidRPr="000807EF" w:rsidRDefault="00402199" w:rsidP="00402199">
            <w:pPr>
              <w:rPr>
                <w:color w:val="000000" w:themeColor="text1"/>
                <w:szCs w:val="24"/>
              </w:rPr>
            </w:pPr>
            <w:r w:rsidRPr="000807EF">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D7E224" w14:textId="7E2B3A3C" w:rsidR="00402199" w:rsidRPr="000807EF" w:rsidRDefault="00402199" w:rsidP="00402199">
            <w:pPr>
              <w:spacing w:line="257" w:lineRule="auto"/>
              <w:jc w:val="both"/>
              <w:rPr>
                <w:rFonts w:eastAsia="Arial"/>
                <w:color w:val="000000" w:themeColor="text1"/>
                <w:kern w:val="2"/>
                <w:szCs w:val="24"/>
                <w:lang w:val="lt"/>
              </w:rPr>
            </w:pPr>
            <w:r w:rsidRPr="000807EF">
              <w:rPr>
                <w:rFonts w:eastAsia="Arial"/>
                <w:color w:val="000000" w:themeColor="text1"/>
                <w:kern w:val="2"/>
                <w:szCs w:val="24"/>
                <w:lang w:val="lt"/>
              </w:rPr>
              <w:t>12.2.</w:t>
            </w:r>
            <w:r w:rsidR="000807EF">
              <w:rPr>
                <w:rFonts w:eastAsia="Arial"/>
                <w:color w:val="000000" w:themeColor="text1"/>
                <w:kern w:val="2"/>
                <w:szCs w:val="24"/>
                <w:lang w:val="lt"/>
              </w:rPr>
              <w:t>3</w:t>
            </w:r>
            <w:r w:rsidRPr="000807EF">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0807EF" w:rsidRPr="000807EF">
              <w:rPr>
                <w:rFonts w:eastAsia="Arial"/>
                <w:color w:val="000000" w:themeColor="text1"/>
                <w:kern w:val="2"/>
                <w:szCs w:val="24"/>
                <w:lang w:val="lt"/>
              </w:rPr>
              <w:t>15 kalendorinių dienų</w:t>
            </w:r>
            <w:r w:rsidRPr="000807EF">
              <w:rPr>
                <w:rFonts w:eastAsia="Arial"/>
                <w:color w:val="000000" w:themeColor="text1"/>
                <w:kern w:val="2"/>
                <w:szCs w:val="24"/>
                <w:lang w:val="lt"/>
              </w:rPr>
              <w:t xml:space="preserve"> nuo Sutartyje nustatyto Paslaugų suteikimo termino;</w:t>
            </w:r>
          </w:p>
          <w:p w14:paraId="4A0B73D1" w14:textId="7586617C" w:rsidR="00402199" w:rsidRPr="000807EF"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0807EF">
              <w:rPr>
                <w:rFonts w:eastAsia="Arial"/>
                <w:color w:val="000000" w:themeColor="text1"/>
                <w:kern w:val="2"/>
                <w:szCs w:val="24"/>
                <w:lang w:val="lt"/>
              </w:rPr>
              <w:t>12.2.</w:t>
            </w:r>
            <w:r w:rsidR="000807EF">
              <w:rPr>
                <w:rFonts w:eastAsia="Arial"/>
                <w:color w:val="000000" w:themeColor="text1"/>
                <w:kern w:val="2"/>
                <w:szCs w:val="24"/>
                <w:lang w:val="lt"/>
              </w:rPr>
              <w:t>4</w:t>
            </w:r>
            <w:r w:rsidRPr="000807EF">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466F29E" w14:textId="008A95E7" w:rsidR="00402199" w:rsidRPr="000807EF"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0807EF">
              <w:rPr>
                <w:rFonts w:eastAsia="Arial"/>
                <w:color w:val="000000" w:themeColor="text1"/>
                <w:kern w:val="2"/>
                <w:szCs w:val="24"/>
                <w:lang w:val="lt"/>
              </w:rPr>
              <w:t>12.2.</w:t>
            </w:r>
            <w:r w:rsidR="000807EF">
              <w:rPr>
                <w:rFonts w:eastAsia="Arial"/>
                <w:color w:val="000000" w:themeColor="text1"/>
                <w:kern w:val="2"/>
                <w:szCs w:val="24"/>
                <w:lang w:val="lt"/>
              </w:rPr>
              <w:t>5</w:t>
            </w:r>
            <w:r w:rsidRPr="000807EF">
              <w:rPr>
                <w:rFonts w:eastAsia="Arial"/>
                <w:color w:val="000000" w:themeColor="text1"/>
                <w:kern w:val="2"/>
                <w:szCs w:val="24"/>
                <w:lang w:val="lt"/>
              </w:rPr>
              <w:t>. Tiekėjas pažeidžia Paslaugų suteikimo terminus ir dėl Paslaugų suteikimo vėlavimo Paslaugos tampa nebereikalingos;</w:t>
            </w:r>
          </w:p>
          <w:p w14:paraId="6C765B22" w14:textId="66062230" w:rsidR="00402199" w:rsidRPr="000807EF"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0807EF">
              <w:rPr>
                <w:rFonts w:eastAsia="Arial"/>
                <w:color w:val="000000" w:themeColor="text1"/>
                <w:kern w:val="2"/>
                <w:szCs w:val="24"/>
                <w:lang w:val="lt"/>
              </w:rPr>
              <w:t>12.2.</w:t>
            </w:r>
            <w:r w:rsidR="000807EF">
              <w:rPr>
                <w:rFonts w:eastAsia="Arial"/>
                <w:color w:val="000000" w:themeColor="text1"/>
                <w:kern w:val="2"/>
                <w:szCs w:val="24"/>
                <w:lang w:val="lt"/>
              </w:rPr>
              <w:t>6</w:t>
            </w:r>
            <w:r w:rsidRPr="000807EF">
              <w:rPr>
                <w:rFonts w:eastAsia="Arial"/>
                <w:color w:val="000000" w:themeColor="text1"/>
                <w:kern w:val="2"/>
                <w:szCs w:val="24"/>
                <w:lang w:val="lt"/>
              </w:rPr>
              <w:t>. Tiekėjas daugiau kaip 2 (du) kartus suteikia Paslaugas, kurios neatitinka Sutartyje ir (ar) įstatymuose nustatytų reikalavimų Paslaugoms;</w:t>
            </w:r>
          </w:p>
          <w:p w14:paraId="139308FC" w14:textId="6B2B639E" w:rsidR="00402199" w:rsidRPr="000807EF"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0807EF">
              <w:rPr>
                <w:rFonts w:eastAsia="Arial"/>
                <w:color w:val="000000" w:themeColor="text1"/>
                <w:kern w:val="2"/>
                <w:szCs w:val="24"/>
                <w:lang w:val="lt"/>
              </w:rPr>
              <w:t>12.2.</w:t>
            </w:r>
            <w:r w:rsidR="000807EF">
              <w:rPr>
                <w:rFonts w:eastAsia="Arial"/>
                <w:color w:val="000000" w:themeColor="text1"/>
                <w:kern w:val="2"/>
                <w:szCs w:val="24"/>
                <w:lang w:val="lt"/>
              </w:rPr>
              <w:t>7</w:t>
            </w:r>
            <w:r w:rsidRPr="000807EF">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1249285" w:rsidR="00402199" w:rsidRPr="000807EF"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0807EF">
              <w:rPr>
                <w:rFonts w:eastAsia="Arial"/>
                <w:color w:val="000000" w:themeColor="text1"/>
                <w:kern w:val="2"/>
                <w:szCs w:val="24"/>
                <w:lang w:val="lt"/>
              </w:rPr>
              <w:t>12.2.</w:t>
            </w:r>
            <w:r w:rsidR="000807EF">
              <w:rPr>
                <w:rFonts w:eastAsia="Arial"/>
                <w:color w:val="000000" w:themeColor="text1"/>
                <w:kern w:val="2"/>
                <w:szCs w:val="24"/>
                <w:lang w:val="lt"/>
              </w:rPr>
              <w:t>8</w:t>
            </w:r>
            <w:r w:rsidRPr="000807EF">
              <w:rPr>
                <w:rFonts w:eastAsia="Arial"/>
                <w:color w:val="000000" w:themeColor="text1"/>
                <w:kern w:val="2"/>
                <w:szCs w:val="24"/>
                <w:lang w:val="lt"/>
              </w:rPr>
              <w:t>. Tiekėjas pažeidžia šios Sutarties nuostatas, reglamentuojančias konkurenciją, intelektinės nuosavybės ar konfidencialios informacijos valdymą;</w:t>
            </w:r>
          </w:p>
          <w:p w14:paraId="614E8DD8" w14:textId="5231B98A" w:rsidR="00402199" w:rsidRPr="000807EF" w:rsidRDefault="00402199" w:rsidP="00402199">
            <w:pPr>
              <w:spacing w:line="257" w:lineRule="auto"/>
              <w:rPr>
                <w:color w:val="000000" w:themeColor="text1"/>
                <w:kern w:val="2"/>
                <w:szCs w:val="24"/>
                <w:shd w:val="clear" w:color="auto" w:fill="FFFFFF"/>
              </w:rPr>
            </w:pPr>
            <w:r w:rsidRPr="000807EF">
              <w:rPr>
                <w:rFonts w:eastAsia="Arial"/>
                <w:color w:val="000000" w:themeColor="text1"/>
                <w:kern w:val="2"/>
                <w:szCs w:val="24"/>
                <w:lang w:val="lt"/>
              </w:rPr>
              <w:t>12.2.</w:t>
            </w:r>
            <w:r w:rsidR="000807EF">
              <w:rPr>
                <w:rFonts w:eastAsia="Arial"/>
                <w:color w:val="000000" w:themeColor="text1"/>
                <w:kern w:val="2"/>
                <w:szCs w:val="24"/>
                <w:lang w:val="lt"/>
              </w:rPr>
              <w:t>9</w:t>
            </w:r>
            <w:r w:rsidRPr="000807EF">
              <w:rPr>
                <w:rFonts w:eastAsia="Arial"/>
                <w:color w:val="000000" w:themeColor="text1"/>
                <w:kern w:val="2"/>
                <w:szCs w:val="24"/>
                <w:lang w:val="lt"/>
              </w:rPr>
              <w:t>.</w:t>
            </w:r>
            <w:r w:rsidRPr="000807EF">
              <w:rPr>
                <w:color w:val="000000" w:themeColor="text1"/>
                <w:kern w:val="2"/>
                <w:szCs w:val="24"/>
                <w:shd w:val="clear" w:color="auto" w:fill="FFFFFF"/>
              </w:rPr>
              <w:t xml:space="preserve"> Tiekėjas ir (ar) jungtinės veiklos parneris (jei taikoma), ir (ar) subtiekėjas (jei taikoma) </w:t>
            </w:r>
            <w:r w:rsidRPr="000807EF">
              <w:rPr>
                <w:color w:val="000000" w:themeColor="text1"/>
                <w:szCs w:val="24"/>
                <w:shd w:val="clear" w:color="auto" w:fill="FFFFFF"/>
              </w:rPr>
              <w:t>p</w:t>
            </w:r>
            <w:r w:rsidRPr="000807EF">
              <w:rPr>
                <w:color w:val="000000" w:themeColor="text1"/>
                <w:kern w:val="2"/>
                <w:szCs w:val="24"/>
                <w:shd w:val="clear" w:color="auto" w:fill="FFFFFF"/>
              </w:rPr>
              <w:t>aslaugų</w:t>
            </w:r>
            <w:r w:rsidRPr="000807EF">
              <w:rPr>
                <w:color w:val="000000" w:themeColor="text1"/>
                <w:szCs w:val="24"/>
              </w:rPr>
              <w:t>, kurioms Sutartyje nustatyti aplinkos apsaugos vadybos sistemos reikalavimai,</w:t>
            </w:r>
            <w:r w:rsidRPr="000807EF">
              <w:rPr>
                <w:color w:val="000000" w:themeColor="text1"/>
                <w:kern w:val="2"/>
                <w:szCs w:val="24"/>
                <w:shd w:val="clear" w:color="auto" w:fill="FFFFFF"/>
              </w:rPr>
              <w:t xml:space="preserve"> teikimo metu</w:t>
            </w:r>
            <w:r w:rsidRPr="000807EF">
              <w:rPr>
                <w:color w:val="000000" w:themeColor="text1"/>
                <w:szCs w:val="24"/>
              </w:rPr>
              <w:t xml:space="preserve">, </w:t>
            </w:r>
            <w:r w:rsidRPr="000807EF">
              <w:rPr>
                <w:color w:val="000000" w:themeColor="text1"/>
                <w:kern w:val="2"/>
                <w:szCs w:val="24"/>
                <w:shd w:val="clear" w:color="auto" w:fill="FFFFFF"/>
              </w:rPr>
              <w:t>neturi galiojančio aplinkos apsaugos vadybos sistemos sertifikato, ir (ar) nepateikia sertifikato pratęsimo (neįsigyja naujo);</w:t>
            </w:r>
          </w:p>
          <w:p w14:paraId="0B019B64" w14:textId="3956881C" w:rsidR="00402199" w:rsidRDefault="00402199" w:rsidP="00402199">
            <w:pPr>
              <w:spacing w:line="257" w:lineRule="auto"/>
              <w:rPr>
                <w:rFonts w:eastAsia="Arial"/>
                <w:color w:val="FF0000"/>
                <w:kern w:val="2"/>
                <w:szCs w:val="24"/>
              </w:rPr>
            </w:pPr>
            <w:r w:rsidRPr="000807EF">
              <w:rPr>
                <w:rFonts w:eastAsia="Arial"/>
                <w:color w:val="000000" w:themeColor="text1"/>
                <w:kern w:val="2"/>
                <w:szCs w:val="24"/>
                <w:lang w:val="lt"/>
              </w:rPr>
              <w:lastRenderedPageBreak/>
              <w:t>12.2.1</w:t>
            </w:r>
            <w:r w:rsidR="000807EF">
              <w:rPr>
                <w:rFonts w:eastAsia="Arial"/>
                <w:color w:val="000000" w:themeColor="text1"/>
                <w:kern w:val="2"/>
                <w:szCs w:val="24"/>
                <w:lang w:val="lt"/>
              </w:rPr>
              <w:t>0</w:t>
            </w:r>
            <w:r w:rsidRPr="000807EF">
              <w:rPr>
                <w:rFonts w:eastAsia="Arial"/>
                <w:color w:val="000000" w:themeColor="text1"/>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Pr="000807EF" w:rsidRDefault="000B0897">
            <w:pPr>
              <w:jc w:val="center"/>
              <w:rPr>
                <w:color w:val="000000" w:themeColor="text1"/>
                <w:kern w:val="2"/>
                <w:szCs w:val="24"/>
              </w:rPr>
            </w:pPr>
            <w:r w:rsidRPr="000807EF">
              <w:rPr>
                <w:b/>
                <w:color w:val="000000" w:themeColor="text1"/>
                <w:kern w:val="2"/>
                <w:szCs w:val="24"/>
              </w:rPr>
              <w:lastRenderedPageBreak/>
              <w:t xml:space="preserve">13. APLINKOS APSAUGOS IR SOCIALINIAI KRITERIJAI </w:t>
            </w:r>
            <w:r w:rsidRPr="000807EF">
              <w:rPr>
                <w:color w:val="000000" w:themeColor="text1"/>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Pr="000807EF" w:rsidRDefault="000B0897">
            <w:pPr>
              <w:rPr>
                <w:b/>
                <w:color w:val="000000" w:themeColor="text1"/>
                <w:kern w:val="2"/>
                <w:szCs w:val="24"/>
              </w:rPr>
            </w:pPr>
            <w:r w:rsidRPr="000807EF">
              <w:rPr>
                <w:b/>
                <w:color w:val="000000" w:themeColor="text1"/>
                <w:kern w:val="2"/>
                <w:szCs w:val="24"/>
              </w:rPr>
              <w:t xml:space="preserve">13.1. Su perkamomis paslaugomis susiję  aplinkos apsaugos kriterijai </w:t>
            </w:r>
          </w:p>
        </w:tc>
        <w:tc>
          <w:tcPr>
            <w:tcW w:w="6477" w:type="dxa"/>
            <w:gridSpan w:val="3"/>
          </w:tcPr>
          <w:p w14:paraId="3A52FEC4" w14:textId="77777777" w:rsidR="000807EF" w:rsidRPr="000807EF" w:rsidRDefault="000807EF" w:rsidP="000807EF">
            <w:pPr>
              <w:rPr>
                <w:color w:val="000000" w:themeColor="text1"/>
                <w:kern w:val="2"/>
                <w:szCs w:val="24"/>
                <w:shd w:val="clear" w:color="auto" w:fill="FFFFFF"/>
              </w:rPr>
            </w:pPr>
            <w:r w:rsidRPr="000807EF">
              <w:rPr>
                <w:color w:val="000000" w:themeColor="text1"/>
                <w:kern w:val="2"/>
                <w:szCs w:val="24"/>
                <w:shd w:val="clear" w:color="auto" w:fill="FFFFFF"/>
              </w:rPr>
              <w:t>Projekto sprendiniuose numatomos statybinės medžiagos turi atitikti Aplinkos apsaugos kriterijų taikymo, vykdant žaliuosius pirkimus, tvarkos aprašo, patvirtinto Lietuvos Respublikos aplinkos ministro 2011 m. birželio 28 d. įsakymu Nr. D1-508, XIII skyriuje nustatytus minimalius aplinkos apsaugos kriterijus.</w:t>
            </w:r>
          </w:p>
          <w:p w14:paraId="3F14B69B" w14:textId="1D048304" w:rsidR="00027B83" w:rsidRPr="000807EF" w:rsidRDefault="000807EF" w:rsidP="000807EF">
            <w:pPr>
              <w:rPr>
                <w:color w:val="000000" w:themeColor="text1"/>
                <w:kern w:val="2"/>
                <w:szCs w:val="24"/>
              </w:rPr>
            </w:pPr>
            <w:r w:rsidRPr="000807EF">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Pr="000807EF" w:rsidRDefault="000B0897">
            <w:pPr>
              <w:rPr>
                <w:b/>
                <w:color w:val="000000" w:themeColor="text1"/>
                <w:kern w:val="2"/>
                <w:szCs w:val="24"/>
              </w:rPr>
            </w:pPr>
            <w:r w:rsidRPr="000807EF">
              <w:rPr>
                <w:b/>
                <w:color w:val="000000" w:themeColor="text1"/>
                <w:kern w:val="2"/>
                <w:szCs w:val="24"/>
              </w:rPr>
              <w:t>13.2. Su perkamomis Paslaugomis susiję socialiniai kriterijai</w:t>
            </w:r>
          </w:p>
        </w:tc>
        <w:tc>
          <w:tcPr>
            <w:tcW w:w="6477" w:type="dxa"/>
            <w:gridSpan w:val="3"/>
          </w:tcPr>
          <w:p w14:paraId="7170065E" w14:textId="44F057B7" w:rsidR="00027B83" w:rsidRPr="000807EF" w:rsidRDefault="000B0897">
            <w:pPr>
              <w:rPr>
                <w:color w:val="000000" w:themeColor="text1"/>
                <w:kern w:val="2"/>
                <w:szCs w:val="24"/>
                <w:shd w:val="clear" w:color="auto" w:fill="FFFFFF"/>
              </w:rPr>
            </w:pPr>
            <w:r w:rsidRPr="000807EF">
              <w:rPr>
                <w:color w:val="000000" w:themeColor="text1"/>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Pr="000807EF" w:rsidRDefault="000B0897">
            <w:pPr>
              <w:jc w:val="center"/>
              <w:rPr>
                <w:b/>
                <w:color w:val="000000" w:themeColor="text1"/>
                <w:kern w:val="2"/>
                <w:szCs w:val="24"/>
              </w:rPr>
            </w:pPr>
            <w:r w:rsidRPr="000807EF">
              <w:rPr>
                <w:b/>
                <w:color w:val="000000" w:themeColor="text1"/>
                <w:kern w:val="2"/>
                <w:szCs w:val="24"/>
              </w:rPr>
              <w:t xml:space="preserve">14. BENDRŲJŲ SĄLYGŲ PAKEITIMAI IR PAPILDYMAI </w:t>
            </w:r>
          </w:p>
          <w:p w14:paraId="1BD9D104" w14:textId="77777777" w:rsidR="00027B83" w:rsidRPr="000807EF" w:rsidRDefault="000B0897">
            <w:pPr>
              <w:jc w:val="center"/>
              <w:rPr>
                <w:color w:val="000000" w:themeColor="text1"/>
                <w:kern w:val="2"/>
                <w:szCs w:val="24"/>
              </w:rPr>
            </w:pPr>
            <w:r w:rsidRPr="000807EF">
              <w:rPr>
                <w:color w:val="000000" w:themeColor="text1"/>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Pr="000807EF" w:rsidRDefault="000B0897">
            <w:pPr>
              <w:rPr>
                <w:b/>
                <w:color w:val="000000" w:themeColor="text1"/>
                <w:kern w:val="2"/>
                <w:szCs w:val="24"/>
              </w:rPr>
            </w:pPr>
            <w:r w:rsidRPr="000807EF">
              <w:rPr>
                <w:b/>
                <w:color w:val="000000" w:themeColor="text1"/>
                <w:kern w:val="2"/>
                <w:szCs w:val="24"/>
              </w:rPr>
              <w:t xml:space="preserve">14.1. </w:t>
            </w:r>
          </w:p>
        </w:tc>
        <w:tc>
          <w:tcPr>
            <w:tcW w:w="6477" w:type="dxa"/>
            <w:gridSpan w:val="3"/>
          </w:tcPr>
          <w:p w14:paraId="6C32BFE9" w14:textId="77777777" w:rsidR="00027B83" w:rsidRPr="000807EF" w:rsidRDefault="000B0897">
            <w:pPr>
              <w:rPr>
                <w:color w:val="000000" w:themeColor="text1"/>
                <w:kern w:val="2"/>
                <w:szCs w:val="24"/>
              </w:rPr>
            </w:pPr>
            <w:r w:rsidRPr="000807EF">
              <w:rPr>
                <w:color w:val="000000" w:themeColor="text1"/>
                <w:kern w:val="2"/>
                <w:szCs w:val="24"/>
              </w:rPr>
              <w:t>(pildyti, jei keičiamas Sutarties Bendrųjų sąlygų punktas, jį išdėstant nauja redakcija):</w:t>
            </w:r>
          </w:p>
          <w:p w14:paraId="71F9375E" w14:textId="77777777" w:rsidR="00027B83" w:rsidRPr="000807EF" w:rsidRDefault="000B0897">
            <w:pPr>
              <w:rPr>
                <w:color w:val="000000" w:themeColor="text1"/>
                <w:kern w:val="2"/>
                <w:szCs w:val="24"/>
              </w:rPr>
            </w:pPr>
            <w:r w:rsidRPr="000807EF">
              <w:rPr>
                <w:color w:val="000000" w:themeColor="text1"/>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Pr="000807EF" w:rsidRDefault="000B0897">
            <w:pPr>
              <w:rPr>
                <w:b/>
                <w:color w:val="000000" w:themeColor="text1"/>
                <w:kern w:val="2"/>
                <w:szCs w:val="24"/>
              </w:rPr>
            </w:pPr>
            <w:r w:rsidRPr="000807EF">
              <w:rPr>
                <w:b/>
                <w:color w:val="000000" w:themeColor="text1"/>
                <w:kern w:val="2"/>
                <w:szCs w:val="24"/>
              </w:rPr>
              <w:t>14.2.</w:t>
            </w:r>
          </w:p>
        </w:tc>
        <w:tc>
          <w:tcPr>
            <w:tcW w:w="6477" w:type="dxa"/>
            <w:gridSpan w:val="3"/>
          </w:tcPr>
          <w:p w14:paraId="3B9395C6" w14:textId="77777777" w:rsidR="00027B83" w:rsidRPr="000807EF" w:rsidRDefault="000B0897">
            <w:pPr>
              <w:rPr>
                <w:color w:val="000000" w:themeColor="text1"/>
                <w:kern w:val="2"/>
                <w:szCs w:val="24"/>
              </w:rPr>
            </w:pPr>
            <w:r w:rsidRPr="000807EF">
              <w:rPr>
                <w:color w:val="000000" w:themeColor="text1"/>
                <w:kern w:val="2"/>
                <w:szCs w:val="24"/>
              </w:rPr>
              <w:t>(pildyti, jei papildomos Sutarties Bendrosios sąlygos naujomis nuostatomis):</w:t>
            </w:r>
          </w:p>
          <w:p w14:paraId="27E58ECB" w14:textId="77777777" w:rsidR="00027B83" w:rsidRPr="000807EF" w:rsidRDefault="000B0897">
            <w:pPr>
              <w:rPr>
                <w:color w:val="000000" w:themeColor="text1"/>
                <w:kern w:val="2"/>
                <w:szCs w:val="24"/>
              </w:rPr>
            </w:pPr>
            <w:r w:rsidRPr="000807EF">
              <w:rPr>
                <w:color w:val="000000" w:themeColor="text1"/>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Pr="000807EF" w:rsidRDefault="000B0897">
            <w:pPr>
              <w:rPr>
                <w:b/>
                <w:color w:val="000000" w:themeColor="text1"/>
                <w:kern w:val="2"/>
                <w:szCs w:val="24"/>
              </w:rPr>
            </w:pPr>
            <w:r w:rsidRPr="000807EF">
              <w:rPr>
                <w:b/>
                <w:color w:val="000000" w:themeColor="text1"/>
                <w:kern w:val="2"/>
                <w:szCs w:val="24"/>
              </w:rPr>
              <w:t>14.3.</w:t>
            </w:r>
          </w:p>
        </w:tc>
        <w:tc>
          <w:tcPr>
            <w:tcW w:w="6477" w:type="dxa"/>
            <w:gridSpan w:val="3"/>
          </w:tcPr>
          <w:p w14:paraId="18EE2491" w14:textId="77777777" w:rsidR="00027B83" w:rsidRPr="000807EF" w:rsidRDefault="000B0897">
            <w:pPr>
              <w:rPr>
                <w:color w:val="000000" w:themeColor="text1"/>
                <w:kern w:val="2"/>
                <w:szCs w:val="24"/>
              </w:rPr>
            </w:pPr>
            <w:r w:rsidRPr="000807EF">
              <w:rPr>
                <w:color w:val="000000" w:themeColor="text1"/>
                <w:kern w:val="2"/>
                <w:szCs w:val="24"/>
              </w:rPr>
              <w:t>(pildyti, jei išbraukiamas Sutarties Bendrųjų sąlygų atitinkamas punktas:</w:t>
            </w:r>
          </w:p>
          <w:p w14:paraId="02FD8275" w14:textId="77777777" w:rsidR="00027B83" w:rsidRPr="000807EF" w:rsidRDefault="000B0897">
            <w:pPr>
              <w:rPr>
                <w:color w:val="000000" w:themeColor="text1"/>
                <w:kern w:val="2"/>
                <w:szCs w:val="24"/>
              </w:rPr>
            </w:pPr>
            <w:r w:rsidRPr="000807EF">
              <w:rPr>
                <w:color w:val="000000" w:themeColor="text1"/>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Pr="000807EF" w:rsidRDefault="000B0897">
            <w:pPr>
              <w:rPr>
                <w:b/>
                <w:color w:val="000000" w:themeColor="text1"/>
                <w:kern w:val="2"/>
                <w:szCs w:val="24"/>
              </w:rPr>
            </w:pPr>
            <w:r w:rsidRPr="000807EF">
              <w:rPr>
                <w:b/>
                <w:color w:val="000000" w:themeColor="text1"/>
                <w:kern w:val="2"/>
                <w:szCs w:val="24"/>
              </w:rPr>
              <w:t>14.4.</w:t>
            </w:r>
          </w:p>
        </w:tc>
        <w:tc>
          <w:tcPr>
            <w:tcW w:w="6477" w:type="dxa"/>
            <w:gridSpan w:val="3"/>
          </w:tcPr>
          <w:p w14:paraId="1A25962E" w14:textId="77777777" w:rsidR="00027B83" w:rsidRPr="000807EF" w:rsidRDefault="000B0897">
            <w:pPr>
              <w:rPr>
                <w:color w:val="000000" w:themeColor="text1"/>
                <w:kern w:val="2"/>
                <w:szCs w:val="24"/>
              </w:rPr>
            </w:pPr>
            <w:r w:rsidRPr="000807EF">
              <w:rPr>
                <w:color w:val="000000" w:themeColor="text1"/>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Pr="000807EF" w:rsidRDefault="000B0897">
            <w:pPr>
              <w:rPr>
                <w:b/>
                <w:color w:val="000000" w:themeColor="text1"/>
                <w:kern w:val="2"/>
                <w:szCs w:val="24"/>
              </w:rPr>
            </w:pPr>
            <w:r w:rsidRPr="000807EF">
              <w:rPr>
                <w:b/>
                <w:color w:val="000000" w:themeColor="text1"/>
                <w:kern w:val="2"/>
                <w:szCs w:val="24"/>
              </w:rPr>
              <w:t>14.5.</w:t>
            </w:r>
          </w:p>
        </w:tc>
        <w:tc>
          <w:tcPr>
            <w:tcW w:w="6477" w:type="dxa"/>
            <w:gridSpan w:val="3"/>
          </w:tcPr>
          <w:p w14:paraId="71B506CF" w14:textId="77777777" w:rsidR="00027B83" w:rsidRPr="000807EF" w:rsidRDefault="000B0897">
            <w:pPr>
              <w:rPr>
                <w:color w:val="000000" w:themeColor="text1"/>
                <w:kern w:val="2"/>
                <w:szCs w:val="24"/>
              </w:rPr>
            </w:pPr>
            <w:r w:rsidRPr="000807EF">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0807EF" w:rsidRDefault="000B0897">
            <w:pPr>
              <w:jc w:val="center"/>
              <w:rPr>
                <w:b/>
                <w:color w:val="000000" w:themeColor="text1"/>
                <w:kern w:val="2"/>
                <w:szCs w:val="24"/>
              </w:rPr>
            </w:pPr>
            <w:r w:rsidRPr="000807EF">
              <w:rPr>
                <w:b/>
                <w:color w:val="000000" w:themeColor="text1"/>
                <w:kern w:val="2"/>
                <w:szCs w:val="24"/>
              </w:rPr>
              <w:t>15. SUTARTIES PRIEDAI</w:t>
            </w:r>
          </w:p>
        </w:tc>
      </w:tr>
      <w:tr w:rsidR="00027B83" w14:paraId="43B17553" w14:textId="77777777">
        <w:trPr>
          <w:trHeight w:val="300"/>
        </w:trPr>
        <w:tc>
          <w:tcPr>
            <w:tcW w:w="3058" w:type="dxa"/>
          </w:tcPr>
          <w:p w14:paraId="7CFF3567" w14:textId="77777777" w:rsidR="00027B83" w:rsidRPr="000807EF" w:rsidRDefault="000B0897">
            <w:pPr>
              <w:jc w:val="center"/>
              <w:rPr>
                <w:b/>
                <w:color w:val="000000" w:themeColor="text1"/>
                <w:kern w:val="2"/>
                <w:szCs w:val="24"/>
              </w:rPr>
            </w:pPr>
            <w:r w:rsidRPr="000807EF">
              <w:rPr>
                <w:b/>
                <w:color w:val="000000" w:themeColor="text1"/>
                <w:kern w:val="2"/>
                <w:szCs w:val="24"/>
              </w:rPr>
              <w:t>15.1. Priedas Nr. 1</w:t>
            </w:r>
          </w:p>
        </w:tc>
        <w:tc>
          <w:tcPr>
            <w:tcW w:w="6477" w:type="dxa"/>
            <w:gridSpan w:val="3"/>
          </w:tcPr>
          <w:p w14:paraId="65B09E30" w14:textId="24D43BA1" w:rsidR="00027B83" w:rsidRPr="000807EF" w:rsidRDefault="000807EF" w:rsidP="000807EF">
            <w:pPr>
              <w:rPr>
                <w:b/>
                <w:color w:val="000000" w:themeColor="text1"/>
                <w:kern w:val="2"/>
                <w:szCs w:val="24"/>
              </w:rPr>
            </w:pPr>
            <w:r w:rsidRPr="000807EF">
              <w:rPr>
                <w:b/>
                <w:color w:val="000000" w:themeColor="text1"/>
                <w:kern w:val="2"/>
                <w:szCs w:val="24"/>
              </w:rPr>
              <w:t>Statinio projektavimo užduotis, 11 lapų</w:t>
            </w:r>
          </w:p>
        </w:tc>
      </w:tr>
      <w:tr w:rsidR="00027B83" w14:paraId="2CC1D4F0" w14:textId="77777777">
        <w:trPr>
          <w:trHeight w:val="300"/>
        </w:trPr>
        <w:tc>
          <w:tcPr>
            <w:tcW w:w="3058" w:type="dxa"/>
          </w:tcPr>
          <w:p w14:paraId="09EEBB7C" w14:textId="77777777" w:rsidR="00027B83" w:rsidRPr="000807EF" w:rsidRDefault="000B0897">
            <w:pPr>
              <w:jc w:val="center"/>
              <w:rPr>
                <w:b/>
                <w:color w:val="000000" w:themeColor="text1"/>
                <w:kern w:val="2"/>
                <w:szCs w:val="24"/>
              </w:rPr>
            </w:pPr>
            <w:r w:rsidRPr="000807EF">
              <w:rPr>
                <w:b/>
                <w:color w:val="000000" w:themeColor="text1"/>
                <w:kern w:val="2"/>
                <w:szCs w:val="24"/>
              </w:rPr>
              <w:t>15.2. Priedas Nr. 2</w:t>
            </w:r>
          </w:p>
        </w:tc>
        <w:tc>
          <w:tcPr>
            <w:tcW w:w="6477" w:type="dxa"/>
            <w:gridSpan w:val="3"/>
          </w:tcPr>
          <w:p w14:paraId="269B3EB8" w14:textId="4F6C4824" w:rsidR="00027B83" w:rsidRPr="000807EF" w:rsidRDefault="000807EF" w:rsidP="000807EF">
            <w:pPr>
              <w:rPr>
                <w:b/>
                <w:color w:val="000000" w:themeColor="text1"/>
                <w:kern w:val="2"/>
                <w:szCs w:val="24"/>
              </w:rPr>
            </w:pPr>
            <w:r w:rsidRPr="000807EF">
              <w:rPr>
                <w:b/>
                <w:color w:val="000000" w:themeColor="text1"/>
                <w:kern w:val="2"/>
                <w:szCs w:val="24"/>
              </w:rPr>
              <w:t>Tiekėjo pasiūlymas, XX lapų</w:t>
            </w:r>
          </w:p>
        </w:tc>
      </w:tr>
      <w:tr w:rsidR="00027B83" w14:paraId="58745085" w14:textId="77777777">
        <w:trPr>
          <w:trHeight w:val="300"/>
        </w:trPr>
        <w:tc>
          <w:tcPr>
            <w:tcW w:w="3058" w:type="dxa"/>
          </w:tcPr>
          <w:p w14:paraId="2312C897" w14:textId="77777777" w:rsidR="00027B83" w:rsidRPr="000807EF" w:rsidRDefault="000B0897">
            <w:pPr>
              <w:jc w:val="center"/>
              <w:rPr>
                <w:b/>
                <w:color w:val="000000" w:themeColor="text1"/>
                <w:kern w:val="2"/>
                <w:szCs w:val="24"/>
              </w:rPr>
            </w:pPr>
            <w:r w:rsidRPr="000807EF">
              <w:rPr>
                <w:b/>
                <w:color w:val="000000" w:themeColor="text1"/>
                <w:kern w:val="2"/>
                <w:szCs w:val="24"/>
              </w:rPr>
              <w:t>15.3. Priedas Nr. 3</w:t>
            </w:r>
          </w:p>
        </w:tc>
        <w:tc>
          <w:tcPr>
            <w:tcW w:w="6477" w:type="dxa"/>
            <w:gridSpan w:val="3"/>
          </w:tcPr>
          <w:p w14:paraId="22A614AF" w14:textId="5ED5EDE9" w:rsidR="00027B83" w:rsidRPr="000807EF" w:rsidRDefault="00FE0BEF" w:rsidP="0060697C">
            <w:pPr>
              <w:rPr>
                <w:b/>
                <w:color w:val="000000" w:themeColor="text1"/>
                <w:kern w:val="2"/>
                <w:szCs w:val="24"/>
              </w:rPr>
            </w:pPr>
            <w:r w:rsidRPr="0060697C">
              <w:rPr>
                <w:b/>
                <w:kern w:val="2"/>
                <w:szCs w:val="24"/>
              </w:rPr>
              <w:t>Specialistų sąrašas</w:t>
            </w:r>
          </w:p>
        </w:tc>
      </w:tr>
      <w:tr w:rsidR="00027B83" w14:paraId="49AEEE04" w14:textId="77777777">
        <w:trPr>
          <w:trHeight w:val="300"/>
        </w:trPr>
        <w:tc>
          <w:tcPr>
            <w:tcW w:w="3058" w:type="dxa"/>
          </w:tcPr>
          <w:p w14:paraId="0141DB15" w14:textId="77777777" w:rsidR="00027B83" w:rsidRPr="000807EF" w:rsidRDefault="000B0897">
            <w:pPr>
              <w:jc w:val="center"/>
              <w:rPr>
                <w:b/>
                <w:color w:val="000000" w:themeColor="text1"/>
                <w:kern w:val="2"/>
                <w:szCs w:val="24"/>
              </w:rPr>
            </w:pPr>
            <w:r w:rsidRPr="000807EF">
              <w:rPr>
                <w:b/>
                <w:color w:val="000000" w:themeColor="text1"/>
                <w:kern w:val="2"/>
                <w:szCs w:val="24"/>
              </w:rPr>
              <w:t>15.4. Priedas Nr. 4</w:t>
            </w:r>
          </w:p>
        </w:tc>
        <w:tc>
          <w:tcPr>
            <w:tcW w:w="6477" w:type="dxa"/>
            <w:gridSpan w:val="3"/>
          </w:tcPr>
          <w:p w14:paraId="567E6329" w14:textId="77777777" w:rsidR="00027B83" w:rsidRPr="000807EF" w:rsidRDefault="00027B83">
            <w:pPr>
              <w:jc w:val="center"/>
              <w:rPr>
                <w:b/>
                <w:color w:val="000000" w:themeColor="text1"/>
                <w:kern w:val="2"/>
                <w:szCs w:val="24"/>
              </w:rPr>
            </w:pPr>
          </w:p>
        </w:tc>
      </w:tr>
      <w:tr w:rsidR="00027B83" w14:paraId="64E7ECA8" w14:textId="77777777">
        <w:trPr>
          <w:trHeight w:val="300"/>
        </w:trPr>
        <w:tc>
          <w:tcPr>
            <w:tcW w:w="3058" w:type="dxa"/>
          </w:tcPr>
          <w:p w14:paraId="56EDF7C1" w14:textId="77777777" w:rsidR="00027B83" w:rsidRPr="000807EF" w:rsidRDefault="000B0897">
            <w:pPr>
              <w:jc w:val="center"/>
              <w:rPr>
                <w:b/>
                <w:color w:val="000000" w:themeColor="text1"/>
                <w:kern w:val="2"/>
                <w:szCs w:val="24"/>
              </w:rPr>
            </w:pPr>
            <w:r w:rsidRPr="000807EF">
              <w:rPr>
                <w:b/>
                <w:color w:val="000000" w:themeColor="text1"/>
                <w:kern w:val="2"/>
                <w:szCs w:val="24"/>
              </w:rPr>
              <w:t>15.5. Priedas Nr. 5</w:t>
            </w:r>
          </w:p>
        </w:tc>
        <w:tc>
          <w:tcPr>
            <w:tcW w:w="6477" w:type="dxa"/>
            <w:gridSpan w:val="3"/>
          </w:tcPr>
          <w:p w14:paraId="02467AF6" w14:textId="77777777" w:rsidR="00027B83" w:rsidRPr="000807EF" w:rsidRDefault="00027B83">
            <w:pPr>
              <w:jc w:val="center"/>
              <w:rPr>
                <w:b/>
                <w:color w:val="000000" w:themeColor="text1"/>
                <w:kern w:val="2"/>
                <w:szCs w:val="24"/>
              </w:rPr>
            </w:pPr>
          </w:p>
        </w:tc>
      </w:tr>
      <w:tr w:rsidR="00027B83" w14:paraId="278F6726" w14:textId="77777777">
        <w:tc>
          <w:tcPr>
            <w:tcW w:w="9535" w:type="dxa"/>
            <w:gridSpan w:val="4"/>
          </w:tcPr>
          <w:p w14:paraId="306ED934" w14:textId="77777777" w:rsidR="00027B83" w:rsidRPr="000807EF" w:rsidRDefault="000B0897">
            <w:pPr>
              <w:jc w:val="center"/>
              <w:rPr>
                <w:b/>
                <w:color w:val="000000" w:themeColor="text1"/>
                <w:kern w:val="2"/>
                <w:szCs w:val="24"/>
              </w:rPr>
            </w:pPr>
            <w:r w:rsidRPr="000807EF">
              <w:rPr>
                <w:b/>
                <w:color w:val="000000" w:themeColor="text1"/>
                <w:kern w:val="2"/>
                <w:szCs w:val="24"/>
              </w:rPr>
              <w:t>16. ŠALIŲ ATSTOVŲ PARAŠAI</w:t>
            </w:r>
          </w:p>
        </w:tc>
      </w:tr>
      <w:tr w:rsidR="00027B83" w14:paraId="1A4801F8" w14:textId="77777777">
        <w:tc>
          <w:tcPr>
            <w:tcW w:w="5224" w:type="dxa"/>
            <w:gridSpan w:val="3"/>
          </w:tcPr>
          <w:p w14:paraId="4374ECAE" w14:textId="77777777" w:rsidR="00027B83" w:rsidRPr="000807EF" w:rsidRDefault="000B0897">
            <w:pPr>
              <w:jc w:val="center"/>
              <w:rPr>
                <w:b/>
                <w:color w:val="000000" w:themeColor="text1"/>
                <w:kern w:val="2"/>
                <w:szCs w:val="24"/>
              </w:rPr>
            </w:pPr>
            <w:r w:rsidRPr="000807EF">
              <w:rPr>
                <w:b/>
                <w:color w:val="000000" w:themeColor="text1"/>
                <w:kern w:val="2"/>
                <w:szCs w:val="24"/>
              </w:rPr>
              <w:t>PIRKĖJAS</w:t>
            </w:r>
          </w:p>
        </w:tc>
        <w:tc>
          <w:tcPr>
            <w:tcW w:w="4311" w:type="dxa"/>
          </w:tcPr>
          <w:p w14:paraId="77A89ACF" w14:textId="77777777" w:rsidR="00027B83" w:rsidRPr="000807EF" w:rsidRDefault="000B0897">
            <w:pPr>
              <w:jc w:val="center"/>
              <w:rPr>
                <w:b/>
                <w:color w:val="000000" w:themeColor="text1"/>
                <w:kern w:val="2"/>
                <w:szCs w:val="24"/>
              </w:rPr>
            </w:pPr>
            <w:r w:rsidRPr="000807EF">
              <w:rPr>
                <w:b/>
                <w:color w:val="000000" w:themeColor="text1"/>
                <w:kern w:val="2"/>
                <w:szCs w:val="24"/>
              </w:rPr>
              <w:t>TIEKĖJAS</w:t>
            </w:r>
          </w:p>
        </w:tc>
      </w:tr>
      <w:tr w:rsidR="00027B83" w14:paraId="21CAB534" w14:textId="77777777">
        <w:tc>
          <w:tcPr>
            <w:tcW w:w="5224" w:type="dxa"/>
            <w:gridSpan w:val="3"/>
          </w:tcPr>
          <w:p w14:paraId="578049DB" w14:textId="77777777" w:rsidR="00027B83" w:rsidRPr="000807EF" w:rsidRDefault="000B0897">
            <w:pPr>
              <w:jc w:val="center"/>
              <w:rPr>
                <w:color w:val="000000" w:themeColor="text1"/>
                <w:kern w:val="2"/>
                <w:szCs w:val="24"/>
              </w:rPr>
            </w:pPr>
            <w:r w:rsidRPr="000807EF">
              <w:rPr>
                <w:color w:val="000000" w:themeColor="text1"/>
                <w:kern w:val="2"/>
                <w:szCs w:val="24"/>
              </w:rPr>
              <w:t>(nurodomos atstovo pareigos, vardas, pavardė)</w:t>
            </w:r>
          </w:p>
        </w:tc>
        <w:tc>
          <w:tcPr>
            <w:tcW w:w="4311" w:type="dxa"/>
          </w:tcPr>
          <w:p w14:paraId="6F9E2A53" w14:textId="77777777" w:rsidR="00027B83" w:rsidRPr="000807EF" w:rsidRDefault="000B0897">
            <w:pPr>
              <w:jc w:val="center"/>
              <w:rPr>
                <w:b/>
                <w:color w:val="000000" w:themeColor="text1"/>
                <w:kern w:val="2"/>
                <w:szCs w:val="24"/>
              </w:rPr>
            </w:pPr>
            <w:r w:rsidRPr="000807EF">
              <w:rPr>
                <w:color w:val="000000" w:themeColor="text1"/>
                <w:kern w:val="2"/>
                <w:szCs w:val="24"/>
              </w:rPr>
              <w:t>(nurodomos atstovo pareigos, vardas, pavardė)</w:t>
            </w:r>
          </w:p>
        </w:tc>
      </w:tr>
      <w:tr w:rsidR="00027B83" w14:paraId="0C834F1B" w14:textId="77777777">
        <w:tc>
          <w:tcPr>
            <w:tcW w:w="5224" w:type="dxa"/>
            <w:gridSpan w:val="3"/>
          </w:tcPr>
          <w:p w14:paraId="789659E3" w14:textId="77777777" w:rsidR="00027B83" w:rsidRPr="000807EF" w:rsidRDefault="00027B83">
            <w:pPr>
              <w:jc w:val="center"/>
              <w:rPr>
                <w:b/>
                <w:color w:val="000000" w:themeColor="text1"/>
                <w:kern w:val="2"/>
                <w:szCs w:val="24"/>
              </w:rPr>
            </w:pPr>
          </w:p>
          <w:p w14:paraId="3B035D0A" w14:textId="77777777" w:rsidR="00027B83" w:rsidRPr="000807EF" w:rsidRDefault="000B0897">
            <w:pPr>
              <w:jc w:val="center"/>
              <w:rPr>
                <w:b/>
                <w:color w:val="000000" w:themeColor="text1"/>
                <w:kern w:val="2"/>
                <w:szCs w:val="24"/>
              </w:rPr>
            </w:pPr>
            <w:r w:rsidRPr="000807EF">
              <w:rPr>
                <w:b/>
                <w:color w:val="000000" w:themeColor="text1"/>
                <w:kern w:val="2"/>
                <w:szCs w:val="24"/>
              </w:rPr>
              <w:lastRenderedPageBreak/>
              <w:t>(parašas)</w:t>
            </w:r>
          </w:p>
          <w:p w14:paraId="0B1520FA" w14:textId="77777777" w:rsidR="00027B83" w:rsidRPr="000807EF" w:rsidRDefault="00027B83">
            <w:pPr>
              <w:jc w:val="center"/>
              <w:rPr>
                <w:b/>
                <w:color w:val="000000" w:themeColor="text1"/>
                <w:kern w:val="2"/>
                <w:szCs w:val="24"/>
              </w:rPr>
            </w:pPr>
          </w:p>
          <w:p w14:paraId="449ED037" w14:textId="77777777" w:rsidR="00027B83" w:rsidRPr="000807EF" w:rsidRDefault="00027B83">
            <w:pPr>
              <w:jc w:val="center"/>
              <w:rPr>
                <w:b/>
                <w:color w:val="000000" w:themeColor="text1"/>
                <w:kern w:val="2"/>
                <w:szCs w:val="24"/>
              </w:rPr>
            </w:pPr>
          </w:p>
        </w:tc>
        <w:tc>
          <w:tcPr>
            <w:tcW w:w="4311" w:type="dxa"/>
          </w:tcPr>
          <w:p w14:paraId="1BA6AD11" w14:textId="77777777" w:rsidR="00027B83" w:rsidRPr="000807EF" w:rsidRDefault="00027B83">
            <w:pPr>
              <w:jc w:val="center"/>
              <w:rPr>
                <w:b/>
                <w:color w:val="000000" w:themeColor="text1"/>
                <w:kern w:val="2"/>
                <w:szCs w:val="24"/>
              </w:rPr>
            </w:pPr>
          </w:p>
          <w:p w14:paraId="644A2BE8" w14:textId="77777777" w:rsidR="00027B83" w:rsidRPr="000807EF" w:rsidRDefault="000B0897">
            <w:pPr>
              <w:jc w:val="center"/>
              <w:rPr>
                <w:b/>
                <w:color w:val="000000" w:themeColor="text1"/>
                <w:kern w:val="2"/>
                <w:szCs w:val="24"/>
              </w:rPr>
            </w:pPr>
            <w:r w:rsidRPr="000807EF">
              <w:rPr>
                <w:b/>
                <w:color w:val="000000" w:themeColor="text1"/>
                <w:kern w:val="2"/>
                <w:szCs w:val="24"/>
              </w:rPr>
              <w:lastRenderedPageBreak/>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74BD" w14:textId="77777777" w:rsidR="009B79E9" w:rsidRDefault="009B79E9">
      <w:pPr>
        <w:rPr>
          <w:sz w:val="20"/>
        </w:rPr>
      </w:pPr>
      <w:r>
        <w:rPr>
          <w:sz w:val="20"/>
        </w:rPr>
        <w:separator/>
      </w:r>
    </w:p>
  </w:endnote>
  <w:endnote w:type="continuationSeparator" w:id="0">
    <w:p w14:paraId="074696D8" w14:textId="77777777" w:rsidR="009B79E9" w:rsidRDefault="009B79E9">
      <w:pPr>
        <w:rPr>
          <w:sz w:val="20"/>
        </w:rPr>
      </w:pPr>
      <w:r>
        <w:rPr>
          <w:sz w:val="20"/>
        </w:rPr>
        <w:continuationSeparator/>
      </w:r>
    </w:p>
  </w:endnote>
  <w:endnote w:type="continuationNotice" w:id="1">
    <w:p w14:paraId="68DE2179" w14:textId="77777777" w:rsidR="009B79E9" w:rsidRDefault="009B7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3C57" w14:textId="77777777" w:rsidR="009B79E9" w:rsidRDefault="009B79E9">
      <w:pPr>
        <w:rPr>
          <w:sz w:val="20"/>
        </w:rPr>
      </w:pPr>
      <w:r>
        <w:rPr>
          <w:sz w:val="20"/>
        </w:rPr>
        <w:separator/>
      </w:r>
    </w:p>
  </w:footnote>
  <w:footnote w:type="continuationSeparator" w:id="0">
    <w:p w14:paraId="48E893F3" w14:textId="77777777" w:rsidR="009B79E9" w:rsidRDefault="009B79E9">
      <w:pPr>
        <w:rPr>
          <w:sz w:val="20"/>
        </w:rPr>
      </w:pPr>
      <w:r>
        <w:rPr>
          <w:sz w:val="20"/>
        </w:rPr>
        <w:continuationSeparator/>
      </w:r>
    </w:p>
  </w:footnote>
  <w:footnote w:type="continuationNotice" w:id="1">
    <w:p w14:paraId="6EEED003" w14:textId="77777777" w:rsidR="009B79E9" w:rsidRDefault="009B7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3FC"/>
    <w:rsid w:val="00067E49"/>
    <w:rsid w:val="000807EF"/>
    <w:rsid w:val="000B0897"/>
    <w:rsid w:val="002B1201"/>
    <w:rsid w:val="003A5E38"/>
    <w:rsid w:val="00402199"/>
    <w:rsid w:val="0046626A"/>
    <w:rsid w:val="00545279"/>
    <w:rsid w:val="00580A3F"/>
    <w:rsid w:val="005A2A15"/>
    <w:rsid w:val="0060697C"/>
    <w:rsid w:val="006C79AA"/>
    <w:rsid w:val="006F0803"/>
    <w:rsid w:val="006F5143"/>
    <w:rsid w:val="007265FC"/>
    <w:rsid w:val="00745D97"/>
    <w:rsid w:val="007621BC"/>
    <w:rsid w:val="007A3F7E"/>
    <w:rsid w:val="007A75C6"/>
    <w:rsid w:val="0083118A"/>
    <w:rsid w:val="00837272"/>
    <w:rsid w:val="008446AC"/>
    <w:rsid w:val="00951D02"/>
    <w:rsid w:val="009728BC"/>
    <w:rsid w:val="009B79E9"/>
    <w:rsid w:val="009C0863"/>
    <w:rsid w:val="009C7B7B"/>
    <w:rsid w:val="00A15FF9"/>
    <w:rsid w:val="00B46F6F"/>
    <w:rsid w:val="00BF3B7B"/>
    <w:rsid w:val="00C74FA2"/>
    <w:rsid w:val="00CD11A9"/>
    <w:rsid w:val="00DA4E0C"/>
    <w:rsid w:val="00EE5F6C"/>
    <w:rsid w:val="00F60BD9"/>
    <w:rsid w:val="00F7082A"/>
    <w:rsid w:val="00FE0BE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362696-CBD9-4275-B8CF-C001E876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7A3F7E"/>
    <w:rPr>
      <w:color w:val="0563C1" w:themeColor="hyperlink"/>
      <w:u w:val="single"/>
    </w:rPr>
  </w:style>
  <w:style w:type="character" w:styleId="Neapdorotaspaminjimas">
    <w:name w:val="Unresolved Mention"/>
    <w:basedOn w:val="Numatytasispastraiposriftas"/>
    <w:uiPriority w:val="99"/>
    <w:semiHidden/>
    <w:unhideWhenUsed/>
    <w:rsid w:val="007A3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eksej.gergel@visagin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13840</Words>
  <Characters>7889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Bendras6</dc:creator>
  <cp:lastModifiedBy>Rūta Mikulėnė</cp:lastModifiedBy>
  <cp:revision>9</cp:revision>
  <dcterms:created xsi:type="dcterms:W3CDTF">2025-05-19T05:51:00Z</dcterms:created>
  <dcterms:modified xsi:type="dcterms:W3CDTF">2025-05-21T11:40:00Z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