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E22B9" w14:textId="77777777" w:rsidR="00C96628" w:rsidRPr="00A81F3A" w:rsidRDefault="00C96628" w:rsidP="00C96628">
      <w:pPr>
        <w:jc w:val="center"/>
        <w:rPr>
          <w:rFonts w:eastAsiaTheme="minorHAnsi"/>
          <w:b/>
          <w:bCs/>
          <w:szCs w:val="24"/>
        </w:rPr>
      </w:pPr>
      <w:r w:rsidRPr="00A81F3A">
        <w:rPr>
          <w:rFonts w:eastAsiaTheme="minorHAnsi"/>
          <w:b/>
          <w:bCs/>
          <w:szCs w:val="24"/>
        </w:rPr>
        <w:t>TECHNINĖ SPECIFIKACIJA</w:t>
      </w:r>
    </w:p>
    <w:p w14:paraId="1F56C2F0" w14:textId="77777777" w:rsidR="00C96628" w:rsidRDefault="00C96628" w:rsidP="00C96628">
      <w:pPr>
        <w:jc w:val="center"/>
        <w:rPr>
          <w:rFonts w:eastAsiaTheme="minorHAnsi"/>
          <w:b/>
          <w:bCs/>
          <w:szCs w:val="24"/>
        </w:rPr>
      </w:pPr>
      <w:r>
        <w:rPr>
          <w:rFonts w:eastAsiaTheme="minorHAnsi"/>
          <w:b/>
          <w:bCs/>
          <w:szCs w:val="24"/>
        </w:rPr>
        <w:t>KARBAMIDO TIRPALUI (AD</w:t>
      </w:r>
      <w:r w:rsidRPr="00A81F3A">
        <w:rPr>
          <w:rFonts w:eastAsiaTheme="minorHAnsi"/>
          <w:b/>
          <w:bCs/>
          <w:szCs w:val="24"/>
        </w:rPr>
        <w:t>BLUE) ĮSIGYTI</w:t>
      </w:r>
    </w:p>
    <w:p w14:paraId="5E813FB6" w14:textId="77777777" w:rsidR="00C96628" w:rsidRPr="00A81F3A" w:rsidRDefault="00C96628" w:rsidP="00C96628">
      <w:pPr>
        <w:jc w:val="center"/>
        <w:rPr>
          <w:rFonts w:eastAsiaTheme="minorHAnsi"/>
          <w:b/>
          <w:bCs/>
          <w:szCs w:val="24"/>
        </w:rPr>
      </w:pPr>
    </w:p>
    <w:p w14:paraId="1F7610BF" w14:textId="02976C4E" w:rsidR="00C96628" w:rsidRPr="003C0630" w:rsidRDefault="00C96628" w:rsidP="003C0630">
      <w:pPr>
        <w:pStyle w:val="Sraopastraipa"/>
        <w:numPr>
          <w:ilvl w:val="0"/>
          <w:numId w:val="2"/>
        </w:numPr>
        <w:jc w:val="left"/>
        <w:rPr>
          <w:rFonts w:eastAsiaTheme="minorHAnsi"/>
          <w:szCs w:val="24"/>
        </w:rPr>
      </w:pPr>
      <w:r w:rsidRPr="003C0630">
        <w:rPr>
          <w:rFonts w:eastAsiaTheme="minorHAnsi"/>
          <w:szCs w:val="24"/>
        </w:rPr>
        <w:t xml:space="preserve">Pirkimo objektas – Karbamido tirpalas (toliau </w:t>
      </w:r>
      <w:r w:rsidRPr="003C0630">
        <w:rPr>
          <w:noProof/>
          <w:szCs w:val="24"/>
        </w:rPr>
        <w:t>–</w:t>
      </w:r>
      <w:r w:rsidRPr="003C0630">
        <w:rPr>
          <w:rFonts w:eastAsiaTheme="minorHAnsi"/>
          <w:szCs w:val="24"/>
        </w:rPr>
        <w:t xml:space="preserve"> </w:t>
      </w:r>
      <w:proofErr w:type="spellStart"/>
      <w:r w:rsidRPr="003C0630">
        <w:rPr>
          <w:rFonts w:eastAsiaTheme="minorHAnsi"/>
          <w:szCs w:val="24"/>
        </w:rPr>
        <w:t>AdBlue</w:t>
      </w:r>
      <w:proofErr w:type="spellEnd"/>
      <w:r w:rsidRPr="003C0630">
        <w:rPr>
          <w:rFonts w:eastAsiaTheme="minorHAnsi"/>
          <w:szCs w:val="24"/>
        </w:rPr>
        <w:t xml:space="preserve"> skystis, Prekė).</w:t>
      </w:r>
    </w:p>
    <w:p w14:paraId="0F6D2AE2" w14:textId="5D9367A4" w:rsidR="00C96628" w:rsidRPr="003C0630" w:rsidRDefault="00C96628" w:rsidP="003C0630">
      <w:pPr>
        <w:pStyle w:val="Sraopastraipa"/>
        <w:numPr>
          <w:ilvl w:val="0"/>
          <w:numId w:val="2"/>
        </w:numPr>
        <w:ind w:left="0" w:firstLine="709"/>
        <w:rPr>
          <w:rFonts w:eastAsiaTheme="minorHAnsi"/>
          <w:noProof/>
          <w:szCs w:val="24"/>
        </w:rPr>
      </w:pPr>
      <w:r w:rsidRPr="003C0630">
        <w:rPr>
          <w:rFonts w:eastAsiaTheme="minorHAnsi"/>
          <w:noProof/>
          <w:szCs w:val="24"/>
        </w:rPr>
        <w:t xml:space="preserve">Perkantysis subjektas UAB „Kauno Autobusai“ (toliau – Perkantysis subjektas), </w:t>
      </w:r>
      <w:r w:rsidRPr="003C0630">
        <w:rPr>
          <w:rFonts w:eastAsiaTheme="minorHAnsi" w:cstheme="minorBidi"/>
          <w:szCs w:val="24"/>
        </w:rPr>
        <w:t>Raudondvario pl. 105, LT-47185 Kaunas, numato įsigyti</w:t>
      </w:r>
      <w:r w:rsidRPr="003C0630">
        <w:rPr>
          <w:rFonts w:eastAsiaTheme="minorHAnsi"/>
          <w:noProof/>
          <w:szCs w:val="24"/>
        </w:rPr>
        <w:t xml:space="preserve"> AdBlue skystį – apie </w:t>
      </w:r>
      <w:r w:rsidR="001A61CD" w:rsidRPr="003C0630">
        <w:rPr>
          <w:rFonts w:eastAsiaTheme="minorHAnsi"/>
          <w:noProof/>
          <w:szCs w:val="24"/>
        </w:rPr>
        <w:t>1</w:t>
      </w:r>
      <w:r w:rsidR="00016AD4" w:rsidRPr="003C0630">
        <w:rPr>
          <w:rFonts w:eastAsiaTheme="minorHAnsi"/>
          <w:noProof/>
          <w:szCs w:val="24"/>
        </w:rPr>
        <w:t>8</w:t>
      </w:r>
      <w:r w:rsidR="001A61CD" w:rsidRPr="003C0630">
        <w:rPr>
          <w:rFonts w:eastAsiaTheme="minorHAnsi"/>
          <w:noProof/>
          <w:szCs w:val="24"/>
        </w:rPr>
        <w:t>0</w:t>
      </w:r>
      <w:r w:rsidRPr="003C0630">
        <w:rPr>
          <w:rFonts w:eastAsiaTheme="minorHAnsi"/>
          <w:noProof/>
          <w:szCs w:val="24"/>
        </w:rPr>
        <w:t xml:space="preserve"> 000 litrų</w:t>
      </w:r>
      <w:r w:rsidR="004A483F" w:rsidRPr="003C0630">
        <w:rPr>
          <w:rFonts w:eastAsiaTheme="minorHAnsi"/>
          <w:noProof/>
          <w:szCs w:val="24"/>
        </w:rPr>
        <w:t>, kuris yra maksimalus Prekių užsakymo laikotarpiu.</w:t>
      </w:r>
      <w:r w:rsidRPr="003C0630">
        <w:rPr>
          <w:rFonts w:eastAsiaTheme="minorHAnsi"/>
          <w:noProof/>
          <w:szCs w:val="24"/>
        </w:rPr>
        <w:t xml:space="preserve"> Perkantysis subjektas pirkimo sutarties galiojimo laikotarpiu neįsipareigoja nupirkti visą nurodytą  AdBlue skysčio kiekį. </w:t>
      </w:r>
    </w:p>
    <w:p w14:paraId="6A12DC1E" w14:textId="3F1671A8" w:rsidR="00C96628" w:rsidRPr="003C0630" w:rsidRDefault="00C96628" w:rsidP="003C0630">
      <w:pPr>
        <w:pStyle w:val="Sraopastraipa"/>
        <w:numPr>
          <w:ilvl w:val="0"/>
          <w:numId w:val="2"/>
        </w:numPr>
        <w:rPr>
          <w:noProof/>
          <w:szCs w:val="24"/>
        </w:rPr>
      </w:pPr>
      <w:r w:rsidRPr="003C0630">
        <w:rPr>
          <w:noProof/>
          <w:szCs w:val="24"/>
        </w:rPr>
        <w:t>Perkamas AdBlue skystis turi atitikti šiuos reikalavimus:</w:t>
      </w:r>
    </w:p>
    <w:tbl>
      <w:tblPr>
        <w:tblStyle w:val="Lentelstinklelis4"/>
        <w:tblW w:w="0" w:type="auto"/>
        <w:tblLook w:val="04A0" w:firstRow="1" w:lastRow="0" w:firstColumn="1" w:lastColumn="0" w:noHBand="0" w:noVBand="1"/>
      </w:tblPr>
      <w:tblGrid>
        <w:gridCol w:w="6516"/>
        <w:gridCol w:w="3112"/>
      </w:tblGrid>
      <w:tr w:rsidR="00C96628" w:rsidRPr="00A81F3A" w14:paraId="68CEB4AE" w14:textId="77777777" w:rsidTr="00E030CD">
        <w:tc>
          <w:tcPr>
            <w:tcW w:w="6516" w:type="dxa"/>
          </w:tcPr>
          <w:p w14:paraId="709357B1" w14:textId="77777777" w:rsidR="00C96628" w:rsidRPr="00A81F3A" w:rsidRDefault="00C96628" w:rsidP="00E030CD">
            <w:pPr>
              <w:widowControl w:val="0"/>
              <w:jc w:val="center"/>
              <w:rPr>
                <w:b/>
                <w:bCs/>
                <w:noProof/>
                <w:szCs w:val="24"/>
              </w:rPr>
            </w:pPr>
            <w:r w:rsidRPr="00A81F3A">
              <w:rPr>
                <w:b/>
                <w:bCs/>
                <w:szCs w:val="24"/>
              </w:rPr>
              <w:t>Rodiklio pavadinimas</w:t>
            </w:r>
          </w:p>
        </w:tc>
        <w:tc>
          <w:tcPr>
            <w:tcW w:w="3112" w:type="dxa"/>
          </w:tcPr>
          <w:p w14:paraId="5F98179C" w14:textId="77777777" w:rsidR="00C96628" w:rsidRPr="00A81F3A" w:rsidRDefault="00C96628" w:rsidP="00E030CD">
            <w:pPr>
              <w:widowControl w:val="0"/>
              <w:jc w:val="center"/>
              <w:rPr>
                <w:b/>
                <w:bCs/>
                <w:noProof/>
                <w:szCs w:val="24"/>
              </w:rPr>
            </w:pPr>
            <w:r w:rsidRPr="00A81F3A">
              <w:rPr>
                <w:b/>
                <w:bCs/>
                <w:szCs w:val="24"/>
              </w:rPr>
              <w:t>Norma</w:t>
            </w:r>
          </w:p>
        </w:tc>
      </w:tr>
      <w:tr w:rsidR="00C96628" w:rsidRPr="00A81F3A" w14:paraId="01FFD384" w14:textId="77777777" w:rsidTr="00E030CD">
        <w:tc>
          <w:tcPr>
            <w:tcW w:w="6516" w:type="dxa"/>
          </w:tcPr>
          <w:p w14:paraId="5CF65E76" w14:textId="77777777" w:rsidR="00C96628" w:rsidRPr="00A81F3A" w:rsidRDefault="00C96628" w:rsidP="00E030CD">
            <w:pPr>
              <w:widowControl w:val="0"/>
              <w:rPr>
                <w:noProof/>
                <w:szCs w:val="24"/>
              </w:rPr>
            </w:pPr>
            <w:r w:rsidRPr="00A81F3A">
              <w:rPr>
                <w:szCs w:val="24"/>
              </w:rPr>
              <w:t>1. Karbamido masės dalis, %</w:t>
            </w:r>
          </w:p>
        </w:tc>
        <w:tc>
          <w:tcPr>
            <w:tcW w:w="3112" w:type="dxa"/>
          </w:tcPr>
          <w:p w14:paraId="7292BA3E" w14:textId="77777777" w:rsidR="00C96628" w:rsidRPr="00A81F3A" w:rsidRDefault="00C96628" w:rsidP="00E030CD">
            <w:pPr>
              <w:widowControl w:val="0"/>
              <w:jc w:val="center"/>
              <w:rPr>
                <w:noProof/>
                <w:szCs w:val="24"/>
              </w:rPr>
            </w:pPr>
            <w:r w:rsidRPr="00A81F3A">
              <w:rPr>
                <w:szCs w:val="24"/>
              </w:rPr>
              <w:t>31, 8 – 33,2</w:t>
            </w:r>
          </w:p>
        </w:tc>
      </w:tr>
      <w:tr w:rsidR="00C96628" w:rsidRPr="00A81F3A" w14:paraId="5441694B" w14:textId="77777777" w:rsidTr="00E030CD">
        <w:tc>
          <w:tcPr>
            <w:tcW w:w="6516" w:type="dxa"/>
          </w:tcPr>
          <w:p w14:paraId="4E620D26" w14:textId="77777777" w:rsidR="00C96628" w:rsidRPr="00A81F3A" w:rsidRDefault="00C96628" w:rsidP="00E030CD">
            <w:pPr>
              <w:widowControl w:val="0"/>
              <w:rPr>
                <w:noProof/>
                <w:szCs w:val="24"/>
              </w:rPr>
            </w:pPr>
            <w:r w:rsidRPr="00A81F3A">
              <w:rPr>
                <w:szCs w:val="24"/>
              </w:rPr>
              <w:t>2. Tankis prie 20 ºC, kg/m</w:t>
            </w:r>
            <w:r w:rsidRPr="00A81F3A">
              <w:rPr>
                <w:noProof/>
                <w:szCs w:val="24"/>
                <w:vertAlign w:val="superscript"/>
                <w:lang w:eastAsia="lt-LT"/>
              </w:rPr>
              <w:t>3</w:t>
            </w:r>
          </w:p>
        </w:tc>
        <w:tc>
          <w:tcPr>
            <w:tcW w:w="3112" w:type="dxa"/>
          </w:tcPr>
          <w:p w14:paraId="229F4C5E" w14:textId="77777777" w:rsidR="00C96628" w:rsidRPr="00A81F3A" w:rsidRDefault="00C96628" w:rsidP="00E030CD">
            <w:pPr>
              <w:widowControl w:val="0"/>
              <w:jc w:val="center"/>
              <w:rPr>
                <w:noProof/>
                <w:szCs w:val="24"/>
              </w:rPr>
            </w:pPr>
            <w:r w:rsidRPr="00A81F3A">
              <w:rPr>
                <w:szCs w:val="24"/>
              </w:rPr>
              <w:t>1087,0 – 1093,0</w:t>
            </w:r>
          </w:p>
        </w:tc>
      </w:tr>
      <w:tr w:rsidR="00C96628" w:rsidRPr="00A81F3A" w14:paraId="775491CF" w14:textId="77777777" w:rsidTr="00E030CD">
        <w:tc>
          <w:tcPr>
            <w:tcW w:w="6516" w:type="dxa"/>
          </w:tcPr>
          <w:p w14:paraId="6C715675" w14:textId="77777777" w:rsidR="00C96628" w:rsidRPr="00A81F3A" w:rsidRDefault="00C96628" w:rsidP="00E030CD">
            <w:pPr>
              <w:widowControl w:val="0"/>
              <w:rPr>
                <w:noProof/>
                <w:szCs w:val="24"/>
              </w:rPr>
            </w:pPr>
            <w:r w:rsidRPr="00A81F3A">
              <w:rPr>
                <w:szCs w:val="24"/>
              </w:rPr>
              <w:t>3. Lūžio rodiklis prie 20°C</w:t>
            </w:r>
          </w:p>
        </w:tc>
        <w:tc>
          <w:tcPr>
            <w:tcW w:w="3112" w:type="dxa"/>
          </w:tcPr>
          <w:p w14:paraId="530EBC24" w14:textId="77777777" w:rsidR="00C96628" w:rsidRPr="00A81F3A" w:rsidRDefault="00C96628" w:rsidP="00E030CD">
            <w:pPr>
              <w:widowControl w:val="0"/>
              <w:jc w:val="center"/>
              <w:rPr>
                <w:noProof/>
                <w:szCs w:val="24"/>
              </w:rPr>
            </w:pPr>
            <w:r w:rsidRPr="00A81F3A">
              <w:rPr>
                <w:szCs w:val="24"/>
              </w:rPr>
              <w:t>1,3814 – 1,3843</w:t>
            </w:r>
          </w:p>
        </w:tc>
      </w:tr>
      <w:tr w:rsidR="00C96628" w:rsidRPr="00A81F3A" w14:paraId="6A7F1C96" w14:textId="77777777" w:rsidTr="00E030CD">
        <w:tc>
          <w:tcPr>
            <w:tcW w:w="6516" w:type="dxa"/>
          </w:tcPr>
          <w:p w14:paraId="026A9F26" w14:textId="77777777" w:rsidR="00C96628" w:rsidRPr="00A81F3A" w:rsidRDefault="00C96628" w:rsidP="00E030CD">
            <w:pPr>
              <w:widowControl w:val="0"/>
              <w:rPr>
                <w:noProof/>
                <w:szCs w:val="24"/>
              </w:rPr>
            </w:pPr>
            <w:r w:rsidRPr="00A81F3A">
              <w:rPr>
                <w:szCs w:val="24"/>
              </w:rPr>
              <w:t>4. Šarmingumas kaip NH3 masės dalis, %, ne didesnė kaip</w:t>
            </w:r>
          </w:p>
        </w:tc>
        <w:tc>
          <w:tcPr>
            <w:tcW w:w="3112" w:type="dxa"/>
          </w:tcPr>
          <w:p w14:paraId="4F682C7A" w14:textId="77777777" w:rsidR="00C96628" w:rsidRPr="00A81F3A" w:rsidRDefault="00C96628" w:rsidP="00E030CD">
            <w:pPr>
              <w:widowControl w:val="0"/>
              <w:jc w:val="center"/>
              <w:rPr>
                <w:noProof/>
                <w:szCs w:val="24"/>
              </w:rPr>
            </w:pPr>
            <w:r w:rsidRPr="00A81F3A">
              <w:rPr>
                <w:szCs w:val="24"/>
              </w:rPr>
              <w:t>0,2</w:t>
            </w:r>
          </w:p>
        </w:tc>
      </w:tr>
      <w:tr w:rsidR="00C96628" w:rsidRPr="00A81F3A" w14:paraId="7B324293" w14:textId="77777777" w:rsidTr="00E030CD">
        <w:tc>
          <w:tcPr>
            <w:tcW w:w="6516" w:type="dxa"/>
          </w:tcPr>
          <w:p w14:paraId="29789649" w14:textId="77777777" w:rsidR="00C96628" w:rsidRPr="00A81F3A" w:rsidRDefault="00C96628" w:rsidP="00E030CD">
            <w:pPr>
              <w:widowControl w:val="0"/>
              <w:rPr>
                <w:noProof/>
                <w:szCs w:val="24"/>
              </w:rPr>
            </w:pPr>
            <w:r w:rsidRPr="00A81F3A">
              <w:rPr>
                <w:szCs w:val="24"/>
              </w:rPr>
              <w:t xml:space="preserve">5. </w:t>
            </w:r>
            <w:proofErr w:type="spellStart"/>
            <w:r w:rsidRPr="00A81F3A">
              <w:rPr>
                <w:szCs w:val="24"/>
              </w:rPr>
              <w:t>Biureto</w:t>
            </w:r>
            <w:proofErr w:type="spellEnd"/>
            <w:r w:rsidRPr="00A81F3A">
              <w:rPr>
                <w:szCs w:val="24"/>
              </w:rPr>
              <w:t xml:space="preserve"> masės dalis, %, ne didesnė kaip</w:t>
            </w:r>
          </w:p>
        </w:tc>
        <w:tc>
          <w:tcPr>
            <w:tcW w:w="3112" w:type="dxa"/>
          </w:tcPr>
          <w:p w14:paraId="122A48A9" w14:textId="77777777" w:rsidR="00C96628" w:rsidRPr="00A81F3A" w:rsidRDefault="00C96628" w:rsidP="00E030CD">
            <w:pPr>
              <w:widowControl w:val="0"/>
              <w:jc w:val="center"/>
              <w:rPr>
                <w:noProof/>
                <w:szCs w:val="24"/>
              </w:rPr>
            </w:pPr>
            <w:r w:rsidRPr="00A81F3A">
              <w:rPr>
                <w:szCs w:val="24"/>
              </w:rPr>
              <w:t>0,3</w:t>
            </w:r>
          </w:p>
        </w:tc>
      </w:tr>
      <w:tr w:rsidR="00C96628" w:rsidRPr="00A81F3A" w14:paraId="6BFCA327" w14:textId="77777777" w:rsidTr="00E030CD">
        <w:tc>
          <w:tcPr>
            <w:tcW w:w="6516" w:type="dxa"/>
          </w:tcPr>
          <w:p w14:paraId="5230F0AC" w14:textId="77777777" w:rsidR="00C96628" w:rsidRPr="00A81F3A" w:rsidRDefault="00C96628" w:rsidP="00E030CD">
            <w:pPr>
              <w:widowControl w:val="0"/>
              <w:rPr>
                <w:noProof/>
                <w:szCs w:val="24"/>
              </w:rPr>
            </w:pPr>
            <w:r w:rsidRPr="00A81F3A">
              <w:rPr>
                <w:noProof/>
                <w:szCs w:val="24"/>
              </w:rPr>
              <w:t>6. Aldehidų masės koncentracija, mg/kg, ne didesnė kaip</w:t>
            </w:r>
          </w:p>
        </w:tc>
        <w:tc>
          <w:tcPr>
            <w:tcW w:w="3112" w:type="dxa"/>
          </w:tcPr>
          <w:p w14:paraId="3A8DC649" w14:textId="77777777" w:rsidR="00C96628" w:rsidRPr="00A81F3A" w:rsidRDefault="00C96628" w:rsidP="00E030CD">
            <w:pPr>
              <w:widowControl w:val="0"/>
              <w:jc w:val="center"/>
              <w:rPr>
                <w:noProof/>
                <w:szCs w:val="24"/>
              </w:rPr>
            </w:pPr>
            <w:r w:rsidRPr="00A81F3A">
              <w:rPr>
                <w:noProof/>
                <w:szCs w:val="24"/>
              </w:rPr>
              <w:t>5</w:t>
            </w:r>
          </w:p>
        </w:tc>
      </w:tr>
      <w:tr w:rsidR="00C96628" w:rsidRPr="00A81F3A" w14:paraId="009EEBE4" w14:textId="77777777" w:rsidTr="00E030CD">
        <w:tc>
          <w:tcPr>
            <w:tcW w:w="6516" w:type="dxa"/>
          </w:tcPr>
          <w:p w14:paraId="560BF7B1" w14:textId="77777777" w:rsidR="00C96628" w:rsidRPr="00A81F3A" w:rsidRDefault="00C96628" w:rsidP="00E030CD">
            <w:pPr>
              <w:widowControl w:val="0"/>
              <w:rPr>
                <w:noProof/>
                <w:szCs w:val="24"/>
              </w:rPr>
            </w:pPr>
            <w:r w:rsidRPr="00A81F3A">
              <w:rPr>
                <w:szCs w:val="24"/>
              </w:rPr>
              <w:t xml:space="preserve">7. </w:t>
            </w:r>
            <w:proofErr w:type="spellStart"/>
            <w:r w:rsidRPr="00A81F3A">
              <w:rPr>
                <w:szCs w:val="24"/>
              </w:rPr>
              <w:t>Netirpmenys</w:t>
            </w:r>
            <w:proofErr w:type="spellEnd"/>
            <w:r w:rsidRPr="00A81F3A">
              <w:rPr>
                <w:szCs w:val="24"/>
              </w:rPr>
              <w:t>, mg/kg, ne didesni kaip</w:t>
            </w:r>
          </w:p>
        </w:tc>
        <w:tc>
          <w:tcPr>
            <w:tcW w:w="3112" w:type="dxa"/>
          </w:tcPr>
          <w:p w14:paraId="242A2A21" w14:textId="77777777" w:rsidR="00C96628" w:rsidRPr="00A81F3A" w:rsidRDefault="00C96628" w:rsidP="00E030CD">
            <w:pPr>
              <w:widowControl w:val="0"/>
              <w:jc w:val="center"/>
              <w:rPr>
                <w:noProof/>
                <w:szCs w:val="24"/>
              </w:rPr>
            </w:pPr>
            <w:r w:rsidRPr="00A81F3A">
              <w:rPr>
                <w:noProof/>
                <w:szCs w:val="24"/>
              </w:rPr>
              <w:t>20</w:t>
            </w:r>
          </w:p>
        </w:tc>
      </w:tr>
      <w:tr w:rsidR="00C96628" w:rsidRPr="00A81F3A" w14:paraId="1BC8406E" w14:textId="77777777" w:rsidTr="00E030CD">
        <w:tc>
          <w:tcPr>
            <w:tcW w:w="6516" w:type="dxa"/>
          </w:tcPr>
          <w:p w14:paraId="6BCC2A45" w14:textId="77777777" w:rsidR="00C96628" w:rsidRPr="00A81F3A" w:rsidRDefault="00C96628" w:rsidP="00E030CD">
            <w:pPr>
              <w:widowControl w:val="0"/>
              <w:rPr>
                <w:noProof/>
                <w:szCs w:val="24"/>
              </w:rPr>
            </w:pPr>
            <w:r w:rsidRPr="00A81F3A">
              <w:rPr>
                <w:szCs w:val="24"/>
              </w:rPr>
              <w:t>8. Fosfatų masės koncentracija, mg/kg, ne didesnė kaip</w:t>
            </w:r>
          </w:p>
        </w:tc>
        <w:tc>
          <w:tcPr>
            <w:tcW w:w="3112" w:type="dxa"/>
          </w:tcPr>
          <w:p w14:paraId="127E8BDC" w14:textId="77777777" w:rsidR="00C96628" w:rsidRPr="00A81F3A" w:rsidRDefault="00C96628" w:rsidP="00E030CD">
            <w:pPr>
              <w:widowControl w:val="0"/>
              <w:jc w:val="center"/>
              <w:rPr>
                <w:noProof/>
                <w:szCs w:val="24"/>
              </w:rPr>
            </w:pPr>
            <w:r w:rsidRPr="00A81F3A">
              <w:rPr>
                <w:szCs w:val="24"/>
              </w:rPr>
              <w:t>0,5</w:t>
            </w:r>
          </w:p>
        </w:tc>
      </w:tr>
      <w:tr w:rsidR="00C96628" w:rsidRPr="00A81F3A" w14:paraId="45EBDB48" w14:textId="77777777" w:rsidTr="00E030CD">
        <w:tc>
          <w:tcPr>
            <w:tcW w:w="6516" w:type="dxa"/>
          </w:tcPr>
          <w:p w14:paraId="6C5C76B4" w14:textId="77777777" w:rsidR="00C96628" w:rsidRPr="00A81F3A" w:rsidRDefault="00C96628" w:rsidP="00E030CD">
            <w:pPr>
              <w:widowControl w:val="0"/>
              <w:rPr>
                <w:noProof/>
                <w:szCs w:val="24"/>
              </w:rPr>
            </w:pPr>
            <w:r w:rsidRPr="00A81F3A">
              <w:rPr>
                <w:szCs w:val="24"/>
              </w:rPr>
              <w:t>9. Aliuminio masės koncentracija, mg/kg, ne didesnė kaip</w:t>
            </w:r>
          </w:p>
        </w:tc>
        <w:tc>
          <w:tcPr>
            <w:tcW w:w="3112" w:type="dxa"/>
          </w:tcPr>
          <w:p w14:paraId="3242C0D1" w14:textId="77777777" w:rsidR="00C96628" w:rsidRPr="00A81F3A" w:rsidRDefault="00C96628" w:rsidP="00E030CD">
            <w:pPr>
              <w:widowControl w:val="0"/>
              <w:jc w:val="center"/>
              <w:rPr>
                <w:noProof/>
                <w:szCs w:val="24"/>
              </w:rPr>
            </w:pPr>
            <w:r w:rsidRPr="00A81F3A">
              <w:rPr>
                <w:szCs w:val="24"/>
              </w:rPr>
              <w:t>0,5</w:t>
            </w:r>
          </w:p>
        </w:tc>
      </w:tr>
      <w:tr w:rsidR="00C96628" w:rsidRPr="00A81F3A" w14:paraId="30F109D2" w14:textId="77777777" w:rsidTr="00E030CD">
        <w:tc>
          <w:tcPr>
            <w:tcW w:w="6516" w:type="dxa"/>
          </w:tcPr>
          <w:p w14:paraId="04482C55" w14:textId="77777777" w:rsidR="00C96628" w:rsidRPr="00A81F3A" w:rsidRDefault="00C96628" w:rsidP="00E030CD">
            <w:pPr>
              <w:widowControl w:val="0"/>
              <w:rPr>
                <w:noProof/>
                <w:szCs w:val="24"/>
              </w:rPr>
            </w:pPr>
            <w:r w:rsidRPr="00A81F3A">
              <w:rPr>
                <w:szCs w:val="24"/>
              </w:rPr>
              <w:t>10. Kalcio masės koncentracija, mg/kg, ne didesnė kaip</w:t>
            </w:r>
          </w:p>
        </w:tc>
        <w:tc>
          <w:tcPr>
            <w:tcW w:w="3112" w:type="dxa"/>
          </w:tcPr>
          <w:p w14:paraId="5FD95DD1" w14:textId="77777777" w:rsidR="00C96628" w:rsidRPr="00A81F3A" w:rsidRDefault="00C96628" w:rsidP="00E030CD">
            <w:pPr>
              <w:widowControl w:val="0"/>
              <w:jc w:val="center"/>
              <w:rPr>
                <w:noProof/>
                <w:szCs w:val="24"/>
              </w:rPr>
            </w:pPr>
            <w:r w:rsidRPr="00A81F3A">
              <w:rPr>
                <w:szCs w:val="24"/>
              </w:rPr>
              <w:t>0,5</w:t>
            </w:r>
          </w:p>
        </w:tc>
      </w:tr>
      <w:tr w:rsidR="00C96628" w:rsidRPr="00A81F3A" w14:paraId="166B2C69" w14:textId="77777777" w:rsidTr="00E030CD">
        <w:tc>
          <w:tcPr>
            <w:tcW w:w="6516" w:type="dxa"/>
          </w:tcPr>
          <w:p w14:paraId="2A129089" w14:textId="77777777" w:rsidR="00C96628" w:rsidRPr="00A81F3A" w:rsidRDefault="00C96628" w:rsidP="00E030CD">
            <w:pPr>
              <w:widowControl w:val="0"/>
              <w:rPr>
                <w:noProof/>
                <w:szCs w:val="24"/>
              </w:rPr>
            </w:pPr>
            <w:r w:rsidRPr="00A81F3A">
              <w:rPr>
                <w:szCs w:val="24"/>
              </w:rPr>
              <w:t>11. Geležies masės koncentracija, mg/kg, ne didesnė kaip</w:t>
            </w:r>
          </w:p>
        </w:tc>
        <w:tc>
          <w:tcPr>
            <w:tcW w:w="3112" w:type="dxa"/>
          </w:tcPr>
          <w:p w14:paraId="253FAA0B" w14:textId="77777777" w:rsidR="00C96628" w:rsidRPr="00A81F3A" w:rsidRDefault="00C96628" w:rsidP="00E030CD">
            <w:pPr>
              <w:widowControl w:val="0"/>
              <w:jc w:val="center"/>
              <w:rPr>
                <w:noProof/>
                <w:szCs w:val="24"/>
              </w:rPr>
            </w:pPr>
            <w:r w:rsidRPr="00A81F3A">
              <w:rPr>
                <w:szCs w:val="24"/>
              </w:rPr>
              <w:t>0,5</w:t>
            </w:r>
          </w:p>
        </w:tc>
      </w:tr>
      <w:tr w:rsidR="00C96628" w:rsidRPr="00A81F3A" w14:paraId="2DD51ACA" w14:textId="77777777" w:rsidTr="00E030CD">
        <w:tc>
          <w:tcPr>
            <w:tcW w:w="6516" w:type="dxa"/>
          </w:tcPr>
          <w:p w14:paraId="28936567" w14:textId="77777777" w:rsidR="00C96628" w:rsidRPr="00A81F3A" w:rsidRDefault="00C96628" w:rsidP="00E030CD">
            <w:pPr>
              <w:widowControl w:val="0"/>
              <w:rPr>
                <w:noProof/>
                <w:szCs w:val="24"/>
              </w:rPr>
            </w:pPr>
            <w:r w:rsidRPr="00A81F3A">
              <w:rPr>
                <w:szCs w:val="24"/>
              </w:rPr>
              <w:t>12. Vario masės koncentracija, mg/kg, ne didesnė kaip</w:t>
            </w:r>
          </w:p>
        </w:tc>
        <w:tc>
          <w:tcPr>
            <w:tcW w:w="3112" w:type="dxa"/>
          </w:tcPr>
          <w:p w14:paraId="39A5EF2B" w14:textId="77777777" w:rsidR="00C96628" w:rsidRPr="00A81F3A" w:rsidRDefault="00C96628" w:rsidP="00E030CD">
            <w:pPr>
              <w:widowControl w:val="0"/>
              <w:jc w:val="center"/>
              <w:rPr>
                <w:noProof/>
                <w:szCs w:val="24"/>
              </w:rPr>
            </w:pPr>
            <w:r w:rsidRPr="00A81F3A">
              <w:rPr>
                <w:szCs w:val="24"/>
              </w:rPr>
              <w:t>0,2</w:t>
            </w:r>
          </w:p>
        </w:tc>
      </w:tr>
      <w:tr w:rsidR="00C96628" w:rsidRPr="00A81F3A" w14:paraId="3CC9A9F8" w14:textId="77777777" w:rsidTr="00E030CD">
        <w:tc>
          <w:tcPr>
            <w:tcW w:w="6516" w:type="dxa"/>
          </w:tcPr>
          <w:p w14:paraId="63718CE0" w14:textId="77777777" w:rsidR="00C96628" w:rsidRPr="00A81F3A" w:rsidRDefault="00C96628" w:rsidP="00E030CD">
            <w:pPr>
              <w:widowControl w:val="0"/>
              <w:rPr>
                <w:noProof/>
                <w:szCs w:val="24"/>
              </w:rPr>
            </w:pPr>
            <w:r w:rsidRPr="00A81F3A">
              <w:rPr>
                <w:szCs w:val="24"/>
              </w:rPr>
              <w:t>13. Cinko masės koncentracija, mg/kg, ne didesnė kaip</w:t>
            </w:r>
          </w:p>
        </w:tc>
        <w:tc>
          <w:tcPr>
            <w:tcW w:w="3112" w:type="dxa"/>
          </w:tcPr>
          <w:p w14:paraId="163650E2" w14:textId="77777777" w:rsidR="00C96628" w:rsidRPr="00A81F3A" w:rsidRDefault="00C96628" w:rsidP="00E030CD">
            <w:pPr>
              <w:widowControl w:val="0"/>
              <w:jc w:val="center"/>
              <w:rPr>
                <w:noProof/>
                <w:szCs w:val="24"/>
              </w:rPr>
            </w:pPr>
            <w:r w:rsidRPr="00A81F3A">
              <w:rPr>
                <w:szCs w:val="24"/>
              </w:rPr>
              <w:t>0,2</w:t>
            </w:r>
          </w:p>
        </w:tc>
      </w:tr>
      <w:tr w:rsidR="00C96628" w:rsidRPr="00A81F3A" w14:paraId="1AB81A34" w14:textId="77777777" w:rsidTr="00E030CD">
        <w:tc>
          <w:tcPr>
            <w:tcW w:w="6516" w:type="dxa"/>
          </w:tcPr>
          <w:p w14:paraId="1F8A6DF5" w14:textId="77777777" w:rsidR="00C96628" w:rsidRPr="00A81F3A" w:rsidRDefault="00C96628" w:rsidP="00E030CD">
            <w:pPr>
              <w:widowControl w:val="0"/>
              <w:rPr>
                <w:noProof/>
                <w:szCs w:val="24"/>
              </w:rPr>
            </w:pPr>
            <w:r w:rsidRPr="00A81F3A">
              <w:rPr>
                <w:szCs w:val="24"/>
              </w:rPr>
              <w:t>14. Chromo masės koncentracija, mg/kg, ne didesnė kaip</w:t>
            </w:r>
          </w:p>
        </w:tc>
        <w:tc>
          <w:tcPr>
            <w:tcW w:w="3112" w:type="dxa"/>
          </w:tcPr>
          <w:p w14:paraId="1CA901D5" w14:textId="77777777" w:rsidR="00C96628" w:rsidRPr="00A81F3A" w:rsidRDefault="00C96628" w:rsidP="00E030CD">
            <w:pPr>
              <w:widowControl w:val="0"/>
              <w:jc w:val="center"/>
              <w:rPr>
                <w:noProof/>
                <w:szCs w:val="24"/>
              </w:rPr>
            </w:pPr>
            <w:r w:rsidRPr="00A81F3A">
              <w:rPr>
                <w:szCs w:val="24"/>
              </w:rPr>
              <w:t>0,2</w:t>
            </w:r>
          </w:p>
        </w:tc>
      </w:tr>
      <w:tr w:rsidR="00C96628" w:rsidRPr="00A81F3A" w14:paraId="29C42100" w14:textId="77777777" w:rsidTr="00E030CD">
        <w:tc>
          <w:tcPr>
            <w:tcW w:w="6516" w:type="dxa"/>
          </w:tcPr>
          <w:p w14:paraId="23D1FDDB" w14:textId="77777777" w:rsidR="00C96628" w:rsidRPr="00A81F3A" w:rsidRDefault="00C96628" w:rsidP="00E030CD">
            <w:pPr>
              <w:widowControl w:val="0"/>
              <w:rPr>
                <w:noProof/>
                <w:szCs w:val="24"/>
              </w:rPr>
            </w:pPr>
            <w:r w:rsidRPr="00A81F3A">
              <w:rPr>
                <w:szCs w:val="24"/>
              </w:rPr>
              <w:t>15. Nikelio masės koncentracija, mg/kg, ne didesnė kaip</w:t>
            </w:r>
          </w:p>
        </w:tc>
        <w:tc>
          <w:tcPr>
            <w:tcW w:w="3112" w:type="dxa"/>
          </w:tcPr>
          <w:p w14:paraId="4A04808B" w14:textId="77777777" w:rsidR="00C96628" w:rsidRPr="00A81F3A" w:rsidRDefault="00C96628" w:rsidP="00E030CD">
            <w:pPr>
              <w:widowControl w:val="0"/>
              <w:jc w:val="center"/>
              <w:rPr>
                <w:noProof/>
                <w:szCs w:val="24"/>
              </w:rPr>
            </w:pPr>
            <w:r w:rsidRPr="00A81F3A">
              <w:rPr>
                <w:szCs w:val="24"/>
              </w:rPr>
              <w:t>0,2</w:t>
            </w:r>
          </w:p>
        </w:tc>
      </w:tr>
      <w:tr w:rsidR="00C96628" w:rsidRPr="00A81F3A" w14:paraId="59078F30" w14:textId="77777777" w:rsidTr="00E030CD">
        <w:tc>
          <w:tcPr>
            <w:tcW w:w="6516" w:type="dxa"/>
          </w:tcPr>
          <w:p w14:paraId="6432C1EF" w14:textId="77777777" w:rsidR="00C96628" w:rsidRPr="00A81F3A" w:rsidRDefault="00C96628" w:rsidP="00E030CD">
            <w:pPr>
              <w:widowControl w:val="0"/>
              <w:rPr>
                <w:noProof/>
                <w:szCs w:val="24"/>
              </w:rPr>
            </w:pPr>
            <w:r w:rsidRPr="00A81F3A">
              <w:rPr>
                <w:szCs w:val="24"/>
              </w:rPr>
              <w:t>16. Magnio masės koncentracija, mg/kg, ne didesnė kaip</w:t>
            </w:r>
          </w:p>
        </w:tc>
        <w:tc>
          <w:tcPr>
            <w:tcW w:w="3112" w:type="dxa"/>
          </w:tcPr>
          <w:p w14:paraId="0A46CBDD" w14:textId="77777777" w:rsidR="00C96628" w:rsidRPr="00A81F3A" w:rsidRDefault="00C96628" w:rsidP="00E030CD">
            <w:pPr>
              <w:widowControl w:val="0"/>
              <w:jc w:val="center"/>
              <w:rPr>
                <w:noProof/>
                <w:szCs w:val="24"/>
              </w:rPr>
            </w:pPr>
            <w:r w:rsidRPr="00A81F3A">
              <w:rPr>
                <w:szCs w:val="24"/>
              </w:rPr>
              <w:t>0,5</w:t>
            </w:r>
          </w:p>
        </w:tc>
      </w:tr>
      <w:tr w:rsidR="00C96628" w:rsidRPr="00A81F3A" w14:paraId="2BE1D327" w14:textId="77777777" w:rsidTr="00E030CD">
        <w:tc>
          <w:tcPr>
            <w:tcW w:w="6516" w:type="dxa"/>
          </w:tcPr>
          <w:p w14:paraId="120CFD3B" w14:textId="77777777" w:rsidR="00C96628" w:rsidRPr="00A81F3A" w:rsidRDefault="00C96628" w:rsidP="00E030CD">
            <w:pPr>
              <w:widowControl w:val="0"/>
              <w:rPr>
                <w:noProof/>
                <w:szCs w:val="24"/>
              </w:rPr>
            </w:pPr>
            <w:r w:rsidRPr="00A81F3A">
              <w:rPr>
                <w:szCs w:val="24"/>
              </w:rPr>
              <w:t>17. Natrio masės koncentracija, mg/kg, ne didesnė kaip</w:t>
            </w:r>
          </w:p>
        </w:tc>
        <w:tc>
          <w:tcPr>
            <w:tcW w:w="3112" w:type="dxa"/>
          </w:tcPr>
          <w:p w14:paraId="175B7D47" w14:textId="77777777" w:rsidR="00C96628" w:rsidRPr="00A81F3A" w:rsidRDefault="00C96628" w:rsidP="00E030CD">
            <w:pPr>
              <w:widowControl w:val="0"/>
              <w:jc w:val="center"/>
              <w:rPr>
                <w:noProof/>
                <w:szCs w:val="24"/>
              </w:rPr>
            </w:pPr>
            <w:r w:rsidRPr="00A81F3A">
              <w:rPr>
                <w:noProof/>
                <w:szCs w:val="24"/>
              </w:rPr>
              <w:t>0,5</w:t>
            </w:r>
          </w:p>
        </w:tc>
      </w:tr>
      <w:tr w:rsidR="00C96628" w:rsidRPr="00A81F3A" w14:paraId="03C9D80D" w14:textId="77777777" w:rsidTr="00E030CD">
        <w:tc>
          <w:tcPr>
            <w:tcW w:w="6516" w:type="dxa"/>
          </w:tcPr>
          <w:p w14:paraId="116E4827" w14:textId="77777777" w:rsidR="00C96628" w:rsidRPr="00A81F3A" w:rsidRDefault="00C96628" w:rsidP="00E030CD">
            <w:pPr>
              <w:widowControl w:val="0"/>
              <w:rPr>
                <w:noProof/>
                <w:szCs w:val="24"/>
              </w:rPr>
            </w:pPr>
            <w:r w:rsidRPr="00A81F3A">
              <w:rPr>
                <w:szCs w:val="24"/>
              </w:rPr>
              <w:t>18. Kalio masės koncentracija, mg/kg, ne didesnė kaip</w:t>
            </w:r>
          </w:p>
        </w:tc>
        <w:tc>
          <w:tcPr>
            <w:tcW w:w="3112" w:type="dxa"/>
          </w:tcPr>
          <w:p w14:paraId="4ED2B07F" w14:textId="77777777" w:rsidR="00C96628" w:rsidRPr="00A81F3A" w:rsidRDefault="00C96628" w:rsidP="00E030CD">
            <w:pPr>
              <w:widowControl w:val="0"/>
              <w:jc w:val="center"/>
              <w:rPr>
                <w:noProof/>
                <w:szCs w:val="24"/>
              </w:rPr>
            </w:pPr>
            <w:r w:rsidRPr="00A81F3A">
              <w:rPr>
                <w:noProof/>
                <w:szCs w:val="24"/>
              </w:rPr>
              <w:t>0,5</w:t>
            </w:r>
          </w:p>
        </w:tc>
      </w:tr>
      <w:tr w:rsidR="00C96628" w:rsidRPr="00A81F3A" w14:paraId="695D060E" w14:textId="77777777" w:rsidTr="00E030CD">
        <w:tc>
          <w:tcPr>
            <w:tcW w:w="6516" w:type="dxa"/>
          </w:tcPr>
          <w:p w14:paraId="71720B04" w14:textId="77777777" w:rsidR="00C96628" w:rsidRPr="00A81F3A" w:rsidRDefault="00C96628" w:rsidP="00E030CD">
            <w:pPr>
              <w:widowControl w:val="0"/>
              <w:rPr>
                <w:noProof/>
                <w:szCs w:val="24"/>
              </w:rPr>
            </w:pPr>
            <w:r w:rsidRPr="00A81F3A">
              <w:rPr>
                <w:szCs w:val="24"/>
              </w:rPr>
              <w:t>19. Identiškumas, TAIP/NE</w:t>
            </w:r>
          </w:p>
        </w:tc>
        <w:tc>
          <w:tcPr>
            <w:tcW w:w="3112" w:type="dxa"/>
          </w:tcPr>
          <w:p w14:paraId="3F1D7D4F" w14:textId="77777777" w:rsidR="00C96628" w:rsidRPr="00A81F3A" w:rsidRDefault="00C96628" w:rsidP="00E030CD">
            <w:pPr>
              <w:widowControl w:val="0"/>
              <w:jc w:val="center"/>
              <w:rPr>
                <w:noProof/>
                <w:szCs w:val="24"/>
              </w:rPr>
            </w:pPr>
            <w:r w:rsidRPr="00A81F3A">
              <w:rPr>
                <w:noProof/>
                <w:szCs w:val="24"/>
              </w:rPr>
              <w:t>TAIP</w:t>
            </w:r>
          </w:p>
        </w:tc>
      </w:tr>
    </w:tbl>
    <w:p w14:paraId="7A3D414F" w14:textId="77777777" w:rsidR="00F73427" w:rsidRDefault="00F73427" w:rsidP="00F73427">
      <w:pPr>
        <w:autoSpaceDE w:val="0"/>
        <w:autoSpaceDN w:val="0"/>
        <w:adjustRightInd w:val="0"/>
        <w:rPr>
          <w:noProof/>
          <w:szCs w:val="24"/>
        </w:rPr>
      </w:pPr>
      <w:r>
        <w:rPr>
          <w:noProof/>
          <w:szCs w:val="24"/>
        </w:rPr>
        <w:t xml:space="preserve">           </w:t>
      </w:r>
    </w:p>
    <w:p w14:paraId="53140843" w14:textId="0D0F478E" w:rsidR="00F73427" w:rsidRPr="003C0630" w:rsidRDefault="00C96628" w:rsidP="003C0630">
      <w:pPr>
        <w:pStyle w:val="Sraopastraipa"/>
        <w:numPr>
          <w:ilvl w:val="0"/>
          <w:numId w:val="2"/>
        </w:numPr>
        <w:autoSpaceDE w:val="0"/>
        <w:autoSpaceDN w:val="0"/>
        <w:adjustRightInd w:val="0"/>
        <w:ind w:left="0" w:firstLine="851"/>
        <w:rPr>
          <w:szCs w:val="24"/>
        </w:rPr>
      </w:pPr>
      <w:r w:rsidRPr="003C0630">
        <w:rPr>
          <w:noProof/>
          <w:szCs w:val="24"/>
        </w:rPr>
        <w:t xml:space="preserve">Numatomas Prekių </w:t>
      </w:r>
      <w:r w:rsidR="00EC1A48" w:rsidRPr="003C0630">
        <w:rPr>
          <w:noProof/>
          <w:szCs w:val="24"/>
        </w:rPr>
        <w:t>užsakymo</w:t>
      </w:r>
      <w:r w:rsidRPr="003C0630">
        <w:rPr>
          <w:noProof/>
          <w:szCs w:val="24"/>
        </w:rPr>
        <w:t xml:space="preserve"> laikotarpis – </w:t>
      </w:r>
      <w:r w:rsidR="001A61CD" w:rsidRPr="003C0630">
        <w:rPr>
          <w:noProof/>
          <w:szCs w:val="24"/>
        </w:rPr>
        <w:t>5</w:t>
      </w:r>
      <w:r w:rsidR="006753EA" w:rsidRPr="003C0630">
        <w:rPr>
          <w:noProof/>
          <w:szCs w:val="24"/>
        </w:rPr>
        <w:t xml:space="preserve"> </w:t>
      </w:r>
      <w:r w:rsidR="00012B88" w:rsidRPr="003C0630">
        <w:rPr>
          <w:noProof/>
          <w:szCs w:val="24"/>
        </w:rPr>
        <w:t>(</w:t>
      </w:r>
      <w:r w:rsidR="001A61CD" w:rsidRPr="003C0630">
        <w:rPr>
          <w:noProof/>
          <w:szCs w:val="24"/>
        </w:rPr>
        <w:t>penki</w:t>
      </w:r>
      <w:r w:rsidR="00012B88" w:rsidRPr="003C0630">
        <w:rPr>
          <w:noProof/>
          <w:szCs w:val="24"/>
        </w:rPr>
        <w:t>) mėnesi</w:t>
      </w:r>
      <w:r w:rsidR="006753EA" w:rsidRPr="003C0630">
        <w:rPr>
          <w:noProof/>
          <w:szCs w:val="24"/>
        </w:rPr>
        <w:t xml:space="preserve">ai </w:t>
      </w:r>
      <w:r w:rsidRPr="003C0630">
        <w:rPr>
          <w:noProof/>
          <w:szCs w:val="24"/>
        </w:rPr>
        <w:t>nuo pirkimo sutarties įsigaliojmo dienos</w:t>
      </w:r>
      <w:r w:rsidR="0030594B" w:rsidRPr="003C0630">
        <w:rPr>
          <w:noProof/>
          <w:szCs w:val="24"/>
        </w:rPr>
        <w:t xml:space="preserve">; t.y. 2025 metų </w:t>
      </w:r>
      <w:r w:rsidR="00F90E8E" w:rsidRPr="003C0630">
        <w:rPr>
          <w:noProof/>
          <w:szCs w:val="24"/>
        </w:rPr>
        <w:t>birželio</w:t>
      </w:r>
      <w:r w:rsidR="0030594B" w:rsidRPr="003C0630">
        <w:rPr>
          <w:noProof/>
          <w:szCs w:val="24"/>
        </w:rPr>
        <w:t xml:space="preserve"> 2</w:t>
      </w:r>
      <w:r w:rsidR="00F90E8E" w:rsidRPr="003C0630">
        <w:rPr>
          <w:noProof/>
          <w:szCs w:val="24"/>
        </w:rPr>
        <w:t>7</w:t>
      </w:r>
      <w:r w:rsidR="0030594B" w:rsidRPr="003C0630">
        <w:rPr>
          <w:noProof/>
          <w:szCs w:val="24"/>
        </w:rPr>
        <w:t xml:space="preserve"> d.</w:t>
      </w:r>
      <w:r w:rsidRPr="003C0630">
        <w:rPr>
          <w:noProof/>
          <w:szCs w:val="24"/>
        </w:rPr>
        <w:t xml:space="preserve"> </w:t>
      </w:r>
    </w:p>
    <w:p w14:paraId="122195AE" w14:textId="510A68E3" w:rsidR="007105D3" w:rsidRPr="003C0630" w:rsidRDefault="00C96628" w:rsidP="003C0630">
      <w:pPr>
        <w:pStyle w:val="Sraopastraipa"/>
        <w:numPr>
          <w:ilvl w:val="0"/>
          <w:numId w:val="2"/>
        </w:numPr>
        <w:ind w:left="0" w:firstLine="851"/>
        <w:rPr>
          <w:szCs w:val="24"/>
        </w:rPr>
      </w:pPr>
      <w:r w:rsidRPr="003C0630">
        <w:rPr>
          <w:rFonts w:eastAsia="Calibri"/>
          <w:noProof/>
          <w:szCs w:val="24"/>
        </w:rPr>
        <w:t>Perkamas AdBlue skystis turi atitikti</w:t>
      </w:r>
      <w:r w:rsidRPr="003C0630">
        <w:rPr>
          <w:noProof/>
          <w:color w:val="000000"/>
          <w:szCs w:val="24"/>
        </w:rPr>
        <w:t xml:space="preserve"> ISO 22241-1 kokybės </w:t>
      </w:r>
      <w:r w:rsidRPr="003C0630">
        <w:rPr>
          <w:rFonts w:eastAsia="Calibri"/>
          <w:noProof/>
          <w:szCs w:val="24"/>
        </w:rPr>
        <w:t>standartų reikalavimus</w:t>
      </w:r>
      <w:r w:rsidR="007105D3" w:rsidRPr="003C0630">
        <w:rPr>
          <w:rFonts w:eastAsia="Calibri"/>
          <w:noProof/>
          <w:szCs w:val="24"/>
        </w:rPr>
        <w:t xml:space="preserve"> </w:t>
      </w:r>
      <w:r w:rsidR="007105D3" w:rsidRPr="003C0630">
        <w:rPr>
          <w:szCs w:val="24"/>
          <w:lang w:eastAsia="lt-LT"/>
        </w:rPr>
        <w:t>(dokumentus pateikti kartu su pristatomomis prekėmis (pirmą kartą).</w:t>
      </w:r>
    </w:p>
    <w:p w14:paraId="4C2F1693" w14:textId="257C31A2" w:rsidR="00C96628" w:rsidRPr="003C0630" w:rsidRDefault="00C96628" w:rsidP="003C0630">
      <w:pPr>
        <w:pStyle w:val="Sraopastraipa"/>
        <w:widowControl w:val="0"/>
        <w:numPr>
          <w:ilvl w:val="0"/>
          <w:numId w:val="2"/>
        </w:numPr>
        <w:ind w:left="0" w:firstLine="851"/>
        <w:rPr>
          <w:szCs w:val="24"/>
        </w:rPr>
      </w:pPr>
      <w:r w:rsidRPr="003C0630">
        <w:rPr>
          <w:noProof/>
          <w:szCs w:val="24"/>
        </w:rPr>
        <w:t>AdBlue skystis turės būti pristatomas</w:t>
      </w:r>
      <w:r w:rsidR="00AB114C" w:rsidRPr="003C0630">
        <w:rPr>
          <w:noProof/>
          <w:szCs w:val="24"/>
        </w:rPr>
        <w:t xml:space="preserve"> autocisternomis arba 1000 L keičiamomis talpomis</w:t>
      </w:r>
      <w:r w:rsidRPr="003C0630">
        <w:rPr>
          <w:noProof/>
          <w:szCs w:val="24"/>
        </w:rPr>
        <w:t xml:space="preserve"> adresu – </w:t>
      </w:r>
      <w:r w:rsidRPr="003C0630">
        <w:rPr>
          <w:szCs w:val="24"/>
        </w:rPr>
        <w:t>Raudondvario pl. 105, LT-47185 Kaunas.</w:t>
      </w:r>
      <w:r w:rsidR="00012B88" w:rsidRPr="003C0630">
        <w:rPr>
          <w:szCs w:val="24"/>
        </w:rPr>
        <w:t xml:space="preserve"> Minimalus dienos suvartojimas </w:t>
      </w:r>
      <w:r w:rsidR="00194F25" w:rsidRPr="003C0630">
        <w:rPr>
          <w:szCs w:val="24"/>
        </w:rPr>
        <w:t xml:space="preserve">litrais – </w:t>
      </w:r>
      <w:r w:rsidR="00AB114C" w:rsidRPr="003C0630">
        <w:rPr>
          <w:szCs w:val="24"/>
        </w:rPr>
        <w:t>6</w:t>
      </w:r>
      <w:r w:rsidR="00012B88" w:rsidRPr="003C0630">
        <w:rPr>
          <w:szCs w:val="24"/>
        </w:rPr>
        <w:t>0</w:t>
      </w:r>
      <w:r w:rsidR="00194F25" w:rsidRPr="003C0630">
        <w:rPr>
          <w:szCs w:val="24"/>
        </w:rPr>
        <w:t>0.</w:t>
      </w:r>
    </w:p>
    <w:p w14:paraId="4581F26C" w14:textId="3EC3D89C" w:rsidR="00C96628" w:rsidRPr="003C0630" w:rsidRDefault="00C96628" w:rsidP="003C0630">
      <w:pPr>
        <w:pStyle w:val="Sraopastraipa"/>
        <w:numPr>
          <w:ilvl w:val="0"/>
          <w:numId w:val="2"/>
        </w:numPr>
        <w:ind w:left="0" w:firstLine="851"/>
        <w:rPr>
          <w:noProof/>
          <w:szCs w:val="24"/>
          <w:vertAlign w:val="superscript"/>
        </w:rPr>
      </w:pPr>
      <w:r w:rsidRPr="003C0630">
        <w:rPr>
          <w:noProof/>
          <w:szCs w:val="24"/>
          <w:lang w:eastAsia="lt-LT"/>
        </w:rPr>
        <w:t xml:space="preserve">AdBlue skystis bus perkamas pagal atskirus Perkančiojo subjekto užsakymus, teikiamas raštu arba žodžiu. Užsakytas AdBlue skystis turi būti pristatytas ne vėliau kaip per 24 val. nuo Perkančiojo subjekto tiekėjui pateikto užsakymo momento. AdBlue skystis gali būti pristatomas ir pagal pirkimo šalių iš anksto suderintus pristatymo grafikus. AdBlue skysčio pristatymas </w:t>
      </w:r>
      <w:r w:rsidR="00F40172" w:rsidRPr="003C0630">
        <w:rPr>
          <w:noProof/>
          <w:szCs w:val="24"/>
          <w:lang w:eastAsia="lt-LT"/>
        </w:rPr>
        <w:t xml:space="preserve">vyksta </w:t>
      </w:r>
      <w:r w:rsidR="002C5E9D" w:rsidRPr="003C0630">
        <w:rPr>
          <w:noProof/>
          <w:szCs w:val="24"/>
          <w:lang w:eastAsia="lt-LT"/>
        </w:rPr>
        <w:t xml:space="preserve">pirmadieniais – ketvirtadieniais </w:t>
      </w:r>
      <w:r w:rsidRPr="003C0630">
        <w:rPr>
          <w:noProof/>
          <w:szCs w:val="24"/>
          <w:lang w:eastAsia="lt-LT"/>
        </w:rPr>
        <w:t>nuo 0</w:t>
      </w:r>
      <w:r w:rsidR="00A20358" w:rsidRPr="003C0630">
        <w:rPr>
          <w:noProof/>
          <w:szCs w:val="24"/>
          <w:lang w:eastAsia="lt-LT"/>
        </w:rPr>
        <w:t>9</w:t>
      </w:r>
      <w:r w:rsidRPr="003C0630">
        <w:rPr>
          <w:noProof/>
          <w:szCs w:val="24"/>
          <w:lang w:eastAsia="lt-LT"/>
        </w:rPr>
        <w:t xml:space="preserve">.00 iki </w:t>
      </w:r>
      <w:r w:rsidR="00013539" w:rsidRPr="003C0630">
        <w:rPr>
          <w:noProof/>
          <w:szCs w:val="24"/>
          <w:lang w:eastAsia="lt-LT"/>
        </w:rPr>
        <w:t>1</w:t>
      </w:r>
      <w:r w:rsidR="003C0630" w:rsidRPr="003C0630">
        <w:rPr>
          <w:noProof/>
          <w:szCs w:val="24"/>
          <w:lang w:eastAsia="lt-LT"/>
        </w:rPr>
        <w:t>5</w:t>
      </w:r>
      <w:r w:rsidR="00013539" w:rsidRPr="003C0630">
        <w:rPr>
          <w:noProof/>
          <w:szCs w:val="24"/>
          <w:lang w:eastAsia="lt-LT"/>
        </w:rPr>
        <w:t>.</w:t>
      </w:r>
      <w:r w:rsidR="00A20358" w:rsidRPr="003C0630">
        <w:rPr>
          <w:noProof/>
          <w:szCs w:val="24"/>
          <w:lang w:eastAsia="lt-LT"/>
        </w:rPr>
        <w:t>0</w:t>
      </w:r>
      <w:r w:rsidR="00013539" w:rsidRPr="003C0630">
        <w:rPr>
          <w:noProof/>
          <w:szCs w:val="24"/>
          <w:lang w:eastAsia="lt-LT"/>
        </w:rPr>
        <w:t>0</w:t>
      </w:r>
      <w:r w:rsidRPr="003C0630">
        <w:rPr>
          <w:noProof/>
          <w:szCs w:val="24"/>
          <w:lang w:eastAsia="lt-LT"/>
        </w:rPr>
        <w:t xml:space="preserve"> valandos</w:t>
      </w:r>
      <w:r w:rsidR="002C5E9D" w:rsidRPr="003C0630">
        <w:rPr>
          <w:noProof/>
          <w:szCs w:val="24"/>
          <w:lang w:eastAsia="lt-LT"/>
        </w:rPr>
        <w:t>, penktadieniais nuo 0</w:t>
      </w:r>
      <w:r w:rsidR="00A20358" w:rsidRPr="003C0630">
        <w:rPr>
          <w:noProof/>
          <w:szCs w:val="24"/>
          <w:lang w:eastAsia="lt-LT"/>
        </w:rPr>
        <w:t>9</w:t>
      </w:r>
      <w:r w:rsidR="002C5E9D" w:rsidRPr="003C0630">
        <w:rPr>
          <w:noProof/>
          <w:szCs w:val="24"/>
          <w:lang w:eastAsia="lt-LT"/>
        </w:rPr>
        <w:t>.00 iki 1</w:t>
      </w:r>
      <w:r w:rsidR="003C0630" w:rsidRPr="003C0630">
        <w:rPr>
          <w:noProof/>
          <w:szCs w:val="24"/>
          <w:lang w:eastAsia="lt-LT"/>
        </w:rPr>
        <w:t>4</w:t>
      </w:r>
      <w:r w:rsidR="002C5E9D" w:rsidRPr="003C0630">
        <w:rPr>
          <w:noProof/>
          <w:szCs w:val="24"/>
          <w:lang w:eastAsia="lt-LT"/>
        </w:rPr>
        <w:t>.00 val.</w:t>
      </w:r>
    </w:p>
    <w:p w14:paraId="78BAB196" w14:textId="7B0C232E" w:rsidR="00013539" w:rsidRPr="003C0630" w:rsidRDefault="00013539" w:rsidP="003C0630">
      <w:pPr>
        <w:pStyle w:val="Sraopastraipa"/>
        <w:numPr>
          <w:ilvl w:val="0"/>
          <w:numId w:val="2"/>
        </w:numPr>
        <w:ind w:left="0" w:firstLine="851"/>
        <w:rPr>
          <w:szCs w:val="24"/>
        </w:rPr>
      </w:pPr>
      <w:r w:rsidRPr="003C0630">
        <w:rPr>
          <w:bCs/>
          <w:szCs w:val="24"/>
        </w:rPr>
        <w:t xml:space="preserve">Pirkimas laikomas </w:t>
      </w:r>
      <w:r w:rsidRPr="003C0630">
        <w:rPr>
          <w:b/>
          <w:szCs w:val="24"/>
        </w:rPr>
        <w:t>žaliuoju pirkimu</w:t>
      </w:r>
      <w:r w:rsidRPr="003C0630">
        <w:rPr>
          <w:bCs/>
          <w:szCs w:val="24"/>
        </w:rPr>
        <w:t xml:space="preserve"> nes </w:t>
      </w:r>
      <w:r w:rsidRPr="003C0630">
        <w:rPr>
          <w:szCs w:val="24"/>
        </w:rPr>
        <w:t xml:space="preserve">vadovaujantis Lietuvos Respublikos aplinkos ministro 2011 m. birželio 28 d. įsakymo Nr. D1-508 „Dėl Aplinkos apsaugos kriterijų taikymo, vykdant žaliuosius pirkimus, tvarkos aprašo patvirtinimo“ (2022 m. gruodžio 13 d. Nr. D1-401 redakcija) (toliau – Tvarkos aprašas) 4.4.4.1. papunkčiu, pirkimo sutartyje nustatomos sąlygos, kad vykdant pirkimo sutartį tiekėjas turi laikytis šių aplinkosaugos reikalavimų: 1) 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 2) Siekti, kad tiekiant Prekes būtų sunaudojama mažiau gamtos išteklių, t. y. siekti, kad Tiekėjo darbuotojai, tiekiantys Prekes, atvykimui į Prekių tiekimo vietą pasirinktų optimalų maršrutą </w:t>
      </w:r>
      <w:r w:rsidRPr="003C0630">
        <w:rPr>
          <w:szCs w:val="24"/>
        </w:rPr>
        <w:lastRenderedPageBreak/>
        <w:t>ir rinktųsi netaršias transporto priemones, kad Prekių tiekimo metu nebūtų teršiama aplinka ir keliamas pavojus sveikatai.</w:t>
      </w:r>
    </w:p>
    <w:p w14:paraId="41E7B270" w14:textId="7CB889F1" w:rsidR="003C0630" w:rsidRDefault="003C0630" w:rsidP="0042078E">
      <w:pPr>
        <w:ind w:firstLine="851"/>
        <w:rPr>
          <w:szCs w:val="24"/>
        </w:rPr>
      </w:pPr>
      <w:r>
        <w:rPr>
          <w:szCs w:val="24"/>
        </w:rPr>
        <w:t xml:space="preserve">Perkantysis subjektas. Tiekėjo pateiktus įrodymus dėl šio reikalavimo laikymosi tikrina sutarties vykdymo metu. </w:t>
      </w:r>
    </w:p>
    <w:p w14:paraId="253DFE17" w14:textId="6BE75D8E" w:rsidR="00C96628" w:rsidRPr="003C0630" w:rsidRDefault="003C0630" w:rsidP="003C0630">
      <w:pPr>
        <w:pStyle w:val="Sraopastraipa"/>
        <w:numPr>
          <w:ilvl w:val="0"/>
          <w:numId w:val="2"/>
        </w:numPr>
        <w:ind w:left="0" w:firstLine="851"/>
        <w:rPr>
          <w:szCs w:val="24"/>
        </w:rPr>
      </w:pPr>
      <w:r w:rsidRPr="003C0630">
        <w:rPr>
          <w:szCs w:val="24"/>
        </w:rPr>
        <w:t>Tiekėjas pateikdamas pasiūlymą įsipareigoja laikytis visų specifikacijos 8 punkte nurodytų aplinkosauginių reikalavimų</w:t>
      </w:r>
    </w:p>
    <w:sectPr w:rsidR="00C96628" w:rsidRPr="003C0630" w:rsidSect="003C0630">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25FBC"/>
    <w:multiLevelType w:val="hybridMultilevel"/>
    <w:tmpl w:val="4014D1A6"/>
    <w:lvl w:ilvl="0" w:tplc="C24094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06061A0"/>
    <w:multiLevelType w:val="multilevel"/>
    <w:tmpl w:val="80D00A4E"/>
    <w:lvl w:ilvl="0">
      <w:start w:val="1"/>
      <w:numFmt w:val="decimal"/>
      <w:lvlText w:val="%1."/>
      <w:lvlJc w:val="left"/>
      <w:pPr>
        <w:ind w:left="360" w:hanging="360"/>
      </w:pPr>
    </w:lvl>
    <w:lvl w:ilvl="1">
      <w:start w:val="1"/>
      <w:numFmt w:val="decimal"/>
      <w:lvlText w:val="%1.%2."/>
      <w:lvlJc w:val="left"/>
      <w:pPr>
        <w:ind w:left="57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9741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4589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628"/>
    <w:rsid w:val="00012B88"/>
    <w:rsid w:val="00013539"/>
    <w:rsid w:val="00016AD4"/>
    <w:rsid w:val="000E01B2"/>
    <w:rsid w:val="00137A68"/>
    <w:rsid w:val="00153349"/>
    <w:rsid w:val="001576E9"/>
    <w:rsid w:val="00194F25"/>
    <w:rsid w:val="001A0718"/>
    <w:rsid w:val="001A61CD"/>
    <w:rsid w:val="002C5E9D"/>
    <w:rsid w:val="0030594B"/>
    <w:rsid w:val="00320FEC"/>
    <w:rsid w:val="00350F0A"/>
    <w:rsid w:val="00394CBC"/>
    <w:rsid w:val="003C0630"/>
    <w:rsid w:val="0042078E"/>
    <w:rsid w:val="00477C5C"/>
    <w:rsid w:val="004978B0"/>
    <w:rsid w:val="004A483F"/>
    <w:rsid w:val="006753EA"/>
    <w:rsid w:val="007105D3"/>
    <w:rsid w:val="007723FD"/>
    <w:rsid w:val="007D1338"/>
    <w:rsid w:val="00832589"/>
    <w:rsid w:val="009D0CBD"/>
    <w:rsid w:val="00A20358"/>
    <w:rsid w:val="00AB114C"/>
    <w:rsid w:val="00BD62B6"/>
    <w:rsid w:val="00BD7621"/>
    <w:rsid w:val="00C87B55"/>
    <w:rsid w:val="00C96628"/>
    <w:rsid w:val="00E22DBD"/>
    <w:rsid w:val="00EC1A48"/>
    <w:rsid w:val="00EC7A3B"/>
    <w:rsid w:val="00F40172"/>
    <w:rsid w:val="00F73427"/>
    <w:rsid w:val="00F90E8E"/>
    <w:rsid w:val="00FA34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09750"/>
  <w15:chartTrackingRefBased/>
  <w15:docId w15:val="{C9D41E0F-4833-472A-B6CB-58668680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6628"/>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4">
    <w:name w:val="Lentelės tinklelis4"/>
    <w:basedOn w:val="prastojilentel"/>
    <w:next w:val="Lentelstinklelis"/>
    <w:uiPriority w:val="39"/>
    <w:rsid w:val="00C96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96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C0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5257">
      <w:bodyDiv w:val="1"/>
      <w:marLeft w:val="0"/>
      <w:marRight w:val="0"/>
      <w:marTop w:val="0"/>
      <w:marBottom w:val="0"/>
      <w:divBdr>
        <w:top w:val="none" w:sz="0" w:space="0" w:color="auto"/>
        <w:left w:val="none" w:sz="0" w:space="0" w:color="auto"/>
        <w:bottom w:val="none" w:sz="0" w:space="0" w:color="auto"/>
        <w:right w:val="none" w:sz="0" w:space="0" w:color="auto"/>
      </w:divBdr>
    </w:div>
    <w:div w:id="405688976">
      <w:bodyDiv w:val="1"/>
      <w:marLeft w:val="0"/>
      <w:marRight w:val="0"/>
      <w:marTop w:val="0"/>
      <w:marBottom w:val="0"/>
      <w:divBdr>
        <w:top w:val="none" w:sz="0" w:space="0" w:color="auto"/>
        <w:left w:val="none" w:sz="0" w:space="0" w:color="auto"/>
        <w:bottom w:val="none" w:sz="0" w:space="0" w:color="auto"/>
        <w:right w:val="none" w:sz="0" w:space="0" w:color="auto"/>
      </w:divBdr>
    </w:div>
    <w:div w:id="129140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2575</Words>
  <Characters>1468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Klimašauskas</dc:creator>
  <cp:keywords/>
  <dc:description/>
  <cp:lastModifiedBy>Auksė Vyšniauskienė</cp:lastModifiedBy>
  <cp:revision>7</cp:revision>
  <cp:lastPrinted>2025-05-22T04:50:00Z</cp:lastPrinted>
  <dcterms:created xsi:type="dcterms:W3CDTF">2025-05-22T04:02:00Z</dcterms:created>
  <dcterms:modified xsi:type="dcterms:W3CDTF">2025-05-22T05:00:00Z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816bc67f-b3d8-4bee-a877-aec9a2b9e484</vt:lpwstr>
  </property>
</Properties>
</file>