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(8 37) 32 67 68,</w:t>
      </w:r>
    </w:p>
    <w:p w:rsidR="00B35758" w:rsidRPr="00854972" w:rsidRDefault="00B35758" w:rsidP="00B35758">
      <w:pPr>
        <w:pStyle w:val="Default"/>
        <w:jc w:val="center"/>
        <w:rPr>
          <w:rFonts w:ascii="Cambria" w:hAnsi="Cambria"/>
          <w:sz w:val="22"/>
        </w:rPr>
      </w:pPr>
      <w:r w:rsidRPr="00854972">
        <w:rPr>
          <w:rFonts w:ascii="Cambria" w:hAnsi="Cambria"/>
          <w:sz w:val="22"/>
        </w:rPr>
        <w:t>faks. (8 37)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3F314D" w:rsidP="00B35758">
      <w:pPr>
        <w:jc w:val="center"/>
        <w:rPr>
          <w:rFonts w:ascii="Cambria" w:hAnsi="Cambria"/>
          <w:b/>
          <w:sz w:val="22"/>
          <w:szCs w:val="22"/>
        </w:rPr>
      </w:pPr>
      <w:r>
        <w:rPr>
          <w:rFonts w:ascii="Cambria" w:hAnsi="Cambria"/>
          <w:b/>
          <w:sz w:val="22"/>
          <w:szCs w:val="22"/>
        </w:rPr>
        <w:t>SĖDIMIEJI</w:t>
      </w:r>
      <w:r w:rsidR="00703E2B">
        <w:rPr>
          <w:rFonts w:ascii="Cambria" w:hAnsi="Cambria"/>
          <w:b/>
          <w:sz w:val="22"/>
          <w:szCs w:val="22"/>
        </w:rPr>
        <w:t xml:space="preserve"> BALDAI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sidRPr="0088178B">
        <w:rPr>
          <w:rFonts w:ascii="Cambria" w:eastAsia="Calibri" w:hAnsi="Cambria"/>
          <w:sz w:val="22"/>
          <w:szCs w:val="22"/>
        </w:rPr>
        <w:t>ir siūlomų prekių charakteristikų pasiūlymo lentelė</w:t>
      </w:r>
      <w:r w:rsidR="0088178B">
        <w:rPr>
          <w:rFonts w:ascii="Cambria" w:eastAsia="Calibri" w:hAnsi="Cambria"/>
          <w:sz w:val="22"/>
          <w:szCs w:val="22"/>
        </w:rPr>
        <w:t xml:space="preserve"> (3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3F314D">
        <w:rPr>
          <w:rFonts w:ascii="Cambria" w:hAnsi="Cambria" w:cs="Times New Roman"/>
          <w:b/>
          <w:color w:val="548DD4" w:themeColor="text2" w:themeTint="99"/>
          <w:sz w:val="22"/>
          <w:szCs w:val="22"/>
          <w:lang w:val="lt-LT"/>
        </w:rPr>
        <w:t xml:space="preserve">sėdimuosius </w:t>
      </w:r>
      <w:r w:rsidR="00703E2B">
        <w:rPr>
          <w:rFonts w:ascii="Cambria" w:hAnsi="Cambria" w:cs="Times New Roman"/>
          <w:b/>
          <w:color w:val="548DD4" w:themeColor="text2" w:themeTint="99"/>
          <w:sz w:val="22"/>
          <w:szCs w:val="22"/>
          <w:lang w:val="lt-LT"/>
        </w:rPr>
        <w:t>baldus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9D723C" w:rsidRPr="00854972">
        <w:rPr>
          <w:rFonts w:ascii="Cambria" w:hAnsi="Cambria"/>
          <w:sz w:val="22"/>
          <w:szCs w:val="22"/>
        </w:rPr>
        <w:t>, tel. (+370</w:t>
      </w:r>
      <w:r w:rsidRPr="00854972">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3F314D">
        <w:rPr>
          <w:rFonts w:ascii="Cambria" w:hAnsi="Cambria"/>
          <w:b/>
        </w:rPr>
        <w:t>sėdimieji</w:t>
      </w:r>
      <w:r w:rsidR="00703E2B" w:rsidRPr="00757CB4">
        <w:rPr>
          <w:rFonts w:ascii="Cambria" w:hAnsi="Cambria"/>
          <w:b/>
        </w:rPr>
        <w:t xml:space="preserve"> baldai</w:t>
      </w:r>
      <w:r w:rsidR="00703E2B" w:rsidRPr="00703E2B">
        <w:rPr>
          <w:rFonts w:ascii="Cambria" w:hAnsi="Cambria"/>
          <w:b/>
          <w:bCs/>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CVP IS </w:t>
      </w:r>
      <w:r w:rsidR="00670BBC" w:rsidRPr="00854972">
        <w:rPr>
          <w:rFonts w:ascii="Cambria" w:hAnsi="Cambria"/>
          <w:iCs/>
          <w:sz w:val="22"/>
          <w:szCs w:val="22"/>
        </w:rPr>
        <w:t>2025-0</w:t>
      </w:r>
      <w:r w:rsidR="003F314D">
        <w:rPr>
          <w:rFonts w:ascii="Cambria" w:hAnsi="Cambria"/>
          <w:iCs/>
          <w:sz w:val="22"/>
          <w:szCs w:val="22"/>
        </w:rPr>
        <w:t>2</w:t>
      </w:r>
      <w:r w:rsidR="00936D07" w:rsidRPr="00854972">
        <w:rPr>
          <w:rFonts w:ascii="Cambria" w:hAnsi="Cambria"/>
          <w:iCs/>
          <w:sz w:val="22"/>
          <w:szCs w:val="22"/>
        </w:rPr>
        <w:t>-</w:t>
      </w:r>
      <w:r w:rsidR="003F314D">
        <w:rPr>
          <w:rFonts w:ascii="Cambria" w:hAnsi="Cambria"/>
          <w:iCs/>
          <w:sz w:val="22"/>
          <w:szCs w:val="22"/>
        </w:rPr>
        <w:t>21</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3F314D">
        <w:rPr>
          <w:rFonts w:ascii="Cambria" w:hAnsi="Cambria"/>
          <w:iCs/>
          <w:sz w:val="22"/>
          <w:szCs w:val="22"/>
        </w:rPr>
        <w:t>sėdimųjų</w:t>
      </w:r>
      <w:r w:rsidR="00703E2B">
        <w:rPr>
          <w:rFonts w:ascii="Cambria" w:hAnsi="Cambria"/>
          <w:iCs/>
          <w:sz w:val="22"/>
          <w:szCs w:val="22"/>
        </w:rPr>
        <w:t xml:space="preserve"> baldų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3F314D">
        <w:rPr>
          <w:rFonts w:ascii="Cambria" w:hAnsi="Cambria"/>
          <w:iCs/>
          <w:sz w:val="22"/>
          <w:szCs w:val="22"/>
        </w:rPr>
        <w:t>1313339</w:t>
      </w:r>
      <w:r w:rsidR="002A2874" w:rsidRPr="00854972">
        <w:rPr>
          <w:rFonts w:ascii="Cambria" w:hAnsi="Cambria"/>
          <w:iCs/>
          <w:sz w:val="22"/>
          <w:szCs w:val="22"/>
        </w:rPr>
        <w:t>.​</w:t>
      </w:r>
    </w:p>
    <w:p w:rsidR="003F314D" w:rsidRPr="003F314D" w:rsidRDefault="003F314D"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u w:val="single"/>
          <w:lang w:eastAsia="ar-SA"/>
        </w:rPr>
      </w:pPr>
      <w:r w:rsidRPr="003F314D">
        <w:rPr>
          <w:rFonts w:ascii="Cambria" w:hAnsi="Cambria"/>
          <w:lang w:eastAsia="lt-LT"/>
        </w:rPr>
        <w:t xml:space="preserve">Šis pirkimas į dalis </w:t>
      </w:r>
      <w:r w:rsidRPr="003F314D">
        <w:rPr>
          <w:rFonts w:ascii="Cambria" w:hAnsi="Cambria"/>
          <w:b/>
          <w:lang w:eastAsia="lt-LT"/>
        </w:rPr>
        <w:t>neskaidomas (viso viena pirkimo dalis)</w:t>
      </w:r>
      <w:r w:rsidRPr="003F314D">
        <w:rPr>
          <w:rFonts w:ascii="Cambria" w:hAnsi="Cambria"/>
          <w:lang w:eastAsia="lt-LT"/>
        </w:rPr>
        <w:t xml:space="preserve">, </w:t>
      </w:r>
      <w:r w:rsidRPr="00F55DF2">
        <w:rPr>
          <w:rFonts w:ascii="Cambria" w:hAnsi="Cambria"/>
          <w:lang w:eastAsia="lt-LT"/>
        </w:rPr>
        <w:t xml:space="preserve">nes perkamos prekės (sėdimieji baldai) yra vienos rūšies. </w:t>
      </w:r>
      <w:r w:rsidR="00050C25" w:rsidRPr="00F55DF2">
        <w:rPr>
          <w:rFonts w:ascii="Cambria" w:hAnsi="Cambria"/>
          <w:lang w:eastAsia="lt-LT"/>
        </w:rPr>
        <w:t>Skaidant pirkimą į atskiras pirkimo dalis ekonomiškai nenaudinga dėl išaugančių pristatymo išlaidų.</w:t>
      </w:r>
      <w:r w:rsidR="00127A5A">
        <w:rPr>
          <w:rFonts w:ascii="Cambria" w:hAnsi="Cambria"/>
          <w:lang w:eastAsia="lt-LT"/>
        </w:rPr>
        <w:t xml:space="preserve"> </w:t>
      </w:r>
      <w:r w:rsidRPr="003F314D">
        <w:rPr>
          <w:rFonts w:ascii="Cambria" w:hAnsi="Cambria"/>
          <w:lang w:eastAsia="lt-LT"/>
        </w:rPr>
        <w:t>Dalyvis gali pateikti tik vieną pasiūlymą visam pirkimui. Alternatyvūs pasiūlymai negalimi. Pasiūlymas turi būti pateiktas visai pirkimo sąlygų techninėje specifikacijoje nurodytai apimčiai, neskaidant jos smulkiau.</w:t>
      </w:r>
    </w:p>
    <w:p w:rsidR="00794FD4" w:rsidRPr="00854972"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854972">
        <w:rPr>
          <w:rFonts w:ascii="Cambria" w:hAnsi="Cambria"/>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w:t>
      </w:r>
      <w:r w:rsidR="00757CB4">
        <w:rPr>
          <w:rFonts w:ascii="Cambria" w:hAnsi="Cambria"/>
          <w:lang w:eastAsia="ar-SA"/>
        </w:rPr>
        <w:t>rkos aprašo patvirtinimo“, 4.1</w:t>
      </w:r>
      <w:r w:rsidR="00613C0D">
        <w:rPr>
          <w:rFonts w:ascii="Cambria" w:hAnsi="Cambria"/>
          <w:lang w:eastAsia="ar-SA"/>
        </w:rPr>
        <w:t>.</w:t>
      </w:r>
      <w:r w:rsidRPr="00854972">
        <w:rPr>
          <w:rFonts w:ascii="Cambria" w:hAnsi="Cambria"/>
          <w:lang w:eastAsia="ar-SA"/>
        </w:rPr>
        <w:t xml:space="preserve"> papunkčiu.</w:t>
      </w:r>
    </w:p>
    <w:p w:rsidR="00F704E1" w:rsidRPr="00854972" w:rsidRDefault="00F704E1" w:rsidP="00044DE1">
      <w:pPr>
        <w:pStyle w:val="ListParagraph"/>
        <w:numPr>
          <w:ilvl w:val="1"/>
          <w:numId w:val="36"/>
        </w:numPr>
        <w:tabs>
          <w:tab w:val="left" w:pos="567"/>
          <w:tab w:val="left" w:pos="993"/>
        </w:tabs>
        <w:ind w:left="0" w:firstLine="567"/>
        <w:jc w:val="both"/>
        <w:rPr>
          <w:rFonts w:ascii="Cambria" w:hAnsi="Cambria"/>
          <w:b/>
          <w:u w:val="single"/>
          <w:lang w:eastAsia="ar-SA"/>
        </w:rPr>
      </w:pPr>
      <w:r w:rsidRPr="00854972">
        <w:rPr>
          <w:rFonts w:ascii="Cambria" w:hAnsi="Cambria"/>
        </w:rPr>
        <w:t xml:space="preserve">Prekių pristatymo vieta yra </w:t>
      </w:r>
      <w:r w:rsidR="00317A16" w:rsidRPr="00317A16">
        <w:rPr>
          <w:rFonts w:ascii="Cambria" w:hAnsi="Cambria"/>
          <w:iCs/>
        </w:rPr>
        <w:t>Lietuvos sveikatos mokslų universiteto ligoninė Kauno klinikos adresas Eivenių g. 2, Kaunas ir filialai: Romainių ligoninė adresas Šilainių pl. 21, Kaunas;</w:t>
      </w:r>
      <w:r w:rsidR="00317A16" w:rsidRPr="00317A16">
        <w:rPr>
          <w:rFonts w:ascii="Cambria" w:hAnsi="Cambria"/>
        </w:rPr>
        <w:t xml:space="preserve"> Kulautuvos reabilitacijos ligoninė, adresas Akacijų al. 18, Kulautuva, Kauno r.; </w:t>
      </w:r>
      <w:r w:rsidR="00317A16" w:rsidRPr="00317A16">
        <w:rPr>
          <w:rFonts w:ascii="Cambria" w:hAnsi="Cambria"/>
          <w:iCs/>
        </w:rPr>
        <w:t>Onkologijos ligoninė, Volungių g. 16, LT-45433, Kaunas; Vaikų reabilitacijos ligoninė „Lopšelis“, adresas Lopšelio g. 10, Kaunas; Kauno klinikų darželis „Lašeliai“, adresas Žeimenos g. 106, Kaunas.</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613C0D" w:rsidRPr="00317A16" w:rsidRDefault="00F704E1" w:rsidP="00613C0D">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 xml:space="preserve">Pasiūlymai vertinami pagal kainos kriterijų. </w:t>
      </w:r>
    </w:p>
    <w:p w:rsidR="00317A16" w:rsidRPr="00317A16" w:rsidRDefault="00317A16" w:rsidP="00317A16">
      <w:pPr>
        <w:tabs>
          <w:tab w:val="left" w:pos="993"/>
          <w:tab w:val="left" w:pos="1134"/>
          <w:tab w:val="left" w:pos="1276"/>
          <w:tab w:val="left" w:pos="1440"/>
          <w:tab w:val="left" w:pos="1560"/>
          <w:tab w:val="left" w:pos="2127"/>
        </w:tabs>
        <w:jc w:val="both"/>
        <w:rPr>
          <w:rFonts w:ascii="Cambria" w:hAnsi="Cambria"/>
          <w:b/>
          <w:u w:val="single"/>
          <w:lang w:eastAsia="ar-SA"/>
        </w:rPr>
      </w:pP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lastRenderedPageBreak/>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w:t>
            </w:r>
            <w:r w:rsidRPr="00380358">
              <w:rPr>
                <w:rFonts w:asciiTheme="majorHAnsi" w:eastAsia="Arial Unicode MS" w:hAnsiTheme="majorHAnsi"/>
                <w:bdr w:val="nil"/>
                <w:lang w:val="en-US"/>
              </w:rPr>
              <w:lastRenderedPageBreak/>
              <w:t xml:space="preserve">(turinčių)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lastRenderedPageBreak/>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 xml:space="preserve">Valstybės įmonės Registrų centro Lietuvos Respublikos Vyriausybės nustatyta tvarka išduoto dokumento, </w:t>
            </w:r>
            <w:r w:rsidRPr="00380358">
              <w:rPr>
                <w:rFonts w:asciiTheme="majorHAnsi" w:eastAsia="Arial Unicode MS" w:hAnsiTheme="majorHAnsi"/>
                <w:color w:val="000000"/>
                <w:bdr w:val="nil"/>
                <w:lang w:val="en-US" w:eastAsia="lt-LT"/>
              </w:rPr>
              <w:lastRenderedPageBreak/>
              <w:t>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lastRenderedPageBreak/>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lastRenderedPageBreak/>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80358">
              <w:rPr>
                <w:rFonts w:asciiTheme="majorHAnsi" w:eastAsia="Arial Unicode MS" w:hAnsiTheme="majorHAnsi"/>
                <w:bCs/>
                <w:color w:val="000000"/>
                <w:bdr w:val="nil"/>
                <w:lang w:val="en-US" w:eastAsia="lt-LT"/>
              </w:rPr>
              <w:lastRenderedPageBreak/>
              <w:t>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Laikoma, kad atitinkamos padėties dėl interesų konflikto negalima ištaisyti, jeigu į interesų konfliktą patekę asmenys nulėmė viešojo </w:t>
            </w:r>
            <w:r w:rsidRPr="00380358">
              <w:rPr>
                <w:rFonts w:asciiTheme="majorHAnsi" w:eastAsia="Arial Unicode MS" w:hAnsiTheme="majorHAnsi"/>
                <w:bdr w:val="nil"/>
                <w:lang w:val="en-US" w:eastAsia="lt-LT"/>
              </w:rPr>
              <w:lastRenderedPageBreak/>
              <w:t>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Pažeista konkurencija, kaip nustatyta VPĮ 27 straipsnio 3 ir 4 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proofErr w:type="gramStart"/>
            <w:r w:rsidRPr="00380358">
              <w:rPr>
                <w:rFonts w:asciiTheme="majorHAnsi" w:eastAsia="Arial Unicode MS" w:hAnsiTheme="majorHAnsi"/>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80358">
              <w:rPr>
                <w:rFonts w:asciiTheme="majorHAnsi" w:eastAsia="Arial Unicode MS" w:hAnsiTheme="majorHAnsi"/>
                <w:bCs/>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80358">
              <w:rPr>
                <w:rFonts w:asciiTheme="majorHAnsi" w:eastAsia="Arial Unicode MS" w:hAnsiTheme="majorHAnsi"/>
                <w:bCs/>
                <w:bdr w:val="nil"/>
                <w:lang w:val="en-US" w:eastAsia="lt-LT"/>
              </w:rPr>
              <w:lastRenderedPageBreak/>
              <w:t>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5F5C19" w:rsidP="00380358">
            <w:pPr>
              <w:suppressAutoHyphens/>
              <w:spacing w:after="40"/>
              <w:jc w:val="both"/>
              <w:rPr>
                <w:rFonts w:asciiTheme="majorHAnsi" w:eastAsia="Arial Unicode MS" w:hAnsiTheme="majorHAnsi"/>
                <w:b/>
                <w:bCs/>
                <w:color w:val="000000"/>
                <w:bdr w:val="nil"/>
                <w:lang w:val="en-US" w:eastAsia="lt-LT"/>
              </w:rPr>
            </w:pPr>
            <w:hyperlink r:id="rId16"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380358">
              <w:rPr>
                <w:rFonts w:asciiTheme="majorHAnsi" w:eastAsia="Arial Unicode MS" w:hAnsiTheme="majorHAnsi"/>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 xml:space="preserve">Šiuo pagrindu tiekėjas taip pat pašalinamas iš pirkimo procedūros, kai, vadovaujantis kitų valstybių </w:t>
            </w:r>
            <w:r w:rsidRPr="00380358">
              <w:rPr>
                <w:rFonts w:asciiTheme="majorHAnsi" w:eastAsia="Arial Unicode MS" w:hAnsiTheme="majorHAnsi"/>
                <w:bdr w:val="nil"/>
                <w:lang w:val="en-US"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5F5C19" w:rsidP="00380358">
            <w:pPr>
              <w:suppressAutoHyphens/>
              <w:spacing w:after="40"/>
              <w:jc w:val="both"/>
              <w:rPr>
                <w:rFonts w:asciiTheme="majorHAnsi" w:eastAsia="Arial Unicode MS" w:hAnsiTheme="majorHAnsi"/>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5F5C19"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1" w:name="part_030e6c6c64ba4f96a23474e439d1b80c"/>
            <w:bookmarkEnd w:id="1"/>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19"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5F5C19" w:rsidP="00380358">
            <w:pPr>
              <w:suppressAutoHyphens/>
              <w:spacing w:after="40"/>
              <w:jc w:val="both"/>
              <w:rPr>
                <w:rFonts w:asciiTheme="majorHAnsi" w:eastAsia="Arial Unicode MS" w:hAnsiTheme="majorHAnsi"/>
                <w:color w:val="000000"/>
                <w:bdr w:val="nil"/>
                <w:lang w:val="en-US" w:eastAsia="lt-LT"/>
              </w:rPr>
            </w:pPr>
            <w:hyperlink r:id="rId20"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1">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80358">
              <w:rPr>
                <w:rFonts w:asciiTheme="majorHAnsi" w:eastAsia="Arial Unicode MS" w:hAnsiTheme="majorHAnsi"/>
                <w:bdr w:val="nil"/>
                <w:lang w:val="en-US"/>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lastRenderedPageBreak/>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w:t>
            </w:r>
            <w:r w:rsidRPr="00380358">
              <w:rPr>
                <w:rFonts w:asciiTheme="majorHAnsi" w:eastAsia="Arial Unicode MS" w:hAnsiTheme="majorHAnsi"/>
                <w:b/>
                <w:bCs/>
                <w:bdr w:val="nil"/>
                <w:lang w:val="en-US"/>
              </w:rPr>
              <w:lastRenderedPageBreak/>
              <w:t xml:space="preserve">atsižvelgiama į nacionalinėje duomenų bazėje adresu: </w:t>
            </w:r>
          </w:p>
          <w:p w:rsidR="00380358" w:rsidRPr="00380358" w:rsidRDefault="005F5C19" w:rsidP="00380358">
            <w:pPr>
              <w:rPr>
                <w:rFonts w:asciiTheme="majorHAnsi" w:eastAsia="Times New Roman" w:hAnsiTheme="majorHAnsi"/>
                <w:bCs/>
                <w:iCs/>
                <w:bdr w:val="nil"/>
                <w:lang w:val="en-US"/>
              </w:rPr>
            </w:pPr>
            <w:hyperlink r:id="rId22" w:history="1">
              <w:r w:rsidR="00380358" w:rsidRPr="00380358">
                <w:rPr>
                  <w:rFonts w:asciiTheme="majorHAnsi" w:eastAsia="Arial Unicode MS" w:hAnsiTheme="majorHAnsi"/>
                  <w:u w:val="single"/>
                  <w:bdr w:val="nil"/>
                  <w:lang w:val="en-US"/>
                </w:rPr>
                <w:t>https://kt.gov.lt/lt/atviri-duomenys/diskvalifikavimas-is-viesuju-pirkimu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lastRenderedPageBreak/>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914CFC" w:rsidRPr="00914CFC">
        <w:rPr>
          <w:rFonts w:ascii="Cambria" w:hAnsi="Cambria"/>
          <w:sz w:val="22"/>
          <w:szCs w:val="22"/>
        </w:rPr>
        <w:t xml:space="preserve">Tiekėjas gali pateikti tik vieną </w:t>
      </w:r>
      <w:r w:rsidR="00914CFC" w:rsidRPr="00914CFC">
        <w:rPr>
          <w:rFonts w:ascii="Cambria" w:hAnsi="Cambria"/>
          <w:sz w:val="22"/>
          <w:szCs w:val="22"/>
          <w:lang w:val="es-ES_tradnl"/>
        </w:rPr>
        <w:t>pasi</w:t>
      </w:r>
      <w:r w:rsidR="00914CFC" w:rsidRPr="00914CFC">
        <w:rPr>
          <w:rFonts w:ascii="Cambria" w:hAnsi="Cambria"/>
          <w:sz w:val="22"/>
          <w:szCs w:val="22"/>
        </w:rPr>
        <w:t xml:space="preserve">ūlymą. Jei tiekėjas pateikia daugiau kaip vieną </w:t>
      </w:r>
      <w:r w:rsidR="00914CFC" w:rsidRPr="00914CFC">
        <w:rPr>
          <w:rFonts w:ascii="Cambria" w:hAnsi="Cambria"/>
          <w:sz w:val="22"/>
          <w:szCs w:val="22"/>
          <w:lang w:val="es-ES_tradnl"/>
        </w:rPr>
        <w:t>pasi</w:t>
      </w:r>
      <w:r w:rsidR="00914CFC" w:rsidRPr="00914CFC">
        <w:rPr>
          <w:rFonts w:ascii="Cambria" w:hAnsi="Cambria"/>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lastRenderedPageBreak/>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447126">
        <w:rPr>
          <w:rFonts w:ascii="Cambria" w:hAnsi="Cambria" w:cs="Times New Roman"/>
          <w:b/>
          <w:iCs/>
          <w:color w:val="548DD4" w:themeColor="text2" w:themeTint="99"/>
          <w:sz w:val="22"/>
          <w:szCs w:val="22"/>
        </w:rPr>
        <w:t>m. birželio</w:t>
      </w:r>
      <w:r w:rsidR="003B7AD1" w:rsidRPr="00854972">
        <w:rPr>
          <w:rFonts w:ascii="Cambria" w:hAnsi="Cambria" w:cs="Times New Roman"/>
          <w:b/>
          <w:iCs/>
          <w:color w:val="548DD4" w:themeColor="text2" w:themeTint="99"/>
          <w:sz w:val="22"/>
          <w:szCs w:val="22"/>
        </w:rPr>
        <w:t xml:space="preserve"> </w:t>
      </w:r>
      <w:r w:rsidR="00447126">
        <w:rPr>
          <w:rFonts w:ascii="Cambria" w:hAnsi="Cambria" w:cs="Times New Roman"/>
          <w:b/>
          <w:iCs/>
          <w:color w:val="548DD4" w:themeColor="text2" w:themeTint="99"/>
          <w:sz w:val="22"/>
          <w:szCs w:val="22"/>
        </w:rPr>
        <w:t>30</w:t>
      </w:r>
      <w:r w:rsidRPr="00854972">
        <w:rPr>
          <w:rFonts w:ascii="Cambria" w:hAnsi="Cambria" w:cs="Times New Roman"/>
          <w:b/>
          <w:iCs/>
          <w:color w:val="548DD4" w:themeColor="text2" w:themeTint="99"/>
          <w:sz w:val="22"/>
          <w:szCs w:val="22"/>
        </w:rPr>
        <w:t xml:space="preserve"> d. </w:t>
      </w:r>
      <w:r w:rsidR="00A048A4" w:rsidRPr="00F55DF2">
        <w:rPr>
          <w:rFonts w:ascii="Cambria" w:hAnsi="Cambria" w:cs="Times New Roman"/>
          <w:b/>
          <w:iCs/>
          <w:color w:val="548DD4" w:themeColor="text2" w:themeTint="99"/>
          <w:sz w:val="22"/>
          <w:szCs w:val="22"/>
        </w:rPr>
        <w:t>09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1E4E25"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Kainos privalo būti nurodytos eurais (EUR). </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AC0849" w:rsidRPr="00AC0849" w:rsidRDefault="00E32486" w:rsidP="00AC0849">
      <w:pPr>
        <w:pStyle w:val="Body2"/>
        <w:ind w:firstLine="567"/>
        <w:rPr>
          <w:rFonts w:ascii="Cambria" w:hAnsi="Cambria"/>
          <w:sz w:val="22"/>
          <w:szCs w:val="22"/>
          <w:lang w:val="lt-LT"/>
        </w:rPr>
      </w:pPr>
      <w:r>
        <w:rPr>
          <w:rFonts w:ascii="Cambria" w:hAnsi="Cambria" w:cs="Times New Roman"/>
          <w:sz w:val="22"/>
          <w:szCs w:val="22"/>
        </w:rPr>
        <w:t>5.11.4</w:t>
      </w:r>
      <w:r w:rsidR="00AC0849">
        <w:rPr>
          <w:rFonts w:ascii="Cambria" w:hAnsi="Cambria" w:cs="Times New Roman"/>
          <w:sz w:val="22"/>
          <w:szCs w:val="22"/>
        </w:rPr>
        <w:t xml:space="preserve">. </w:t>
      </w:r>
      <w:r w:rsidR="001E4E25" w:rsidRPr="001E4E25">
        <w:rPr>
          <w:rFonts w:ascii="Cambria" w:hAnsi="Cambria"/>
          <w:sz w:val="22"/>
          <w:szCs w:val="22"/>
          <w:lang w:val="lt-LT"/>
        </w:rPr>
        <w:t xml:space="preserve">Užpildyta Techninės specifikacijos ir siūlomų prekių charakteristikų lentelė </w:t>
      </w:r>
      <w:r w:rsidR="001E4E25">
        <w:rPr>
          <w:rFonts w:ascii="Cambria" w:hAnsi="Cambria"/>
          <w:b/>
          <w:sz w:val="22"/>
          <w:szCs w:val="22"/>
          <w:lang w:val="lt-LT"/>
        </w:rPr>
        <w:t>(3</w:t>
      </w:r>
      <w:r w:rsidR="001E4E25" w:rsidRPr="001E4E25">
        <w:rPr>
          <w:rFonts w:ascii="Cambria" w:hAnsi="Cambria"/>
          <w:b/>
          <w:sz w:val="22"/>
          <w:szCs w:val="22"/>
          <w:lang w:val="lt-LT"/>
        </w:rPr>
        <w:t xml:space="preserve"> priedas)</w:t>
      </w:r>
      <w:r w:rsidR="00AC0849" w:rsidRPr="00AC0849">
        <w:rPr>
          <w:rFonts w:ascii="Cambria" w:hAnsi="Cambria"/>
          <w:b/>
          <w:sz w:val="22"/>
          <w:szCs w:val="22"/>
          <w:lang w:val="lt-LT"/>
        </w:rPr>
        <w:t>.</w:t>
      </w:r>
    </w:p>
    <w:p w:rsidR="00B35758" w:rsidRPr="00854972" w:rsidRDefault="00E32486"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5.11.5</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E32486">
        <w:rPr>
          <w:rFonts w:ascii="Cambria" w:hAnsi="Cambria" w:cs="Times New Roman"/>
          <w:b/>
          <w:color w:val="auto"/>
          <w:sz w:val="22"/>
          <w:szCs w:val="22"/>
        </w:rPr>
        <w:t>5.11.6</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E32486"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5.11.7</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E32486" w:rsidP="000761A9">
      <w:pPr>
        <w:tabs>
          <w:tab w:val="left" w:pos="567"/>
        </w:tabs>
        <w:suppressAutoHyphens/>
        <w:ind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5.11.8</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5.11.9</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E3248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5.11.10</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p>
    <w:p w:rsidR="0050768A" w:rsidRPr="001E4E25" w:rsidRDefault="0050768A" w:rsidP="0050768A">
      <w:pPr>
        <w:pStyle w:val="Body2"/>
        <w:tabs>
          <w:tab w:val="left" w:pos="567"/>
          <w:tab w:val="left" w:pos="1134"/>
        </w:tabs>
        <w:ind w:firstLine="567"/>
        <w:rPr>
          <w:rFonts w:ascii="Cambria" w:hAnsi="Cambria" w:cs="Times New Roman"/>
          <w:b/>
          <w:color w:val="auto"/>
          <w:sz w:val="22"/>
          <w:szCs w:val="22"/>
        </w:rPr>
      </w:pPr>
      <w:proofErr w:type="gramStart"/>
      <w:r>
        <w:rPr>
          <w:rFonts w:ascii="Cambria" w:hAnsi="Cambria" w:cs="Times New Roman"/>
          <w:b/>
          <w:color w:val="auto"/>
          <w:sz w:val="22"/>
          <w:szCs w:val="22"/>
        </w:rPr>
        <w:t>5.12</w:t>
      </w:r>
      <w:r w:rsidRPr="00E646AF">
        <w:rPr>
          <w:rFonts w:ascii="Cambria" w:hAnsi="Cambria" w:cs="Times New Roman"/>
          <w:b/>
          <w:color w:val="auto"/>
          <w:sz w:val="22"/>
          <w:szCs w:val="22"/>
        </w:rPr>
        <w:t xml:space="preserve">. </w:t>
      </w:r>
      <w:r w:rsidRPr="001E4E25">
        <w:rPr>
          <w:rFonts w:ascii="Cambria" w:hAnsi="Cambria" w:cs="Times New Roman"/>
          <w:b/>
          <w:color w:val="auto"/>
          <w:sz w:val="22"/>
          <w:szCs w:val="22"/>
        </w:rPr>
        <w:t>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1E4E25">
        <w:rPr>
          <w:rFonts w:ascii="Cambria" w:hAnsi="Cambria" w:cs="Times New Roman"/>
          <w:b/>
          <w:color w:val="auto"/>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AC0849" w:rsidRPr="00AC0849" w:rsidRDefault="00B35758" w:rsidP="00AC0849">
      <w:pPr>
        <w:pStyle w:val="Body2"/>
        <w:tabs>
          <w:tab w:val="left" w:pos="567"/>
        </w:tabs>
        <w:rPr>
          <w:rFonts w:ascii="Cambria" w:hAnsi="Cambria"/>
          <w:sz w:val="22"/>
          <w:szCs w:val="22"/>
        </w:rPr>
      </w:pPr>
      <w:r w:rsidRPr="00854972">
        <w:rPr>
          <w:rFonts w:ascii="Cambria" w:hAnsi="Cambria" w:cs="Times New Roman"/>
          <w:color w:val="C03A2A"/>
          <w:sz w:val="22"/>
          <w:szCs w:val="22"/>
        </w:rPr>
        <w:tab/>
      </w:r>
      <w:r w:rsidR="0050768A">
        <w:rPr>
          <w:rFonts w:ascii="Cambria" w:hAnsi="Cambria" w:cs="Times New Roman"/>
          <w:sz w:val="22"/>
          <w:szCs w:val="22"/>
        </w:rPr>
        <w:t>5.14</w:t>
      </w:r>
      <w:r w:rsidRPr="00854972">
        <w:rPr>
          <w:rFonts w:ascii="Cambria" w:hAnsi="Cambria" w:cs="Times New Roman"/>
          <w:sz w:val="22"/>
          <w:szCs w:val="22"/>
        </w:rPr>
        <w:t>. Pasiūlymas turi būti pasiraš</w:t>
      </w:r>
      <w:r w:rsidRPr="00854972">
        <w:rPr>
          <w:rFonts w:ascii="Cambria" w:hAnsi="Cambria" w:cs="Times New Roman"/>
          <w:sz w:val="22"/>
          <w:szCs w:val="22"/>
          <w:lang w:val="sv-SE"/>
        </w:rPr>
        <w:t xml:space="preserve">ytas </w:t>
      </w:r>
      <w:r w:rsidR="001A033D" w:rsidRPr="00854972">
        <w:rPr>
          <w:rFonts w:ascii="Cambria" w:hAnsi="Cambria" w:cs="Times New Roman"/>
          <w:sz w:val="22"/>
          <w:szCs w:val="22"/>
        </w:rPr>
        <w:t>parašu.</w:t>
      </w:r>
      <w:r w:rsidR="00AC0849">
        <w:rPr>
          <w:rFonts w:ascii="Cambria" w:hAnsi="Cambria" w:cs="Times New Roman"/>
          <w:sz w:val="22"/>
          <w:szCs w:val="22"/>
        </w:rPr>
        <w:t xml:space="preserve"> </w:t>
      </w:r>
      <w:r w:rsidR="00AC0849" w:rsidRPr="00AC0849">
        <w:rPr>
          <w:rFonts w:ascii="Cambria" w:hAnsi="Cambria"/>
          <w:sz w:val="22"/>
          <w:szCs w:val="22"/>
        </w:rPr>
        <w:t>Jei pasiūlymą pateikia ir pasirašo įgaliotas asmuo, kartu su pasiūlymu turi būti pateiktas įgaliojimas.</w:t>
      </w:r>
    </w:p>
    <w:p w:rsidR="001E4E25" w:rsidRPr="001E4E25" w:rsidRDefault="00AD600E" w:rsidP="0050768A">
      <w:pPr>
        <w:pStyle w:val="Body2"/>
        <w:tabs>
          <w:tab w:val="left" w:pos="567"/>
          <w:tab w:val="left" w:pos="1134"/>
        </w:tabs>
        <w:rPr>
          <w:rFonts w:ascii="Cambria" w:hAnsi="Cambria" w:cs="Times New Roman"/>
          <w:color w:val="auto"/>
          <w:sz w:val="22"/>
          <w:szCs w:val="22"/>
          <w:u w:val="single"/>
        </w:rPr>
      </w:pPr>
      <w:r w:rsidRPr="00854972">
        <w:rPr>
          <w:rFonts w:ascii="Cambria" w:hAnsi="Cambria" w:cs="Times New Roman"/>
          <w:sz w:val="22"/>
          <w:szCs w:val="22"/>
        </w:rPr>
        <w:tab/>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lastRenderedPageBreak/>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lastRenderedPageBreak/>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5D6E0E" w:rsidRPr="005D6E0E" w:rsidRDefault="00B35758" w:rsidP="005D6E0E">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Siūlomų prekių pavyzdžiai reikalaujami. Perkančioji organizacija pasilieka sau teisę paprašyti siūlomų prekių pavydžių.</w:t>
      </w:r>
    </w:p>
    <w:p w:rsidR="005D6E0E" w:rsidRPr="005D6E0E" w:rsidRDefault="005D6E0E" w:rsidP="005D6E0E">
      <w:pPr>
        <w:pStyle w:val="Body2"/>
        <w:ind w:firstLine="567"/>
        <w:rPr>
          <w:rFonts w:ascii="Cambria" w:hAnsi="Cambria"/>
          <w:sz w:val="22"/>
          <w:szCs w:val="22"/>
          <w:lang w:val="lt-LT"/>
        </w:rPr>
      </w:pPr>
      <w:r w:rsidRPr="005D6E0E">
        <w:rPr>
          <w:rFonts w:ascii="Cambria" w:hAnsi="Cambria"/>
          <w:sz w:val="22"/>
          <w:szCs w:val="22"/>
          <w:lang w:val="lt-LT"/>
        </w:rPr>
        <w:t>8.2. Konkurso vertinimo komisijai pareikalavus, konkurso dalyvis privalės pristatyti siūlomų baldų pavyzdžius arba sudaryti sąlygas su jais susipažinti, kad būtų galima įvertinti baldo atitiktį Techninės specifikacijos reikalavimams.</w:t>
      </w:r>
    </w:p>
    <w:p w:rsidR="00B35758" w:rsidRPr="00854972" w:rsidRDefault="00B35758" w:rsidP="005D6E0E">
      <w:pPr>
        <w:pStyle w:val="Body2"/>
        <w:ind w:firstLine="567"/>
        <w:rPr>
          <w:rFonts w:ascii="Cambria" w:hAnsi="Cambria" w:cs="Times New Roman"/>
          <w:color w:val="C03A2A"/>
          <w:sz w:val="22"/>
          <w:szCs w:val="22"/>
          <w:lang w:val="pt-PT"/>
        </w:rPr>
      </w:pPr>
      <w:r w:rsidRPr="00854972">
        <w:rPr>
          <w:rFonts w:ascii="Cambria" w:hAnsi="Cambria" w:cs="Times New Roman"/>
          <w:color w:val="C03A2A"/>
          <w:sz w:val="22"/>
          <w:szCs w:val="22"/>
          <w:lang w:val="pt-PT"/>
        </w:rPr>
        <w:tab/>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447126">
        <w:rPr>
          <w:rFonts w:ascii="Cambria" w:hAnsi="Cambria"/>
          <w:b/>
          <w:iCs/>
          <w:color w:val="548DD4" w:themeColor="text2" w:themeTint="99"/>
          <w:sz w:val="22"/>
          <w:szCs w:val="22"/>
        </w:rPr>
        <w:t>birželio</w:t>
      </w:r>
      <w:r w:rsidR="000706F8" w:rsidRPr="00854972">
        <w:rPr>
          <w:rFonts w:ascii="Cambria" w:hAnsi="Cambria"/>
          <w:b/>
          <w:iCs/>
          <w:color w:val="548DD4" w:themeColor="text2" w:themeTint="99"/>
          <w:sz w:val="22"/>
          <w:szCs w:val="22"/>
        </w:rPr>
        <w:t xml:space="preserve"> </w:t>
      </w:r>
      <w:r w:rsidR="00447126">
        <w:rPr>
          <w:rFonts w:ascii="Cambria" w:hAnsi="Cambria"/>
          <w:b/>
          <w:iCs/>
          <w:color w:val="548DD4" w:themeColor="text2" w:themeTint="99"/>
          <w:sz w:val="22"/>
          <w:szCs w:val="22"/>
        </w:rPr>
        <w:t>30</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A048A4" w:rsidRPr="00F55DF2">
        <w:rPr>
          <w:rFonts w:ascii="Cambria" w:hAnsi="Cambria"/>
          <w:b/>
          <w:iCs/>
          <w:color w:val="548DD4" w:themeColor="text2" w:themeTint="99"/>
          <w:sz w:val="22"/>
          <w:szCs w:val="22"/>
        </w:rPr>
        <w:t>09</w:t>
      </w:r>
      <w:r w:rsidR="002E02D3" w:rsidRPr="00F55DF2">
        <w:rPr>
          <w:rFonts w:ascii="Cambria" w:hAnsi="Cambria"/>
          <w:b/>
          <w:iCs/>
          <w:color w:val="548DD4" w:themeColor="text2" w:themeTint="99"/>
          <w:sz w:val="22"/>
          <w:szCs w:val="22"/>
        </w:rPr>
        <w:t xml:space="preserve"> </w:t>
      </w:r>
      <w:r w:rsidR="00A048A4" w:rsidRPr="00F55DF2">
        <w:rPr>
          <w:rFonts w:ascii="Cambria" w:hAnsi="Cambria"/>
          <w:b/>
          <w:iCs/>
          <w:color w:val="548DD4" w:themeColor="text2" w:themeTint="99"/>
          <w:sz w:val="22"/>
          <w:szCs w:val="22"/>
        </w:rPr>
        <w:t>val. 3</w:t>
      </w:r>
      <w:r w:rsidR="00BE6A62" w:rsidRPr="00F55DF2">
        <w:rPr>
          <w:rFonts w:ascii="Cambria" w:hAnsi="Cambria"/>
          <w:b/>
          <w:iCs/>
          <w:color w:val="548DD4" w:themeColor="text2" w:themeTint="99"/>
          <w:sz w:val="22"/>
          <w:szCs w:val="22"/>
        </w:rPr>
        <w:t xml:space="preserve">0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447126">
        <w:rPr>
          <w:rFonts w:ascii="Cambria" w:hAnsi="Cambria"/>
          <w:b/>
          <w:iCs/>
          <w:color w:val="548DD4" w:themeColor="text2" w:themeTint="99"/>
          <w:sz w:val="22"/>
          <w:szCs w:val="22"/>
          <w:u w:val="single"/>
        </w:rPr>
        <w:t xml:space="preserve"> birželio</w:t>
      </w:r>
      <w:r w:rsidR="002A5A44" w:rsidRPr="00854972">
        <w:rPr>
          <w:rFonts w:ascii="Cambria" w:hAnsi="Cambria"/>
          <w:b/>
          <w:iCs/>
          <w:color w:val="548DD4" w:themeColor="text2" w:themeTint="99"/>
          <w:sz w:val="22"/>
          <w:szCs w:val="22"/>
          <w:u w:val="single"/>
        </w:rPr>
        <w:t xml:space="preserve"> </w:t>
      </w:r>
      <w:r w:rsidR="00447126">
        <w:rPr>
          <w:rFonts w:ascii="Cambria" w:hAnsi="Cambria"/>
          <w:b/>
          <w:iCs/>
          <w:color w:val="548DD4" w:themeColor="text2" w:themeTint="99"/>
          <w:sz w:val="22"/>
          <w:szCs w:val="22"/>
          <w:u w:val="single"/>
        </w:rPr>
        <w:t>30</w:t>
      </w:r>
      <w:bookmarkStart w:id="2" w:name="_GoBack"/>
      <w:bookmarkEnd w:id="2"/>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E646AF" w:rsidRPr="00F55DF2">
        <w:rPr>
          <w:rFonts w:ascii="Cambria" w:hAnsi="Cambria"/>
          <w:b/>
          <w:iCs/>
          <w:color w:val="548DD4" w:themeColor="text2" w:themeTint="99"/>
          <w:sz w:val="22"/>
          <w:szCs w:val="22"/>
          <w:u w:val="single"/>
        </w:rPr>
        <w:t>09</w:t>
      </w:r>
      <w:r w:rsidR="00A048A4"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0 – </w:t>
      </w:r>
      <w:r w:rsidR="00A048A4" w:rsidRPr="00F55DF2">
        <w:rPr>
          <w:rFonts w:ascii="Cambria" w:hAnsi="Cambria"/>
          <w:b/>
          <w:iCs/>
          <w:color w:val="548DD4" w:themeColor="text2" w:themeTint="99"/>
          <w:sz w:val="22"/>
          <w:szCs w:val="22"/>
          <w:u w:val="single"/>
        </w:rPr>
        <w:t>09.3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6550C9" w:rsidRDefault="006550C9" w:rsidP="008673A7">
      <w:pPr>
        <w:pStyle w:val="Body2"/>
        <w:ind w:firstLine="567"/>
        <w:rPr>
          <w:rFonts w:ascii="Cambria" w:hAnsi="Cambria" w:cs="Times New Roman"/>
          <w:sz w:val="22"/>
          <w:szCs w:val="22"/>
          <w:lang w:val="lt-LT"/>
        </w:rPr>
      </w:pPr>
    </w:p>
    <w:p w:rsidR="006550C9" w:rsidRPr="00854972" w:rsidRDefault="006550C9" w:rsidP="008673A7">
      <w:pPr>
        <w:pStyle w:val="Body2"/>
        <w:ind w:firstLine="567"/>
        <w:rPr>
          <w:rFonts w:ascii="Cambria" w:hAnsi="Cambria" w:cs="Times New Roman"/>
          <w:sz w:val="22"/>
          <w:szCs w:val="22"/>
          <w:lang w:val="lt-LT"/>
        </w:rPr>
      </w:pP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lastRenderedPageBreak/>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E32486" w:rsidRPr="00E32486" w:rsidRDefault="00E32486"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 xml:space="preserve">11.4. </w:t>
      </w:r>
      <w:r w:rsidRPr="00E32486">
        <w:rPr>
          <w:rFonts w:ascii="Cambria" w:hAnsi="Cambria"/>
          <w:color w:val="000000"/>
          <w:sz w:val="22"/>
          <w:szCs w:val="22"/>
          <w:lang w:val="en-US" w:eastAsia="lt-LT"/>
        </w:rPr>
        <w:t xml:space="preserve">Iškilus klausimams </w:t>
      </w:r>
      <w:proofErr w:type="gramStart"/>
      <w:r w:rsidRPr="00E32486">
        <w:rPr>
          <w:rFonts w:ascii="Cambria" w:hAnsi="Cambria"/>
          <w:color w:val="000000"/>
          <w:sz w:val="22"/>
          <w:szCs w:val="22"/>
          <w:lang w:val="en-US" w:eastAsia="lt-LT"/>
        </w:rPr>
        <w:t>dė</w:t>
      </w:r>
      <w:r w:rsidRPr="00E32486">
        <w:rPr>
          <w:rFonts w:ascii="Cambria" w:hAnsi="Cambria"/>
          <w:color w:val="000000"/>
          <w:sz w:val="22"/>
          <w:szCs w:val="22"/>
          <w:lang w:val="es-ES_tradnl" w:eastAsia="lt-LT"/>
        </w:rPr>
        <w:t>l</w:t>
      </w:r>
      <w:proofErr w:type="gramEnd"/>
      <w:r w:rsidRPr="00E32486">
        <w:rPr>
          <w:rFonts w:ascii="Cambria" w:hAnsi="Cambria"/>
          <w:color w:val="000000"/>
          <w:sz w:val="22"/>
          <w:szCs w:val="22"/>
          <w:lang w:val="es-ES_tradnl" w:eastAsia="lt-LT"/>
        </w:rPr>
        <w:t xml:space="preserve"> pasi</w:t>
      </w:r>
      <w:r w:rsidRPr="00E32486">
        <w:rPr>
          <w:rFonts w:ascii="Cambria" w:hAnsi="Cambria"/>
          <w:color w:val="000000"/>
          <w:sz w:val="22"/>
          <w:szCs w:val="22"/>
          <w:lang w:val="en-US" w:eastAsia="lt-LT"/>
        </w:rPr>
        <w:t>ūlymų turinio ir pirkimo komisijai papraš</w:t>
      </w:r>
      <w:r w:rsidRPr="00E32486">
        <w:rPr>
          <w:rFonts w:ascii="Cambria" w:hAnsi="Cambria"/>
          <w:color w:val="000000"/>
          <w:sz w:val="22"/>
          <w:szCs w:val="22"/>
          <w:lang w:val="fr-FR" w:eastAsia="lt-LT"/>
        </w:rPr>
        <w:t>ius ra</w:t>
      </w:r>
      <w:r w:rsidRPr="00E32486">
        <w:rPr>
          <w:rFonts w:ascii="Cambria" w:hAnsi="Cambria"/>
          <w:color w:val="000000"/>
          <w:sz w:val="22"/>
          <w:szCs w:val="22"/>
          <w:lang w:val="en-US" w:eastAsia="lt-LT"/>
        </w:rPr>
        <w:t>štu CVP IS priemonė</w:t>
      </w:r>
      <w:r w:rsidRPr="00E32486">
        <w:rPr>
          <w:rFonts w:ascii="Cambria" w:hAnsi="Cambria"/>
          <w:color w:val="000000"/>
          <w:sz w:val="22"/>
          <w:szCs w:val="22"/>
          <w:lang w:val="nl-NL" w:eastAsia="lt-LT"/>
        </w:rPr>
        <w:t>mis, tiek</w:t>
      </w:r>
      <w:r w:rsidRPr="00E32486">
        <w:rPr>
          <w:rFonts w:ascii="Cambria" w:hAnsi="Cambria"/>
          <w:color w:val="000000"/>
          <w:sz w:val="22"/>
          <w:szCs w:val="22"/>
          <w:lang w:val="en-US" w:eastAsia="lt-LT"/>
        </w:rPr>
        <w:t>ėjai privalo pateikti raštu CVP IS priemonėmis papildomus paaiškinimus nekeisdami pasiūlymo. Jeigu tiekė</w:t>
      </w:r>
      <w:r w:rsidRPr="00E32486">
        <w:rPr>
          <w:rFonts w:ascii="Cambria" w:hAnsi="Cambria"/>
          <w:color w:val="000000"/>
          <w:sz w:val="22"/>
          <w:szCs w:val="22"/>
          <w:lang w:val="fr-FR" w:eastAsia="lt-LT"/>
        </w:rPr>
        <w:t>jas savo pasi</w:t>
      </w:r>
      <w:r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32486"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11.5</w:t>
      </w:r>
      <w:r w:rsidR="00B35758" w:rsidRPr="00854972">
        <w:rPr>
          <w:rFonts w:ascii="Cambria" w:hAnsi="Cambria"/>
          <w:color w:val="000000"/>
          <w:sz w:val="22"/>
          <w:szCs w:val="22"/>
          <w:lang w:eastAsia="lt-LT"/>
        </w:rPr>
        <w:t xml:space="preserve">. </w:t>
      </w:r>
      <w:r w:rsidRPr="00E32486">
        <w:rPr>
          <w:rFonts w:ascii="Cambria" w:hAnsi="Cambria"/>
          <w:color w:val="000000"/>
          <w:sz w:val="22"/>
          <w:szCs w:val="22"/>
          <w:lang w:val="sv-SE" w:eastAsia="lt-LT"/>
        </w:rPr>
        <w:t>Perkan</w:t>
      </w:r>
      <w:r w:rsidRPr="00E32486">
        <w:rPr>
          <w:rFonts w:ascii="Cambria" w:hAnsi="Cambria"/>
          <w:color w:val="000000"/>
          <w:sz w:val="22"/>
          <w:szCs w:val="22"/>
          <w:lang w:val="en-US" w:eastAsia="lt-LT"/>
        </w:rPr>
        <w:t xml:space="preserve">čioji organizacija reikalauja, kad dalyvis pagrįstų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de-DE" w:eastAsia="lt-LT"/>
        </w:rPr>
        <w:t>lyme nurodyt</w:t>
      </w:r>
      <w:r w:rsidRPr="00E32486">
        <w:rPr>
          <w:rFonts w:ascii="Cambria" w:hAnsi="Cambria"/>
          <w:color w:val="000000"/>
          <w:sz w:val="22"/>
          <w:szCs w:val="22"/>
          <w:lang w:val="en-US" w:eastAsia="lt-LT"/>
        </w:rPr>
        <w:t xml:space="preserve">ą prekių, paslaugų, darbų </w:t>
      </w:r>
      <w:r w:rsidRPr="00E32486">
        <w:rPr>
          <w:rFonts w:ascii="Cambria" w:hAnsi="Cambria"/>
          <w:color w:val="000000"/>
          <w:sz w:val="22"/>
          <w:szCs w:val="22"/>
          <w:lang w:val="da-DK" w:eastAsia="lt-LT"/>
        </w:rPr>
        <w:t>ar j</w:t>
      </w:r>
      <w:r w:rsidRPr="00E32486">
        <w:rPr>
          <w:rFonts w:ascii="Cambria" w:hAnsi="Cambria"/>
          <w:color w:val="000000"/>
          <w:sz w:val="22"/>
          <w:szCs w:val="22"/>
          <w:lang w:val="en-US" w:eastAsia="lt-LT"/>
        </w:rPr>
        <w:t xml:space="preserve">ų </w:t>
      </w:r>
      <w:r w:rsidRPr="00E32486">
        <w:rPr>
          <w:rFonts w:ascii="Cambria" w:hAnsi="Cambria"/>
          <w:color w:val="000000"/>
          <w:sz w:val="22"/>
          <w:szCs w:val="22"/>
          <w:lang w:val="da-DK" w:eastAsia="lt-LT"/>
        </w:rPr>
        <w:t>sudedam</w:t>
      </w:r>
      <w:r w:rsidRPr="00E32486">
        <w:rPr>
          <w:rFonts w:ascii="Cambria" w:hAnsi="Cambria"/>
          <w:color w:val="000000"/>
          <w:sz w:val="22"/>
          <w:szCs w:val="22"/>
          <w:lang w:val="en-US" w:eastAsia="lt-LT"/>
        </w:rPr>
        <w:t xml:space="preserve">ųjų </w:t>
      </w:r>
      <w:r w:rsidRPr="00E32486">
        <w:rPr>
          <w:rFonts w:ascii="Cambria" w:hAnsi="Cambria"/>
          <w:color w:val="000000"/>
          <w:sz w:val="22"/>
          <w:szCs w:val="22"/>
          <w:lang w:val="it-IT" w:eastAsia="lt-LT"/>
        </w:rPr>
        <w:t>dali</w:t>
      </w:r>
      <w:r w:rsidRPr="00E32486">
        <w:rPr>
          <w:rFonts w:ascii="Cambria" w:hAnsi="Cambria"/>
          <w:color w:val="000000"/>
          <w:sz w:val="22"/>
          <w:szCs w:val="22"/>
          <w:lang w:val="en-US" w:eastAsia="lt-LT"/>
        </w:rPr>
        <w:t>ų kainą arba są</w:t>
      </w:r>
      <w:r w:rsidRPr="00E32486">
        <w:rPr>
          <w:rFonts w:ascii="Cambria" w:hAnsi="Cambria"/>
          <w:color w:val="000000"/>
          <w:sz w:val="22"/>
          <w:szCs w:val="22"/>
          <w:lang w:val="pt-PT" w:eastAsia="lt-LT"/>
        </w:rPr>
        <w:t>naudas, jeigu jos atrodo ne</w:t>
      </w:r>
      <w:r w:rsidRPr="00E32486">
        <w:rPr>
          <w:rFonts w:ascii="Cambria" w:hAnsi="Cambria"/>
          <w:color w:val="000000"/>
          <w:sz w:val="22"/>
          <w:szCs w:val="22"/>
          <w:lang w:val="en-US" w:eastAsia="lt-LT"/>
        </w:rPr>
        <w:t>įprastai maž</w:t>
      </w:r>
      <w:r w:rsidRPr="00E32486">
        <w:rPr>
          <w:rFonts w:ascii="Cambria" w:hAnsi="Cambria"/>
          <w:color w:val="000000"/>
          <w:sz w:val="22"/>
          <w:szCs w:val="22"/>
          <w:lang w:val="pt-PT" w:eastAsia="lt-LT"/>
        </w:rPr>
        <w:t>os. Pasi</w:t>
      </w:r>
      <w:r w:rsidRPr="00E32486">
        <w:rPr>
          <w:rFonts w:ascii="Cambria" w:hAnsi="Cambria"/>
          <w:color w:val="000000"/>
          <w:sz w:val="22"/>
          <w:szCs w:val="22"/>
          <w:lang w:val="en-US" w:eastAsia="lt-LT"/>
        </w:rPr>
        <w:t>ūlyme nurodyta prekių, paslaugų ar darbų kaina arba są</w:t>
      </w:r>
      <w:r w:rsidRPr="00E32486">
        <w:rPr>
          <w:rFonts w:ascii="Cambria" w:hAnsi="Cambria"/>
          <w:color w:val="000000"/>
          <w:sz w:val="22"/>
          <w:szCs w:val="22"/>
          <w:lang w:val="pt-PT" w:eastAsia="lt-LT"/>
        </w:rPr>
        <w:t>naudos visais atvejais turi b</w:t>
      </w:r>
      <w:r w:rsidRPr="00E32486">
        <w:rPr>
          <w:rFonts w:ascii="Cambria" w:hAnsi="Cambria"/>
          <w:color w:val="000000"/>
          <w:sz w:val="22"/>
          <w:szCs w:val="22"/>
          <w:lang w:val="en-US" w:eastAsia="lt-LT"/>
        </w:rPr>
        <w:t xml:space="preserve">ūti laikomos neįprastai mažomis, jeigu jos yra 30 ir daugiau procentų mažesnės už visų </w:t>
      </w:r>
      <w:r w:rsidRPr="00E32486">
        <w:rPr>
          <w:rFonts w:ascii="Cambria" w:hAnsi="Cambria"/>
          <w:color w:val="000000"/>
          <w:sz w:val="22"/>
          <w:szCs w:val="22"/>
          <w:lang w:val="nl-NL" w:eastAsia="lt-LT"/>
        </w:rPr>
        <w:t>tiek</w:t>
      </w:r>
      <w:r w:rsidRPr="00E32486">
        <w:rPr>
          <w:rFonts w:ascii="Cambria" w:hAnsi="Cambria"/>
          <w:color w:val="000000"/>
          <w:sz w:val="22"/>
          <w:szCs w:val="22"/>
          <w:lang w:val="en-US" w:eastAsia="lt-LT"/>
        </w:rPr>
        <w:t xml:space="preserve">ėjų,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ū</w:t>
      </w:r>
      <w:r w:rsidRPr="00E32486">
        <w:rPr>
          <w:rFonts w:ascii="Cambria" w:hAnsi="Cambria"/>
          <w:color w:val="000000"/>
          <w:sz w:val="22"/>
          <w:szCs w:val="22"/>
          <w:lang w:val="it-IT" w:eastAsia="lt-LT"/>
        </w:rPr>
        <w:t>lymai neatmesti d</w:t>
      </w:r>
      <w:r w:rsidRPr="00E32486">
        <w:rPr>
          <w:rFonts w:ascii="Cambria" w:hAnsi="Cambria"/>
          <w:color w:val="000000"/>
          <w:sz w:val="22"/>
          <w:szCs w:val="22"/>
          <w:lang w:val="en-US" w:eastAsia="lt-LT"/>
        </w:rPr>
        <w:t xml:space="preserve">ėl kitų priežasčių ir kurių </w:t>
      </w:r>
      <w:r w:rsidRPr="00E32486">
        <w:rPr>
          <w:rFonts w:ascii="Cambria" w:hAnsi="Cambria"/>
          <w:color w:val="000000"/>
          <w:sz w:val="22"/>
          <w:szCs w:val="22"/>
          <w:lang w:val="es-ES_tradnl" w:eastAsia="lt-LT"/>
        </w:rPr>
        <w:t>pasi</w:t>
      </w:r>
      <w:r w:rsidRPr="00E32486">
        <w:rPr>
          <w:rFonts w:ascii="Cambria" w:hAnsi="Cambria"/>
          <w:color w:val="000000"/>
          <w:sz w:val="22"/>
          <w:szCs w:val="22"/>
          <w:lang w:val="en-US" w:eastAsia="lt-LT"/>
        </w:rPr>
        <w:t xml:space="preserve">ūlyta kaina neviršija pirkimui skirtų lėšų, nustatytų ir užfiksuotų </w:t>
      </w:r>
      <w:r w:rsidRPr="00E32486">
        <w:rPr>
          <w:rFonts w:ascii="Cambria" w:hAnsi="Cambria"/>
          <w:color w:val="000000"/>
          <w:sz w:val="22"/>
          <w:szCs w:val="22"/>
          <w:lang w:val="nl-NL" w:eastAsia="lt-LT"/>
        </w:rPr>
        <w:t>perkan</w:t>
      </w:r>
      <w:r w:rsidRPr="00E32486">
        <w:rPr>
          <w:rFonts w:ascii="Cambria" w:hAnsi="Cambria"/>
          <w:color w:val="000000"/>
          <w:sz w:val="22"/>
          <w:szCs w:val="22"/>
          <w:lang w:val="en-US" w:eastAsia="lt-LT"/>
        </w:rPr>
        <w:t>čiosios organizacijos rengiamuose dokumentuose prieš pradedant pirkimo procedūrą</w:t>
      </w:r>
      <w:r w:rsidRPr="00E32486">
        <w:rPr>
          <w:rFonts w:ascii="Cambria" w:hAnsi="Cambria"/>
          <w:color w:val="000000"/>
          <w:sz w:val="22"/>
          <w:szCs w:val="22"/>
          <w:lang w:val="es-ES_tradnl" w:eastAsia="lt-LT"/>
        </w:rPr>
        <w:t>, pasi</w:t>
      </w:r>
      <w:r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11.6</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E32486" w:rsidRDefault="00E32486" w:rsidP="009033D4">
      <w:pPr>
        <w:pStyle w:val="Body2"/>
        <w:tabs>
          <w:tab w:val="left" w:pos="567"/>
        </w:tabs>
        <w:spacing w:after="0"/>
        <w:rPr>
          <w:rFonts w:ascii="Cambria" w:hAnsi="Cambria" w:cs="Times New Roman"/>
          <w:color w:val="auto"/>
          <w:sz w:val="22"/>
          <w:szCs w:val="22"/>
        </w:rPr>
      </w:pP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13.1.7. Tiekėjas kartu su pasiūlymu nepateikė pirkimo sąlygų</w:t>
      </w:r>
      <w:r w:rsidRPr="00E32486">
        <w:rPr>
          <w:rFonts w:ascii="Cambria" w:hAnsi="Cambria"/>
          <w:iCs/>
          <w:color w:val="000000"/>
          <w:sz w:val="22"/>
          <w:szCs w:val="22"/>
          <w:lang w:val="en-US" w:eastAsia="lt-LT"/>
        </w:rPr>
        <w:t xml:space="preserve"> 5.11.2 punkte nurodyto dokumento. </w:t>
      </w:r>
      <w:r w:rsidRPr="00E32486">
        <w:rPr>
          <w:rFonts w:ascii="Cambria" w:hAnsi="Cambria"/>
          <w:color w:val="000000"/>
          <w:sz w:val="22"/>
          <w:szCs w:val="22"/>
          <w:lang w:val="en-US" w:eastAsia="lt-LT"/>
        </w:rPr>
        <w:t>Šiuo atveju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82408C" w:rsidRPr="0082408C">
        <w:rPr>
          <w:rFonts w:ascii="Cambria" w:hAnsi="Cambria"/>
          <w:color w:val="000000"/>
          <w:sz w:val="22"/>
          <w:szCs w:val="22"/>
          <w:lang w:eastAsia="lt-LT"/>
        </w:rPr>
        <w:t xml:space="preserve">Taikomos Viešųjų pirkimų tarnybos direktoriaus </w:t>
      </w:r>
      <w:r w:rsidR="0082408C" w:rsidRPr="0082408C">
        <w:rPr>
          <w:rFonts w:ascii="Cambria" w:hAnsi="Cambria"/>
          <w:color w:val="000000"/>
          <w:sz w:val="22"/>
          <w:szCs w:val="22"/>
          <w:lang w:val="en-US" w:eastAsia="lt-LT"/>
        </w:rPr>
        <w:t>2024 m. vasario 8 d. įsakymu Nr. 1S-19 „</w:t>
      </w:r>
      <w:r w:rsidR="0082408C" w:rsidRPr="0082408C">
        <w:rPr>
          <w:rFonts w:ascii="Cambria" w:hAnsi="Cambria"/>
          <w:bCs/>
          <w:color w:val="000000"/>
          <w:sz w:val="22"/>
          <w:szCs w:val="22"/>
          <w:lang w:eastAsia="lt-LT"/>
        </w:rPr>
        <w:t>Dėl prekių viešojo pirkimo–pardavimo sutarties tipinių sąlygų patvirtinimo“</w:t>
      </w:r>
      <w:r w:rsidR="0082408C" w:rsidRPr="0082408C">
        <w:rPr>
          <w:rFonts w:ascii="Cambria" w:hAnsi="Cambria"/>
          <w:color w:val="000000"/>
          <w:sz w:val="22"/>
          <w:szCs w:val="22"/>
          <w:lang w:val="en-US" w:eastAsia="lt-LT"/>
        </w:rPr>
        <w:t> (Viešųjų pirkimų tarnybos direktoriaus</w:t>
      </w:r>
      <w:r w:rsidR="0082408C" w:rsidRPr="0082408C">
        <w:rPr>
          <w:rFonts w:ascii="Cambria" w:hAnsi="Cambria"/>
          <w:color w:val="000000"/>
          <w:sz w:val="22"/>
          <w:szCs w:val="22"/>
          <w:lang w:eastAsia="lt-LT"/>
        </w:rPr>
        <w:t xml:space="preserve"> </w:t>
      </w:r>
      <w:r w:rsidR="0082408C" w:rsidRPr="0082408C">
        <w:rPr>
          <w:rFonts w:ascii="Cambria" w:hAnsi="Cambria"/>
          <w:color w:val="000000"/>
          <w:sz w:val="22"/>
          <w:szCs w:val="22"/>
          <w:lang w:val="en-US" w:eastAsia="lt-LT"/>
        </w:rPr>
        <w:t xml:space="preserve">2025 m. balandžio 17 d. įsakymo Nr. 1S-51 redakcija) </w:t>
      </w:r>
      <w:r w:rsidR="0082408C" w:rsidRPr="0082408C">
        <w:rPr>
          <w:rFonts w:ascii="Cambria" w:hAnsi="Cambria"/>
          <w:bCs/>
          <w:color w:val="000000"/>
          <w:sz w:val="22"/>
          <w:szCs w:val="22"/>
          <w:lang w:eastAsia="lt-LT"/>
        </w:rPr>
        <w:t>patvirtintos</w:t>
      </w:r>
      <w:r w:rsidR="0082408C" w:rsidRPr="0082408C">
        <w:rPr>
          <w:rFonts w:ascii="Cambria" w:hAnsi="Cambria"/>
          <w:color w:val="000000"/>
          <w:sz w:val="22"/>
          <w:szCs w:val="22"/>
          <w:lang w:val="en-US" w:eastAsia="lt-LT"/>
        </w:rPr>
        <w:t xml:space="preserve"> Prekių viešojo pirkimo–pardavimo sutarties specialiosios sąlygos</w:t>
      </w:r>
      <w:r w:rsidR="0082408C" w:rsidRPr="0082408C">
        <w:rPr>
          <w:rFonts w:ascii="Cambria" w:hAnsi="Cambria"/>
          <w:color w:val="000000"/>
          <w:sz w:val="22"/>
          <w:szCs w:val="22"/>
          <w:lang w:eastAsia="lt-LT"/>
        </w:rPr>
        <w:t xml:space="preserve"> (2 priedas) ir p</w:t>
      </w:r>
      <w:r w:rsidR="0082408C" w:rsidRPr="0082408C">
        <w:rPr>
          <w:rFonts w:ascii="Cambria" w:hAnsi="Cambria"/>
          <w:color w:val="000000"/>
          <w:sz w:val="22"/>
          <w:szCs w:val="22"/>
          <w:lang w:val="en-US" w:eastAsia="lt-LT"/>
        </w:rPr>
        <w:t>rekių viešojo pirkimo–pardavimo sutarties bendrosios sąlygos</w:t>
      </w:r>
      <w:r w:rsidR="0082408C">
        <w:rPr>
          <w:rFonts w:ascii="Cambria" w:hAnsi="Cambria"/>
          <w:color w:val="000000"/>
          <w:sz w:val="22"/>
          <w:szCs w:val="22"/>
          <w:lang w:eastAsia="lt-LT"/>
        </w:rPr>
        <w:t xml:space="preserve"> (</w:t>
      </w:r>
      <w:r w:rsidR="0082408C">
        <w:rPr>
          <w:rFonts w:ascii="Cambria" w:hAnsi="Cambria"/>
          <w:color w:val="000000"/>
          <w:sz w:val="22"/>
          <w:szCs w:val="22"/>
          <w:lang w:val="en-US" w:eastAsia="lt-LT"/>
        </w:rPr>
        <w:t>8</w:t>
      </w:r>
      <w:r w:rsidR="0082408C" w:rsidRPr="0082408C">
        <w:rPr>
          <w:rFonts w:ascii="Cambria" w:hAnsi="Cambria"/>
          <w:color w:val="000000"/>
          <w:sz w:val="22"/>
          <w:szCs w:val="22"/>
          <w:lang w:eastAsia="lt-LT"/>
        </w:rPr>
        <w:t xml:space="preserve"> priedas).</w:t>
      </w:r>
    </w:p>
    <w:p w:rsidR="007D1246" w:rsidRPr="007D1246"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17.3. Maksimali pradinės sutarties vertė 180 000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ED1293"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17.4.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19" w:rsidRDefault="005F5C19" w:rsidP="00D348FD">
      <w:r>
        <w:separator/>
      </w:r>
    </w:p>
  </w:endnote>
  <w:endnote w:type="continuationSeparator" w:id="0">
    <w:p w:rsidR="005F5C19" w:rsidRDefault="005F5C1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58" w:rsidRDefault="00380358">
    <w:pPr>
      <w:pStyle w:val="Footer"/>
      <w:jc w:val="right"/>
    </w:pPr>
  </w:p>
  <w:p w:rsidR="00380358" w:rsidRDefault="00380358">
    <w:pPr>
      <w:pStyle w:val="HeaderFooter"/>
      <w:tabs>
        <w:tab w:val="clear" w:pos="9020"/>
        <w:tab w:val="center" w:pos="4750"/>
        <w:tab w:val="right" w:pos="950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358" w:rsidRDefault="00380358">
    <w:pPr>
      <w:pStyle w:val="Footer"/>
      <w:jc w:val="right"/>
    </w:pPr>
  </w:p>
  <w:p w:rsidR="00380358" w:rsidRDefault="00380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19" w:rsidRDefault="005F5C19" w:rsidP="00D348FD">
      <w:r>
        <w:separator/>
      </w:r>
    </w:p>
  </w:footnote>
  <w:footnote w:type="continuationSeparator" w:id="0">
    <w:p w:rsidR="005F5C19" w:rsidRDefault="005F5C19" w:rsidP="00D348FD">
      <w:r>
        <w:continuationSeparator/>
      </w:r>
    </w:p>
  </w:footnote>
  <w:footnote w:id="1">
    <w:p w:rsidR="00380358" w:rsidRPr="00380358" w:rsidRDefault="00380358"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80358" w:rsidRPr="00380358" w:rsidRDefault="00380358"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380358" w:rsidRDefault="00380358"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A033D"/>
    <w:rsid w:val="001A0FB3"/>
    <w:rsid w:val="001A4824"/>
    <w:rsid w:val="001A6875"/>
    <w:rsid w:val="001A6DA0"/>
    <w:rsid w:val="001B1C41"/>
    <w:rsid w:val="001B29E3"/>
    <w:rsid w:val="001B66C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4004A6"/>
    <w:rsid w:val="00404831"/>
    <w:rsid w:val="00406A1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801168"/>
    <w:rsid w:val="00804D13"/>
    <w:rsid w:val="008051C4"/>
    <w:rsid w:val="0080629D"/>
    <w:rsid w:val="00812B6E"/>
    <w:rsid w:val="008150C0"/>
    <w:rsid w:val="00817B08"/>
    <w:rsid w:val="00821BCB"/>
    <w:rsid w:val="0082408C"/>
    <w:rsid w:val="00832CC1"/>
    <w:rsid w:val="00833845"/>
    <w:rsid w:val="00835113"/>
    <w:rsid w:val="00837416"/>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54D7C"/>
    <w:rsid w:val="00957318"/>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486"/>
    <w:rsid w:val="00E3259F"/>
    <w:rsid w:val="00E43192"/>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9532"/>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253D7-F4D0-49D4-B6A1-27B6FBA0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19</Pages>
  <Words>40183</Words>
  <Characters>22905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25</cp:revision>
  <cp:lastPrinted>2019-12-02T08:33:00Z</cp:lastPrinted>
  <dcterms:created xsi:type="dcterms:W3CDTF">2025-05-06T13:24:00Z</dcterms:created>
  <dcterms:modified xsi:type="dcterms:W3CDTF">2025-05-22T12:12:00Z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