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6A" w:rsidRPr="007D7D51" w:rsidRDefault="0020616A" w:rsidP="007D7D51">
      <w:pPr>
        <w:pStyle w:val="Heading"/>
        <w:ind w:firstLine="6379"/>
        <w:jc w:val="right"/>
        <w:rPr>
          <w:rFonts w:cs="Times New Roman"/>
          <w:b w:val="0"/>
          <w:sz w:val="24"/>
          <w:szCs w:val="24"/>
          <w:lang w:val="lt-LT"/>
        </w:rPr>
      </w:pPr>
      <w:r w:rsidRPr="007D7D51">
        <w:rPr>
          <w:rFonts w:cs="Times New Roman"/>
          <w:b w:val="0"/>
          <w:caps w:val="0"/>
          <w:sz w:val="24"/>
          <w:szCs w:val="24"/>
          <w:lang w:val="lt-LT"/>
        </w:rPr>
        <w:t xml:space="preserve">Pirkimo sąlygų </w:t>
      </w:r>
    </w:p>
    <w:p w:rsidR="0020616A" w:rsidRPr="007D7D51" w:rsidRDefault="0020616A" w:rsidP="007D7D51">
      <w:pPr>
        <w:pStyle w:val="Heading"/>
        <w:ind w:firstLine="6379"/>
        <w:jc w:val="right"/>
        <w:rPr>
          <w:rFonts w:cs="Times New Roman"/>
          <w:b w:val="0"/>
          <w:sz w:val="24"/>
          <w:szCs w:val="24"/>
          <w:lang w:val="lt-LT"/>
        </w:rPr>
      </w:pPr>
      <w:r w:rsidRPr="007D7D51">
        <w:rPr>
          <w:rFonts w:cs="Times New Roman"/>
          <w:b w:val="0"/>
          <w:caps w:val="0"/>
          <w:sz w:val="24"/>
          <w:szCs w:val="24"/>
          <w:lang w:val="lt-LT"/>
        </w:rPr>
        <w:t xml:space="preserve">1 priedas </w:t>
      </w:r>
    </w:p>
    <w:p w:rsidR="0020616A" w:rsidRPr="007D7D51" w:rsidRDefault="0020616A" w:rsidP="007D7D51">
      <w:pPr>
        <w:suppressAutoHyphens/>
        <w:spacing w:after="0" w:line="240" w:lineRule="auto"/>
        <w:jc w:val="center"/>
        <w:rPr>
          <w:rFonts w:ascii="Times New Roman" w:eastAsia="Times New Roman" w:hAnsi="Times New Roman" w:cs="Times New Roman"/>
          <w:b/>
          <w:sz w:val="16"/>
          <w:szCs w:val="16"/>
          <w:u w:val="single"/>
          <w:lang w:eastAsia="ar-SA"/>
        </w:rPr>
      </w:pPr>
    </w:p>
    <w:p w:rsidR="007D7D51" w:rsidRPr="007D7D51" w:rsidRDefault="007D7D51" w:rsidP="007D7D51">
      <w:pPr>
        <w:pStyle w:val="Title"/>
      </w:pPr>
      <w:r w:rsidRPr="007D7D51">
        <w:t>TECHNINĖ SPECIFIKACIJA KOJINĖMS LAUKO UNIFORMOS BATŲ</w:t>
      </w:r>
    </w:p>
    <w:p w:rsidR="007D7D51" w:rsidRDefault="007D7D51" w:rsidP="007D7D51">
      <w:pPr>
        <w:widowControl w:val="0"/>
        <w:spacing w:after="0" w:line="240" w:lineRule="auto"/>
        <w:jc w:val="center"/>
        <w:rPr>
          <w:rFonts w:ascii="Times New Roman" w:hAnsi="Times New Roman" w:cs="Times New Roman"/>
          <w:b/>
          <w:color w:val="FF0000"/>
          <w:sz w:val="24"/>
          <w:szCs w:val="24"/>
        </w:rPr>
      </w:pPr>
      <w:r w:rsidRPr="007D7D51">
        <w:rPr>
          <w:rFonts w:ascii="Times New Roman" w:hAnsi="Times New Roman" w:cs="Times New Roman"/>
          <w:b/>
          <w:color w:val="FF0000"/>
          <w:sz w:val="24"/>
          <w:szCs w:val="24"/>
        </w:rPr>
        <w:t>(1-a pirkimo dalis)</w:t>
      </w:r>
    </w:p>
    <w:p w:rsidR="007D7D51" w:rsidRPr="007D7D51" w:rsidRDefault="007D7D51" w:rsidP="007D7D51">
      <w:pPr>
        <w:widowControl w:val="0"/>
        <w:spacing w:after="0" w:line="240" w:lineRule="auto"/>
        <w:jc w:val="center"/>
        <w:rPr>
          <w:rFonts w:ascii="Times New Roman" w:hAnsi="Times New Roman" w:cs="Times New Roman"/>
          <w:color w:val="000000" w:themeColor="text1"/>
          <w:sz w:val="24"/>
          <w:szCs w:val="24"/>
        </w:rPr>
      </w:pP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I SKYRIUS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BENDROSIOS NUOSTATOS</w:t>
      </w:r>
    </w:p>
    <w:p w:rsidR="007D7D51" w:rsidRPr="007D7D51" w:rsidRDefault="007D7D51" w:rsidP="007D7D51">
      <w:pPr>
        <w:widowControl w:val="0"/>
        <w:spacing w:after="0" w:line="240" w:lineRule="auto"/>
        <w:rPr>
          <w:rFonts w:ascii="Times New Roman" w:hAnsi="Times New Roman" w:cs="Times New Roman"/>
          <w:b/>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Gynybos resursų agentūra prie Krašto apsaugos ministerijos (toliau – perkančioji organizacija) ketina įsigyti lauko uniformos batų kojines.</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turi atitikti šioje techninėje specifikacijoje pateiktus reikalavimus.</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gamybai naudojamos medžiagos turi atitikti minimalius aplinkos apsaugos kriterijus,</w:t>
      </w:r>
      <w:r w:rsidRPr="007D7D51">
        <w:rPr>
          <w:color w:val="000000"/>
        </w:rPr>
        <w:t xml:space="preserve"> nurodytus  Lietuvos Respublikos aplinkos ministro 2011 m. birželio 28 įsakymu Nr. D1-508 patvirtinto </w:t>
      </w:r>
      <w:r w:rsidRPr="007D7D51">
        <w:t>„Aplinkos apsaugos kriterijų taikymo, vykdant žaliuosius pirkimus, tvarkos aprašo “ 2 priedo IX skyriuje „Tekstilės gaminiai“.</w:t>
      </w:r>
    </w:p>
    <w:p w:rsidR="007D7D51" w:rsidRPr="007D7D51" w:rsidRDefault="007D7D51" w:rsidP="007D7D51">
      <w:pPr>
        <w:pStyle w:val="BodyTextIndent"/>
        <w:numPr>
          <w:ilvl w:val="0"/>
          <w:numId w:val="9"/>
        </w:numPr>
        <w:tabs>
          <w:tab w:val="clear" w:pos="1080"/>
        </w:tabs>
        <w:spacing w:after="0"/>
        <w:ind w:left="0" w:firstLine="720"/>
        <w:jc w:val="both"/>
      </w:pPr>
      <w:r w:rsidRPr="007D7D51">
        <w:t>Kariams reikalingų kojinių dydžiai pateikti 1 lentelėje, sudarytose pagal Lietuvos kariuomenėje priimtą dydžių sistemą. Esant būtinybei, gali būti pareikalauta pasiūti nestandartinių dydžių kojinių, neviršijant 2 % užsakyto kiekio.</w:t>
      </w:r>
    </w:p>
    <w:p w:rsidR="007D7D51" w:rsidRPr="007D7D51" w:rsidRDefault="007D7D51" w:rsidP="007D7D51">
      <w:pPr>
        <w:pStyle w:val="BodyTextIndent"/>
        <w:suppressAutoHyphens/>
        <w:spacing w:after="0"/>
        <w:ind w:left="720"/>
        <w:jc w:val="right"/>
      </w:pPr>
      <w:r w:rsidRPr="007D7D51">
        <w:t>1 lentelė</w:t>
      </w:r>
    </w:p>
    <w:p w:rsidR="007D7D51" w:rsidRPr="007D7D51" w:rsidRDefault="007D7D51" w:rsidP="007D7D51">
      <w:pPr>
        <w:pStyle w:val="BodyTextIndent"/>
        <w:suppressAutoHyphens/>
        <w:spacing w:after="0"/>
        <w:ind w:left="720"/>
        <w:jc w:val="center"/>
      </w:pPr>
      <w:r w:rsidRPr="007D7D51">
        <w:t>KOJINIŲ DYDŽIAI</w:t>
      </w:r>
    </w:p>
    <w:p w:rsidR="007D7D51" w:rsidRPr="007D7D51" w:rsidRDefault="007D7D51" w:rsidP="007D7D51">
      <w:pPr>
        <w:pStyle w:val="BodyTextIndent"/>
        <w:suppressAutoHyphens/>
        <w:spacing w:after="0"/>
        <w:ind w:left="720"/>
        <w:jc w:val="cente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95"/>
        <w:gridCol w:w="1196"/>
        <w:gridCol w:w="1197"/>
        <w:gridCol w:w="1197"/>
        <w:gridCol w:w="1197"/>
        <w:gridCol w:w="1197"/>
      </w:tblGrid>
      <w:tr w:rsidR="007D7D51" w:rsidRPr="007D7D51" w:rsidTr="0065038B">
        <w:tc>
          <w:tcPr>
            <w:tcW w:w="1668" w:type="dxa"/>
            <w:shd w:val="clear" w:color="auto" w:fill="auto"/>
          </w:tcPr>
          <w:p w:rsidR="007D7D51" w:rsidRPr="007D7D51" w:rsidRDefault="007D7D51" w:rsidP="007D7D51">
            <w:pPr>
              <w:pStyle w:val="BodyTextIndent"/>
              <w:suppressAutoHyphens/>
              <w:spacing w:after="0"/>
              <w:ind w:left="0"/>
              <w:jc w:val="both"/>
            </w:pPr>
            <w:r w:rsidRPr="007D7D51">
              <w:t>Gaminys</w:t>
            </w:r>
          </w:p>
        </w:tc>
        <w:tc>
          <w:tcPr>
            <w:tcW w:w="7179" w:type="dxa"/>
            <w:gridSpan w:val="6"/>
            <w:shd w:val="clear" w:color="auto" w:fill="auto"/>
          </w:tcPr>
          <w:p w:rsidR="007D7D51" w:rsidRPr="007D7D51" w:rsidRDefault="007D7D51" w:rsidP="007D7D51">
            <w:pPr>
              <w:pStyle w:val="BodyTextIndent"/>
              <w:suppressAutoHyphens/>
              <w:spacing w:after="0"/>
              <w:ind w:left="0"/>
              <w:jc w:val="center"/>
            </w:pPr>
            <w:r w:rsidRPr="007D7D51">
              <w:t>Dydžiai</w:t>
            </w:r>
          </w:p>
        </w:tc>
      </w:tr>
      <w:tr w:rsidR="007D7D51" w:rsidRPr="007D7D51" w:rsidTr="0065038B">
        <w:tc>
          <w:tcPr>
            <w:tcW w:w="1668" w:type="dxa"/>
            <w:shd w:val="clear" w:color="auto" w:fill="auto"/>
          </w:tcPr>
          <w:p w:rsidR="007D7D51" w:rsidRPr="007D7D51" w:rsidRDefault="007D7D51" w:rsidP="007D7D51">
            <w:pPr>
              <w:pStyle w:val="BodyTextIndent"/>
              <w:suppressAutoHyphens/>
              <w:spacing w:after="0"/>
              <w:ind w:left="0"/>
              <w:jc w:val="both"/>
            </w:pPr>
            <w:r w:rsidRPr="007D7D51">
              <w:t>Kojinės</w:t>
            </w:r>
          </w:p>
        </w:tc>
        <w:tc>
          <w:tcPr>
            <w:tcW w:w="1195" w:type="dxa"/>
            <w:shd w:val="clear" w:color="auto" w:fill="auto"/>
          </w:tcPr>
          <w:p w:rsidR="007D7D51" w:rsidRPr="007D7D51" w:rsidRDefault="007D7D51" w:rsidP="007D7D51">
            <w:pPr>
              <w:pStyle w:val="BodyTextIndent"/>
              <w:suppressAutoHyphens/>
              <w:spacing w:after="0"/>
              <w:ind w:left="0"/>
              <w:jc w:val="center"/>
            </w:pPr>
            <w:r w:rsidRPr="007D7D51">
              <w:t>23</w:t>
            </w:r>
          </w:p>
        </w:tc>
        <w:tc>
          <w:tcPr>
            <w:tcW w:w="1196" w:type="dxa"/>
            <w:shd w:val="clear" w:color="auto" w:fill="auto"/>
          </w:tcPr>
          <w:p w:rsidR="007D7D51" w:rsidRPr="007D7D51" w:rsidRDefault="007D7D51" w:rsidP="007D7D51">
            <w:pPr>
              <w:pStyle w:val="BodyTextIndent"/>
              <w:suppressAutoHyphens/>
              <w:spacing w:after="0"/>
              <w:ind w:left="0"/>
              <w:jc w:val="center"/>
            </w:pPr>
            <w:r w:rsidRPr="007D7D51">
              <w:t>25</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27</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29</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31</w:t>
            </w:r>
          </w:p>
        </w:tc>
        <w:tc>
          <w:tcPr>
            <w:tcW w:w="1197" w:type="dxa"/>
            <w:shd w:val="clear" w:color="auto" w:fill="auto"/>
          </w:tcPr>
          <w:p w:rsidR="007D7D51" w:rsidRPr="007D7D51" w:rsidRDefault="007D7D51" w:rsidP="007D7D51">
            <w:pPr>
              <w:pStyle w:val="BodyTextIndent"/>
              <w:suppressAutoHyphens/>
              <w:spacing w:after="0"/>
              <w:ind w:left="0"/>
              <w:jc w:val="center"/>
            </w:pPr>
            <w:r w:rsidRPr="007D7D51">
              <w:t>33</w:t>
            </w:r>
          </w:p>
        </w:tc>
      </w:tr>
    </w:tbl>
    <w:p w:rsidR="007D7D51" w:rsidRPr="007D7D51" w:rsidRDefault="007D7D51" w:rsidP="007D7D51">
      <w:pPr>
        <w:pStyle w:val="BodyTextIndent"/>
        <w:spacing w:after="0"/>
        <w:jc w:val="both"/>
        <w:rPr>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Gaminių kokybės garantijos terminas – 12 mėnesių aktyvios eksploatacijos sąlygomis, kuris skaičiuojamas nuo prekių išdavimo iš Pirkėjo sandėlio dienos, ir 24 mėnesiai nuo prekių priėmimo į sandėlį dokumentų pasirašymo dienos.</w:t>
      </w:r>
    </w:p>
    <w:p w:rsidR="007D7D51" w:rsidRPr="007D7D51" w:rsidRDefault="007D7D51" w:rsidP="007D7D51">
      <w:pPr>
        <w:pStyle w:val="Title"/>
        <w:rPr>
          <w:sz w:val="16"/>
          <w:szCs w:val="16"/>
        </w:rPr>
      </w:pP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II SKYRIUS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TECHNINIAI REIKALAVIMAI</w:t>
      </w:r>
    </w:p>
    <w:p w:rsidR="007D7D51" w:rsidRPr="007D7D51" w:rsidRDefault="007D7D51" w:rsidP="007D7D51">
      <w:pPr>
        <w:pStyle w:val="Title"/>
        <w:rPr>
          <w:sz w:val="16"/>
          <w:szCs w:val="16"/>
        </w:rPr>
      </w:pPr>
    </w:p>
    <w:p w:rsidR="007D7D51" w:rsidRPr="007D7D51" w:rsidRDefault="007D7D51" w:rsidP="007D7D51">
      <w:pPr>
        <w:pStyle w:val="BodyTextIndent"/>
        <w:numPr>
          <w:ilvl w:val="0"/>
          <w:numId w:val="9"/>
        </w:numPr>
        <w:tabs>
          <w:tab w:val="clear" w:pos="1080"/>
        </w:tabs>
        <w:spacing w:after="0"/>
        <w:ind w:left="0" w:firstLine="720"/>
        <w:jc w:val="both"/>
      </w:pPr>
      <w:r w:rsidRPr="007D7D51">
        <w:t>Kojinių spalva - samanų (artima spalvos kodui 18-0426 TP pagal PANTONE TEXTILE spalvų katalogą), mišrios pluoštinės sudėties, numegztos iš nustatytos sudėties (nurodytos 4 lentelėje) verpalų/siūlų.</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gaminamos poromis. Abejos poros kojinės turi būti vienodos, simetriškos.</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Kojinių dydį nurodo žmogaus pėdos ilgis centimetrais. Kojinių bazinis dydis yra 27. Pagrindiniai bazinio dydžio gaminio matai (cm) ir leistini nuokrypiai nuo matų pateikti 3 lentelėje. Pagrindinių matmenų matavimo vietos nurodytos priedo eskize. </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viršaus kraštelis mažiausiai 2 eilutės turi būti numegztos spalvotais siūlais, taip pažymint skirtingus dydžius. Dydžius žyminčios spalvos nurodytos 2 lentelėje.</w:t>
      </w:r>
    </w:p>
    <w:p w:rsidR="007D7D51" w:rsidRPr="007D7D51" w:rsidRDefault="007D7D51" w:rsidP="007D7D51">
      <w:pPr>
        <w:pStyle w:val="BodyTextIndent"/>
        <w:spacing w:after="0"/>
        <w:jc w:val="both"/>
        <w:rPr>
          <w:sz w:val="16"/>
          <w:szCs w:val="16"/>
        </w:rPr>
      </w:pPr>
    </w:p>
    <w:p w:rsidR="007D7D51" w:rsidRPr="007D7D51" w:rsidRDefault="007D7D51" w:rsidP="007D7D51">
      <w:pPr>
        <w:spacing w:after="0" w:line="240" w:lineRule="auto"/>
        <w:jc w:val="right"/>
        <w:rPr>
          <w:rFonts w:ascii="Times New Roman" w:hAnsi="Times New Roman" w:cs="Times New Roman"/>
          <w:sz w:val="24"/>
          <w:szCs w:val="24"/>
        </w:rPr>
      </w:pPr>
      <w:r w:rsidRPr="007D7D51">
        <w:rPr>
          <w:rFonts w:ascii="Times New Roman" w:hAnsi="Times New Roman" w:cs="Times New Roman"/>
          <w:sz w:val="24"/>
          <w:szCs w:val="24"/>
        </w:rPr>
        <w:t>2 lentelė</w:t>
      </w:r>
    </w:p>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DYDŽIUS ŽYMINČIOS SPALVOS</w:t>
      </w:r>
    </w:p>
    <w:p w:rsidR="007D7D51" w:rsidRPr="007D7D51" w:rsidRDefault="007D7D51" w:rsidP="007D7D51">
      <w:pPr>
        <w:spacing w:after="0" w:line="240" w:lineRule="auto"/>
        <w:jc w:val="cente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528"/>
      </w:tblGrid>
      <w:tr w:rsidR="007D7D51" w:rsidRPr="007D7D51" w:rsidTr="0065038B">
        <w:trPr>
          <w:trHeight w:hRule="exact" w:val="680"/>
          <w:jc w:val="center"/>
        </w:trPr>
        <w:tc>
          <w:tcPr>
            <w:tcW w:w="1843"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Dydis</w:t>
            </w:r>
          </w:p>
        </w:tc>
        <w:tc>
          <w:tcPr>
            <w:tcW w:w="552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Dydžio žymėjimo spalvos</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23</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žalia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25</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šviesiai pilka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27</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tamsiai mėlyna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29</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raudona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31</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geltona</w:t>
            </w:r>
          </w:p>
        </w:tc>
      </w:tr>
      <w:tr w:rsidR="007D7D51" w:rsidRPr="007D7D51" w:rsidTr="0065038B">
        <w:trPr>
          <w:trHeight w:hRule="exact" w:val="397"/>
          <w:jc w:val="center"/>
        </w:trPr>
        <w:tc>
          <w:tcPr>
            <w:tcW w:w="1843" w:type="dxa"/>
            <w:shd w:val="clear" w:color="auto" w:fill="auto"/>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33</w:t>
            </w:r>
          </w:p>
        </w:tc>
        <w:tc>
          <w:tcPr>
            <w:tcW w:w="5528" w:type="dxa"/>
            <w:shd w:val="clear" w:color="auto" w:fill="auto"/>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ryškiai mėlyna</w:t>
            </w:r>
          </w:p>
        </w:tc>
      </w:tr>
    </w:tbl>
    <w:p w:rsidR="007D7D51" w:rsidRPr="007D7D51" w:rsidRDefault="007D7D51" w:rsidP="007D7D51">
      <w:pPr>
        <w:pStyle w:val="BodyTextIndent"/>
        <w:numPr>
          <w:ilvl w:val="0"/>
          <w:numId w:val="9"/>
        </w:numPr>
        <w:tabs>
          <w:tab w:val="clear" w:pos="1080"/>
        </w:tabs>
        <w:spacing w:after="0"/>
        <w:ind w:left="0" w:firstLine="720"/>
        <w:jc w:val="both"/>
      </w:pPr>
      <w:r w:rsidRPr="007D7D51">
        <w:lastRenderedPageBreak/>
        <w:t>Kojinių kulno ir pirštų sritis turi būti pastiprinta, kad būtų atsparesnė dilimui.</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Kojinės (blauzdos) ilgis (bazinio 27 dydžio) – 24,0 ± 1,0 cm, kraštelio aukštis 6,5 </w:t>
      </w:r>
      <w:r w:rsidRPr="007D7D51">
        <w:rPr>
          <w:color w:val="000000"/>
        </w:rPr>
        <w:t xml:space="preserve">± </w:t>
      </w:r>
      <w:r w:rsidRPr="007D7D51">
        <w:t xml:space="preserve"> 0,5 cm.</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Gaminių konstrukcijai turi būti panaudoti LST ISO 8559 (ISO 8559) ,,Drabužių konstravimas ir </w:t>
      </w:r>
      <w:proofErr w:type="spellStart"/>
      <w:r w:rsidRPr="007D7D51">
        <w:t>antropometriniai</w:t>
      </w:r>
      <w:proofErr w:type="spellEnd"/>
      <w:r w:rsidRPr="007D7D51">
        <w:t xml:space="preserve"> matavimai. Kūno matmenys“ duomenys. (arba lygiaverčio standarto duomenys)</w:t>
      </w:r>
    </w:p>
    <w:p w:rsidR="007D7D51" w:rsidRPr="007D7D51" w:rsidRDefault="007D7D51" w:rsidP="007D7D51">
      <w:pPr>
        <w:spacing w:after="0" w:line="240" w:lineRule="auto"/>
        <w:ind w:left="1080"/>
        <w:jc w:val="right"/>
        <w:rPr>
          <w:rFonts w:ascii="Times New Roman" w:hAnsi="Times New Roman" w:cs="Times New Roman"/>
          <w:sz w:val="16"/>
          <w:szCs w:val="16"/>
        </w:rPr>
      </w:pPr>
    </w:p>
    <w:p w:rsidR="007D7D51" w:rsidRPr="007D7D51" w:rsidRDefault="007D7D51" w:rsidP="007D7D51">
      <w:pPr>
        <w:spacing w:after="0" w:line="240" w:lineRule="auto"/>
        <w:ind w:left="1080"/>
        <w:jc w:val="right"/>
        <w:rPr>
          <w:rFonts w:ascii="Times New Roman" w:hAnsi="Times New Roman" w:cs="Times New Roman"/>
          <w:sz w:val="24"/>
          <w:szCs w:val="24"/>
        </w:rPr>
      </w:pPr>
      <w:r w:rsidRPr="007D7D51">
        <w:rPr>
          <w:rFonts w:ascii="Times New Roman" w:hAnsi="Times New Roman" w:cs="Times New Roman"/>
          <w:sz w:val="24"/>
          <w:szCs w:val="24"/>
        </w:rPr>
        <w:t>3 lentelė</w:t>
      </w:r>
    </w:p>
    <w:p w:rsidR="007D7D51" w:rsidRPr="007D7D51" w:rsidRDefault="007D7D51" w:rsidP="007D7D51">
      <w:pPr>
        <w:spacing w:after="0" w:line="240" w:lineRule="auto"/>
        <w:ind w:left="1080"/>
        <w:jc w:val="center"/>
        <w:rPr>
          <w:rFonts w:ascii="Times New Roman" w:hAnsi="Times New Roman" w:cs="Times New Roman"/>
          <w:sz w:val="24"/>
          <w:szCs w:val="24"/>
        </w:rPr>
      </w:pPr>
      <w:r w:rsidRPr="007D7D51">
        <w:rPr>
          <w:rFonts w:ascii="Times New Roman" w:hAnsi="Times New Roman" w:cs="Times New Roman"/>
          <w:sz w:val="24"/>
          <w:szCs w:val="24"/>
        </w:rPr>
        <w:t>KOJINIŲ BAZINIO DYDŽIO PAGRINDINIŲ MATMENŲ MATŲ LENTELĖ</w:t>
      </w:r>
    </w:p>
    <w:p w:rsidR="007D7D51" w:rsidRPr="007D7D51" w:rsidRDefault="007D7D51" w:rsidP="007D7D51">
      <w:pPr>
        <w:spacing w:after="0" w:line="240" w:lineRule="auto"/>
        <w:ind w:left="1080"/>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5668"/>
        <w:gridCol w:w="1407"/>
        <w:gridCol w:w="1415"/>
      </w:tblGrid>
      <w:tr w:rsidR="007D7D51" w:rsidRPr="007D7D51" w:rsidTr="0065038B">
        <w:trPr>
          <w:trHeight w:hRule="exact" w:val="851"/>
        </w:trPr>
        <w:tc>
          <w:tcPr>
            <w:tcW w:w="851"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Matmuo</w:t>
            </w:r>
          </w:p>
        </w:tc>
        <w:tc>
          <w:tcPr>
            <w:tcW w:w="5812"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bCs/>
                <w:sz w:val="24"/>
                <w:szCs w:val="24"/>
              </w:rPr>
              <w:t>Matavimo vieta/  matmuo</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Matmens dydis, cm</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bCs/>
                <w:sz w:val="24"/>
                <w:szCs w:val="24"/>
              </w:rPr>
              <w:t>Leistini nuokrypiai,</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cm</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A</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viršutinio krašto aukštis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6,5</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B</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blauzdos ilgis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24,0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1,0</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C</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pėdos ilgis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22,0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1,0</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D</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plotis/apimtis viršuje (1/2) </w:t>
            </w: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8,0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r w:rsidR="007D7D51" w:rsidRPr="007D7D51" w:rsidTr="0065038B">
        <w:trPr>
          <w:trHeight w:hRule="exact" w:val="397"/>
        </w:trPr>
        <w:tc>
          <w:tcPr>
            <w:tcW w:w="851"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E</w:t>
            </w:r>
          </w:p>
        </w:tc>
        <w:tc>
          <w:tcPr>
            <w:tcW w:w="5812" w:type="dxa"/>
            <w:shd w:val="clear" w:color="auto" w:fill="auto"/>
            <w:vAlign w:val="center"/>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Kojinės pėdos plotis/apimtis (1/2) </w:t>
            </w:r>
          </w:p>
          <w:p w:rsidR="007D7D51" w:rsidRPr="007D7D51" w:rsidRDefault="007D7D51" w:rsidP="007D7D51">
            <w:pPr>
              <w:spacing w:after="0" w:line="240" w:lineRule="auto"/>
              <w:rPr>
                <w:rFonts w:ascii="Times New Roman" w:hAnsi="Times New Roman" w:cs="Times New Roman"/>
                <w:sz w:val="24"/>
                <w:szCs w:val="24"/>
              </w:rPr>
            </w:pPr>
          </w:p>
        </w:tc>
        <w:tc>
          <w:tcPr>
            <w:tcW w:w="1417"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9,0</w:t>
            </w:r>
          </w:p>
        </w:tc>
        <w:tc>
          <w:tcPr>
            <w:tcW w:w="1418" w:type="dxa"/>
            <w:shd w:val="clear" w:color="auto" w:fill="auto"/>
            <w:vAlign w:val="center"/>
          </w:tcPr>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t>0,5</w:t>
            </w:r>
          </w:p>
        </w:tc>
      </w:tr>
    </w:tbl>
    <w:p w:rsidR="007D7D51" w:rsidRPr="007D7D51" w:rsidRDefault="007D7D51" w:rsidP="007D7D51">
      <w:pPr>
        <w:pStyle w:val="Title"/>
        <w:jc w:val="left"/>
        <w:rPr>
          <w:sz w:val="16"/>
          <w:szCs w:val="16"/>
        </w:rPr>
      </w:pPr>
    </w:p>
    <w:p w:rsidR="007D7D51" w:rsidRPr="007D7D51" w:rsidRDefault="007D7D51" w:rsidP="007D7D51">
      <w:pPr>
        <w:widowControl w:val="0"/>
        <w:spacing w:after="0" w:line="240" w:lineRule="auto"/>
        <w:jc w:val="both"/>
        <w:rPr>
          <w:rFonts w:ascii="Times New Roman" w:hAnsi="Times New Roman" w:cs="Times New Roman"/>
          <w:sz w:val="24"/>
          <w:szCs w:val="24"/>
        </w:rPr>
      </w:pPr>
      <w:r w:rsidRPr="007D7D51">
        <w:rPr>
          <w:rFonts w:ascii="Times New Roman" w:hAnsi="Times New Roman" w:cs="Times New Roman"/>
          <w:b/>
          <w:sz w:val="24"/>
          <w:szCs w:val="24"/>
        </w:rPr>
        <w:t>Pastaba</w:t>
      </w:r>
      <w:r w:rsidRPr="007D7D51">
        <w:rPr>
          <w:rFonts w:ascii="Times New Roman" w:hAnsi="Times New Roman" w:cs="Times New Roman"/>
          <w:sz w:val="24"/>
          <w:szCs w:val="24"/>
        </w:rPr>
        <w:t xml:space="preserve">: Matų lentelė (su visų dydžių gaminių </w:t>
      </w:r>
      <w:proofErr w:type="spellStart"/>
      <w:r w:rsidRPr="007D7D51">
        <w:rPr>
          <w:rFonts w:ascii="Times New Roman" w:hAnsi="Times New Roman" w:cs="Times New Roman"/>
          <w:sz w:val="24"/>
          <w:szCs w:val="24"/>
        </w:rPr>
        <w:t>išmatavimais</w:t>
      </w:r>
      <w:proofErr w:type="spellEnd"/>
      <w:r w:rsidRPr="007D7D51">
        <w:rPr>
          <w:rFonts w:ascii="Times New Roman" w:hAnsi="Times New Roman" w:cs="Times New Roman"/>
          <w:sz w:val="24"/>
          <w:szCs w:val="24"/>
        </w:rPr>
        <w:t>) derinama su konkurso laimėtoju, pasirašius sutartį.</w:t>
      </w:r>
    </w:p>
    <w:p w:rsidR="007D7D51" w:rsidRPr="007D7D51" w:rsidRDefault="007D7D51" w:rsidP="007D7D51">
      <w:pPr>
        <w:pStyle w:val="Title"/>
        <w:jc w:val="left"/>
        <w:rPr>
          <w:sz w:val="16"/>
          <w:szCs w:val="16"/>
        </w:rPr>
      </w:pPr>
      <w:r w:rsidRPr="007D7D51">
        <w:t xml:space="preserve"> </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Kojinių blauzdos pagrindinė ir pėdos apatinė dalys megztos lygiuoju skersiniu </w:t>
      </w:r>
      <w:proofErr w:type="spellStart"/>
      <w:r w:rsidRPr="007D7D51">
        <w:t>platiruotuoju</w:t>
      </w:r>
      <w:proofErr w:type="spellEnd"/>
      <w:r w:rsidRPr="007D7D51">
        <w:t xml:space="preserve"> pynimu. Dėvėjimo komfortabilumui ir oro pralaidumui užtikrinti funkcinėje zonoje (pėdos viršutinėje ir kelties srityse) naudojamas </w:t>
      </w:r>
      <w:proofErr w:type="spellStart"/>
      <w:r w:rsidRPr="007D7D51">
        <w:t>platiruotasis</w:t>
      </w:r>
      <w:proofErr w:type="spellEnd"/>
      <w:r w:rsidRPr="007D7D51">
        <w:t xml:space="preserve"> tąsinis pynimas. Mezginys turi būti tolygus, be nutrūkusių siūlų/gijų, mazgų, skylučių, nubėgusių akių.</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Kraštelis mezgamas </w:t>
      </w:r>
      <w:proofErr w:type="spellStart"/>
      <w:r w:rsidRPr="007D7D51">
        <w:t>lastikiniu</w:t>
      </w:r>
      <w:proofErr w:type="spellEnd"/>
      <w:r w:rsidRPr="007D7D51">
        <w:t xml:space="preserve"> 1+1 pynimu, </w:t>
      </w:r>
      <w:proofErr w:type="spellStart"/>
      <w:r w:rsidRPr="007D7D51">
        <w:t>platiruojant</w:t>
      </w:r>
      <w:proofErr w:type="spellEnd"/>
      <w:r w:rsidRPr="007D7D51">
        <w:t xml:space="preserve">, bei paklojant </w:t>
      </w:r>
      <w:proofErr w:type="spellStart"/>
      <w:r w:rsidRPr="007D7D51">
        <w:t>elastomerinį</w:t>
      </w:r>
      <w:proofErr w:type="spellEnd"/>
      <w:r w:rsidRPr="007D7D51">
        <w:t xml:space="preserve"> siūlą, apsuktą poliamidiniu siūlu.</w:t>
      </w:r>
    </w:p>
    <w:p w:rsidR="007D7D51" w:rsidRPr="007D7D51" w:rsidRDefault="007D7D51" w:rsidP="007D7D51">
      <w:pPr>
        <w:pStyle w:val="BodyTextIndent"/>
        <w:numPr>
          <w:ilvl w:val="0"/>
          <w:numId w:val="9"/>
        </w:numPr>
        <w:tabs>
          <w:tab w:val="clear" w:pos="1080"/>
        </w:tabs>
        <w:spacing w:after="0"/>
        <w:ind w:left="0" w:firstLine="720"/>
        <w:jc w:val="both"/>
      </w:pPr>
      <w:r w:rsidRPr="007D7D51">
        <w:t>Neleidžiami atspalviai tarp tos pačios poros kojinių.</w:t>
      </w:r>
    </w:p>
    <w:p w:rsidR="007D7D51" w:rsidRPr="007D7D51" w:rsidRDefault="007D7D51" w:rsidP="007D7D51">
      <w:pPr>
        <w:pStyle w:val="BodyTextIndent"/>
        <w:numPr>
          <w:ilvl w:val="0"/>
          <w:numId w:val="9"/>
        </w:numPr>
        <w:tabs>
          <w:tab w:val="clear" w:pos="1080"/>
        </w:tabs>
        <w:spacing w:after="0"/>
        <w:ind w:left="0" w:firstLine="720"/>
        <w:jc w:val="both"/>
      </w:pPr>
      <w:r w:rsidRPr="007D7D51">
        <w:t>Trikotažinės medžiagos apdailos būdai ar gaminių apdirbimo būdai, priedai turi atitikti kojinių gamybos bei siuvimo tipines technologijas.</w:t>
      </w:r>
    </w:p>
    <w:p w:rsidR="007D7D51" w:rsidRPr="007D7D51" w:rsidRDefault="007D7D51" w:rsidP="007D7D51">
      <w:pPr>
        <w:pStyle w:val="BodyTextIndent"/>
        <w:numPr>
          <w:ilvl w:val="0"/>
          <w:numId w:val="9"/>
        </w:numPr>
        <w:tabs>
          <w:tab w:val="clear" w:pos="1080"/>
        </w:tabs>
        <w:spacing w:after="0"/>
        <w:ind w:left="0" w:firstLine="720"/>
        <w:jc w:val="both"/>
      </w:pPr>
      <w:r w:rsidRPr="007D7D51">
        <w:t>Užleidimai siūlėms turi būti tokie, kad užtikrintų reikiamą gaminio tvirtumą ir kokybę eksploatacijos metu.</w:t>
      </w:r>
    </w:p>
    <w:p w:rsidR="007D7D51" w:rsidRPr="007D7D51" w:rsidRDefault="007D7D51" w:rsidP="007D7D51">
      <w:pPr>
        <w:pStyle w:val="BodyTextIndent"/>
        <w:numPr>
          <w:ilvl w:val="0"/>
          <w:numId w:val="9"/>
        </w:numPr>
        <w:tabs>
          <w:tab w:val="clear" w:pos="1080"/>
        </w:tabs>
        <w:spacing w:after="0"/>
        <w:ind w:left="0" w:firstLine="720"/>
        <w:jc w:val="both"/>
      </w:pPr>
      <w:r w:rsidRPr="007D7D51">
        <w:t>Pirštų siūlė turi būti prinarstyta specialia mašina arba atlikta kitu būdu, užtikrinančiu lygiavertę (elastingą ir minkštą) siūlės kokybę. Pirštų užbaigimo siūlė turi būti lygi ir tiesi.</w:t>
      </w:r>
    </w:p>
    <w:p w:rsidR="007D7D51" w:rsidRPr="007D7D51" w:rsidRDefault="007D7D51" w:rsidP="007D7D51">
      <w:pPr>
        <w:pStyle w:val="BodyTextIndent"/>
        <w:numPr>
          <w:ilvl w:val="0"/>
          <w:numId w:val="9"/>
        </w:numPr>
        <w:tabs>
          <w:tab w:val="clear" w:pos="1080"/>
        </w:tabs>
        <w:spacing w:after="0"/>
        <w:ind w:left="0" w:firstLine="720"/>
        <w:jc w:val="both"/>
      </w:pPr>
      <w:r w:rsidRPr="007D7D51">
        <w:t>Kojinės turi būti formuojamos pagal dydžius, užtikrinant gaminių išlyginimą be lūžių ir klosčių. Kojinės poroje turi būti vienodos, jų pagrindiniai išmatavimai neturi skirtis daugiau kaip 0,5 cm.</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Kojinėms gali būti atlikta </w:t>
      </w:r>
      <w:proofErr w:type="spellStart"/>
      <w:r w:rsidRPr="007D7D51">
        <w:t>hidrofilinė</w:t>
      </w:r>
      <w:proofErr w:type="spellEnd"/>
      <w:r w:rsidRPr="007D7D51">
        <w:t xml:space="preserve"> apdaila.</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Gaminių technologinis apdirbimas ir siūlių kokybė turi atitikti bendrus šios kategorijos/rūšies darbužių kokybės reikalavimus, keliamus gaminių technologiniam apdirbimui ir siūlėms. Negali būti nutrūkusių siūlų, nesusiūtų tarpų, sudūrimų, dygsnių praleidimų. Visų siūlių galai turi būti tinkamai užtvirtinti ir neirti dėvėjimo metu. Sujungiamos medžiagos turi būti nepažeistos, be prakirtimų. </w:t>
      </w:r>
    </w:p>
    <w:p w:rsidR="007D7D51" w:rsidRPr="007D7D51" w:rsidRDefault="007D7D51" w:rsidP="007D7D51">
      <w:pPr>
        <w:pStyle w:val="BodyTextIndent"/>
        <w:numPr>
          <w:ilvl w:val="0"/>
          <w:numId w:val="9"/>
        </w:numPr>
        <w:tabs>
          <w:tab w:val="clear" w:pos="1080"/>
        </w:tabs>
        <w:spacing w:after="0"/>
        <w:ind w:left="0" w:firstLine="720"/>
        <w:jc w:val="both"/>
      </w:pPr>
      <w:r w:rsidRPr="007D7D51">
        <w:t>Kojinių gamybai parenkami verpalai/siūlai (jų kokybė, rūšis, storis) turi būti taip, kad užtikrintų funkcines gaminio savybes ir techninius reikalavimus.</w:t>
      </w: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Verpalų/siūlų storis turi būti parinktas toks, kad būtų išlaikytos 4 lentelėje pateiktos kojinių techninės charakteristikos ir atitiktų pateiktus 3 lentelėje matus. </w:t>
      </w: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Default="007D7D51" w:rsidP="007D7D51">
      <w:pPr>
        <w:spacing w:after="0" w:line="240" w:lineRule="auto"/>
        <w:ind w:left="567" w:hanging="425"/>
        <w:rPr>
          <w:rFonts w:ascii="Times New Roman" w:hAnsi="Times New Roman" w:cs="Times New Roman"/>
          <w:b/>
          <w:sz w:val="16"/>
          <w:szCs w:val="16"/>
        </w:rPr>
      </w:pPr>
    </w:p>
    <w:p w:rsidR="007D7D51" w:rsidRPr="007D7D51" w:rsidRDefault="007D7D51" w:rsidP="007D7D51">
      <w:pPr>
        <w:spacing w:after="0" w:line="240" w:lineRule="auto"/>
        <w:ind w:left="567" w:hanging="425"/>
        <w:rPr>
          <w:rFonts w:ascii="Times New Roman" w:hAnsi="Times New Roman" w:cs="Times New Roman"/>
          <w:b/>
          <w:sz w:val="16"/>
          <w:szCs w:val="16"/>
        </w:rPr>
      </w:pPr>
    </w:p>
    <w:p w:rsidR="007D7D51" w:rsidRPr="007D7D51" w:rsidRDefault="007D7D51" w:rsidP="007D7D51">
      <w:pPr>
        <w:spacing w:after="0" w:line="240" w:lineRule="auto"/>
        <w:jc w:val="center"/>
        <w:rPr>
          <w:rFonts w:ascii="Times New Roman" w:hAnsi="Times New Roman" w:cs="Times New Roman"/>
          <w:sz w:val="24"/>
          <w:szCs w:val="24"/>
        </w:rPr>
      </w:pPr>
      <w:r w:rsidRPr="007D7D51">
        <w:rPr>
          <w:rFonts w:ascii="Times New Roman" w:hAnsi="Times New Roman" w:cs="Times New Roman"/>
          <w:sz w:val="24"/>
          <w:szCs w:val="24"/>
        </w:rPr>
        <w:lastRenderedPageBreak/>
        <w:t>KOJINIŲ LAUKO BATŲ TECHNINĖS CHARAKTERISTIKOS</w:t>
      </w:r>
    </w:p>
    <w:p w:rsidR="007D7D51" w:rsidRPr="007D7D51" w:rsidRDefault="007D7D51" w:rsidP="007D7D51">
      <w:pPr>
        <w:spacing w:after="0" w:line="240" w:lineRule="auto"/>
        <w:jc w:val="center"/>
        <w:rPr>
          <w:rFonts w:ascii="Times New Roman" w:hAnsi="Times New Roman" w:cs="Times New Roman"/>
          <w:sz w:val="24"/>
          <w:szCs w:val="24"/>
        </w:rPr>
      </w:pPr>
    </w:p>
    <w:p w:rsidR="007D7D51" w:rsidRPr="007D7D51" w:rsidRDefault="007D7D51" w:rsidP="007D7D51">
      <w:pPr>
        <w:spacing w:after="0" w:line="240" w:lineRule="auto"/>
        <w:jc w:val="right"/>
        <w:rPr>
          <w:rFonts w:ascii="Times New Roman" w:hAnsi="Times New Roman" w:cs="Times New Roman"/>
          <w:sz w:val="24"/>
          <w:szCs w:val="24"/>
        </w:rPr>
      </w:pPr>
      <w:r w:rsidRPr="007D7D51">
        <w:rPr>
          <w:rFonts w:ascii="Times New Roman" w:hAnsi="Times New Roman" w:cs="Times New Roman"/>
          <w:sz w:val="24"/>
          <w:szCs w:val="24"/>
        </w:rPr>
        <w:t>4 lentelė</w:t>
      </w:r>
    </w:p>
    <w:tbl>
      <w:tblPr>
        <w:tblW w:w="9490" w:type="dxa"/>
        <w:tblLayout w:type="fixed"/>
        <w:tblCellMar>
          <w:left w:w="28" w:type="dxa"/>
          <w:right w:w="28" w:type="dxa"/>
        </w:tblCellMar>
        <w:tblLook w:val="0000" w:firstRow="0" w:lastRow="0" w:firstColumn="0" w:lastColumn="0" w:noHBand="0" w:noVBand="0"/>
      </w:tblPr>
      <w:tblGrid>
        <w:gridCol w:w="508"/>
        <w:gridCol w:w="4162"/>
        <w:gridCol w:w="2040"/>
        <w:gridCol w:w="2780"/>
      </w:tblGrid>
      <w:tr w:rsidR="007D7D51" w:rsidRPr="007D7D51" w:rsidTr="007D7D51">
        <w:trPr>
          <w:trHeight w:val="4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right"/>
              <w:rPr>
                <w:rFonts w:ascii="Times New Roman" w:hAnsi="Times New Roman" w:cs="Times New Roman"/>
                <w:b/>
                <w:sz w:val="24"/>
                <w:szCs w:val="24"/>
              </w:rPr>
            </w:pPr>
            <w:proofErr w:type="spellStart"/>
            <w:r w:rsidRPr="007D7D51">
              <w:rPr>
                <w:rFonts w:ascii="Times New Roman" w:hAnsi="Times New Roman" w:cs="Times New Roman"/>
                <w:b/>
                <w:sz w:val="24"/>
                <w:szCs w:val="24"/>
              </w:rPr>
              <w:t>Eil</w:t>
            </w:r>
            <w:proofErr w:type="spellEnd"/>
            <w:r w:rsidRPr="007D7D51">
              <w:rPr>
                <w:rFonts w:ascii="Times New Roman" w:hAnsi="Times New Roman" w:cs="Times New Roman"/>
                <w:b/>
                <w:sz w:val="24"/>
                <w:szCs w:val="24"/>
              </w:rPr>
              <w:t xml:space="preserve"> .</w:t>
            </w:r>
          </w:p>
          <w:p w:rsidR="007D7D51" w:rsidRPr="007D7D51" w:rsidRDefault="007D7D51" w:rsidP="007D7D51">
            <w:pPr>
              <w:spacing w:after="0" w:line="240" w:lineRule="auto"/>
              <w:jc w:val="right"/>
              <w:rPr>
                <w:rFonts w:ascii="Times New Roman" w:hAnsi="Times New Roman" w:cs="Times New Roman"/>
                <w:b/>
                <w:sz w:val="24"/>
                <w:szCs w:val="24"/>
              </w:rPr>
            </w:pPr>
            <w:r w:rsidRPr="007D7D51">
              <w:rPr>
                <w:rFonts w:ascii="Times New Roman" w:hAnsi="Times New Roman" w:cs="Times New Roman"/>
                <w:b/>
                <w:sz w:val="24"/>
                <w:szCs w:val="24"/>
              </w:rPr>
              <w:t xml:space="preserve">Nr. </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Rodiklio pavadinimas,</w:t>
            </w:r>
          </w:p>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dimensija</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Rodiklio reikšmė</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Bandymų metodo žymuo</w:t>
            </w:r>
          </w:p>
        </w:tc>
      </w:tr>
      <w:tr w:rsidR="007D7D51" w:rsidRPr="007D7D51" w:rsidTr="007D7D51">
        <w:trPr>
          <w:trHeight w:val="300"/>
        </w:trPr>
        <w:tc>
          <w:tcPr>
            <w:tcW w:w="508" w:type="dxa"/>
            <w:tcBorders>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1.</w:t>
            </w:r>
          </w:p>
        </w:tc>
        <w:tc>
          <w:tcPr>
            <w:tcW w:w="4162" w:type="dxa"/>
            <w:tcBorders>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Kraštelis</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32"/>
                <w:szCs w:val="32"/>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Blauzda, pėdos apatinė dalis</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Kulnas, pirštai</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Pėdos viršutinė dalis</w:t>
            </w:r>
          </w:p>
        </w:tc>
        <w:tc>
          <w:tcPr>
            <w:tcW w:w="2040" w:type="dxa"/>
            <w:tcBorders>
              <w:left w:val="single" w:sz="6" w:space="0" w:color="auto"/>
              <w:bottom w:val="single" w:sz="6" w:space="0" w:color="auto"/>
              <w:right w:val="single" w:sz="6" w:space="0" w:color="auto"/>
            </w:tcBorders>
          </w:tcPr>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30,0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65,0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40,0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50,0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45,0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p w:rsidR="007D7D51" w:rsidRPr="007D7D51" w:rsidRDefault="007D7D51" w:rsidP="007D7D51">
            <w:pPr>
              <w:pStyle w:val="Header"/>
              <w:rPr>
                <w:rFonts w:ascii="Times New Roman" w:hAnsi="Times New Roman" w:cs="Times New Roman"/>
                <w:sz w:val="24"/>
                <w:szCs w:val="24"/>
              </w:rPr>
            </w:pP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PES 40,0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PA  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p w:rsidR="007D7D51" w:rsidRPr="007D7D51" w:rsidRDefault="007D7D51" w:rsidP="007D7D51">
            <w:pPr>
              <w:pStyle w:val="Header"/>
              <w:rPr>
                <w:rFonts w:ascii="Times New Roman" w:hAnsi="Times New Roman" w:cs="Times New Roman"/>
                <w:sz w:val="24"/>
                <w:szCs w:val="24"/>
              </w:rPr>
            </w:pPr>
            <w:r w:rsidRPr="007D7D51">
              <w:rPr>
                <w:rFonts w:ascii="Times New Roman" w:hAnsi="Times New Roman" w:cs="Times New Roman"/>
                <w:sz w:val="24"/>
                <w:szCs w:val="24"/>
              </w:rPr>
              <w:t xml:space="preserve">EL </w:t>
            </w: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2,5</w:t>
            </w:r>
          </w:p>
        </w:tc>
        <w:tc>
          <w:tcPr>
            <w:tcW w:w="2780" w:type="dxa"/>
            <w:tcBorders>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ISO 1833 arba lygiavertis</w:t>
            </w:r>
          </w:p>
        </w:tc>
      </w:tr>
      <w:tr w:rsidR="007D7D51" w:rsidRPr="007D7D51" w:rsidTr="007D7D51">
        <w:trPr>
          <w:trHeight w:val="5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2.</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Matmenų pokytis išskalbus ir išdžiovinus skersine kryptimi, %</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išilgine kryptimi, %</w:t>
            </w:r>
          </w:p>
          <w:p w:rsidR="007D7D51" w:rsidRPr="007D7D51" w:rsidRDefault="007D7D51" w:rsidP="007D7D51">
            <w:pPr>
              <w:spacing w:after="0" w:line="240" w:lineRule="auto"/>
              <w:rPr>
                <w:rFonts w:ascii="Times New Roman" w:hAnsi="Times New Roman" w:cs="Times New Roman"/>
                <w:sz w:val="24"/>
                <w:szCs w:val="24"/>
              </w:rPr>
            </w:pP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 ne daugiau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8,0</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 ne daugiau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8,0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5077 arba lygiavertis </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(skalbimo ir džiovinimo procedūros pagal LST EN ISO 6330 (arba lygiavertį) –  skalbimas 4M, džiovinimo būdas – A)</w:t>
            </w:r>
          </w:p>
        </w:tc>
      </w:tr>
      <w:tr w:rsidR="007D7D51" w:rsidRPr="007D7D51" w:rsidTr="007D7D51">
        <w:trPr>
          <w:trHeight w:val="500"/>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3.</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jc w:val="both"/>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Mezgimo tankis (</w:t>
            </w:r>
            <w:smartTag w:uri="urn:schemas-microsoft-com:office:smarttags" w:element="metricconverter">
              <w:smartTagPr>
                <w:attr w:name="ProductID" w:val="1 cm"/>
              </w:smartTagPr>
              <w:r w:rsidRPr="007D7D51">
                <w:rPr>
                  <w:rStyle w:val="CommentReference"/>
                  <w:rFonts w:ascii="Times New Roman" w:hAnsi="Times New Roman" w:cs="Times New Roman"/>
                  <w:sz w:val="24"/>
                  <w:szCs w:val="24"/>
                </w:rPr>
                <w:t>1 cm</w:t>
              </w:r>
            </w:smartTag>
            <w:r w:rsidRPr="007D7D51">
              <w:rPr>
                <w:rStyle w:val="CommentReference"/>
                <w:rFonts w:ascii="Times New Roman" w:hAnsi="Times New Roman" w:cs="Times New Roman"/>
                <w:sz w:val="24"/>
                <w:szCs w:val="24"/>
              </w:rPr>
              <w:t xml:space="preserve">), vnt.: </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kraštelis</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rPr>
                <w:rStyle w:val="CommentReference"/>
                <w:rFonts w:ascii="Times New Roman" w:hAnsi="Times New Roman" w:cs="Times New Roman"/>
                <w:sz w:val="24"/>
                <w:szCs w:val="24"/>
              </w:rPr>
            </w:pPr>
            <w:r w:rsidRPr="007D7D51">
              <w:rPr>
                <w:rStyle w:val="CommentReference"/>
                <w:rFonts w:ascii="Times New Roman" w:hAnsi="Times New Roman" w:cs="Times New Roman"/>
                <w:sz w:val="24"/>
                <w:szCs w:val="24"/>
              </w:rPr>
              <w:t>blauzda ir pėdos apatinė dalys</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Kulnas, pirštai</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Funkcinė zona</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stulpelių skaičius P</w:t>
            </w:r>
            <w:r w:rsidRPr="007D7D51">
              <w:rPr>
                <w:rStyle w:val="CommentReference"/>
                <w:rFonts w:ascii="Times New Roman" w:hAnsi="Times New Roman" w:cs="Times New Roman"/>
                <w:sz w:val="24"/>
                <w:szCs w:val="24"/>
                <w:vertAlign w:val="subscript"/>
              </w:rPr>
              <w:t xml:space="preserve">H, </w:t>
            </w:r>
          </w:p>
          <w:p w:rsidR="007D7D51" w:rsidRPr="007D7D51" w:rsidRDefault="007D7D51" w:rsidP="007D7D51">
            <w:pPr>
              <w:spacing w:after="0" w:line="240" w:lineRule="auto"/>
              <w:jc w:val="both"/>
              <w:rPr>
                <w:rFonts w:ascii="Times New Roman" w:hAnsi="Times New Roman" w:cs="Times New Roman"/>
                <w:sz w:val="24"/>
                <w:szCs w:val="24"/>
              </w:rPr>
            </w:pPr>
            <w:r w:rsidRPr="007D7D51">
              <w:rPr>
                <w:rStyle w:val="CommentReference"/>
                <w:rFonts w:ascii="Times New Roman" w:hAnsi="Times New Roman" w:cs="Times New Roman"/>
                <w:sz w:val="24"/>
                <w:szCs w:val="24"/>
              </w:rPr>
              <w:t>- kilpų eilučių skaičius    P</w:t>
            </w:r>
            <w:r w:rsidRPr="007D7D51">
              <w:rPr>
                <w:rStyle w:val="CommentReference"/>
                <w:rFonts w:ascii="Times New Roman" w:hAnsi="Times New Roman" w:cs="Times New Roman"/>
                <w:sz w:val="24"/>
                <w:szCs w:val="24"/>
                <w:vertAlign w:val="subscript"/>
              </w:rPr>
              <w:t>V</w:t>
            </w:r>
            <w:r w:rsidRPr="007D7D51">
              <w:rPr>
                <w:rStyle w:val="CommentReference"/>
                <w:rFonts w:ascii="Times New Roman" w:hAnsi="Times New Roman" w:cs="Times New Roman"/>
                <w:sz w:val="24"/>
                <w:szCs w:val="24"/>
              </w:rPr>
              <w:t xml:space="preserve"> </w:t>
            </w:r>
            <w:r w:rsidRPr="007D7D51">
              <w:rPr>
                <w:rFonts w:ascii="Times New Roman" w:hAnsi="Times New Roman" w:cs="Times New Roman"/>
                <w:sz w:val="24"/>
                <w:szCs w:val="24"/>
              </w:rPr>
              <w:t>.</w:t>
            </w:r>
          </w:p>
          <w:p w:rsidR="007D7D51" w:rsidRPr="007D7D51" w:rsidRDefault="007D7D51" w:rsidP="007D7D51">
            <w:pPr>
              <w:spacing w:after="0" w:line="240" w:lineRule="auto"/>
              <w:jc w:val="both"/>
              <w:rPr>
                <w:rFonts w:ascii="Times New Roman" w:hAnsi="Times New Roman" w:cs="Times New Roman"/>
                <w:sz w:val="24"/>
                <w:szCs w:val="24"/>
              </w:rPr>
            </w:pP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9-10</w:t>
            </w:r>
          </w:p>
          <w:p w:rsidR="007D7D51" w:rsidRPr="007D7D51" w:rsidRDefault="007D7D51" w:rsidP="007D7D51">
            <w:pPr>
              <w:spacing w:after="0" w:line="240" w:lineRule="auto"/>
              <w:rPr>
                <w:rStyle w:val="CommentReference"/>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9-10</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11-12</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r w:rsidRPr="007D7D51">
              <w:rPr>
                <w:rStyle w:val="CommentReference"/>
                <w:rFonts w:ascii="Times New Roman" w:hAnsi="Times New Roman" w:cs="Times New Roman"/>
                <w:sz w:val="24"/>
                <w:szCs w:val="24"/>
              </w:rPr>
              <w:t>6-7</w:t>
            </w:r>
          </w:p>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10-11</w:t>
            </w:r>
          </w:p>
          <w:p w:rsidR="007D7D51" w:rsidRPr="007D7D51" w:rsidRDefault="007D7D51" w:rsidP="007D7D51">
            <w:pPr>
              <w:spacing w:after="0" w:line="240" w:lineRule="auto"/>
              <w:rPr>
                <w:rFonts w:ascii="Times New Roman" w:hAnsi="Times New Roman" w:cs="Times New Roman"/>
                <w:sz w:val="24"/>
                <w:szCs w:val="24"/>
              </w:rPr>
            </w:pP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14971 arba lygiavertis </w:t>
            </w:r>
          </w:p>
          <w:p w:rsidR="007D7D51" w:rsidRPr="007D7D51" w:rsidRDefault="007D7D51" w:rsidP="007D7D51">
            <w:pPr>
              <w:spacing w:after="0" w:line="240" w:lineRule="auto"/>
              <w:rPr>
                <w:rFonts w:ascii="Times New Roman" w:hAnsi="Times New Roman" w:cs="Times New Roman"/>
                <w:sz w:val="24"/>
                <w:szCs w:val="24"/>
              </w:rPr>
            </w:pPr>
          </w:p>
          <w:p w:rsidR="007D7D51" w:rsidRPr="007D7D51" w:rsidRDefault="007D7D51" w:rsidP="007D7D51">
            <w:pPr>
              <w:spacing w:after="0" w:line="240" w:lineRule="auto"/>
              <w:rPr>
                <w:rFonts w:ascii="Times New Roman" w:hAnsi="Times New Roman" w:cs="Times New Roman"/>
                <w:sz w:val="24"/>
                <w:szCs w:val="24"/>
              </w:rPr>
            </w:pPr>
          </w:p>
        </w:tc>
      </w:tr>
      <w:tr w:rsidR="007D7D51" w:rsidRPr="007D7D51" w:rsidTr="007D7D51">
        <w:trPr>
          <w:trHeight w:val="210"/>
        </w:trPr>
        <w:tc>
          <w:tcPr>
            <w:tcW w:w="508" w:type="dxa"/>
            <w:tcBorders>
              <w:top w:val="single" w:sz="6" w:space="0" w:color="auto"/>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w:t>
            </w:r>
          </w:p>
        </w:tc>
        <w:tc>
          <w:tcPr>
            <w:tcW w:w="4162" w:type="dxa"/>
            <w:tcBorders>
              <w:top w:val="single" w:sz="6" w:space="0" w:color="auto"/>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Nusidažymo atsparumas, balais:</w:t>
            </w:r>
          </w:p>
        </w:tc>
        <w:tc>
          <w:tcPr>
            <w:tcW w:w="2040" w:type="dxa"/>
            <w:tcBorders>
              <w:top w:val="single" w:sz="6" w:space="0" w:color="auto"/>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tc>
        <w:tc>
          <w:tcPr>
            <w:tcW w:w="2780" w:type="dxa"/>
            <w:tcBorders>
              <w:top w:val="single" w:sz="6" w:space="0" w:color="auto"/>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p>
        </w:tc>
      </w:tr>
      <w:tr w:rsidR="007D7D51" w:rsidRPr="007D7D51" w:rsidTr="007D7D51">
        <w:trPr>
          <w:trHeight w:val="161"/>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4.1.</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sausai trinčiai</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4</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105-X12 arba lygiavertis </w:t>
            </w:r>
          </w:p>
        </w:tc>
      </w:tr>
      <w:tr w:rsidR="007D7D51" w:rsidRPr="007D7D51" w:rsidTr="007D7D51">
        <w:trPr>
          <w:trHeight w:val="299"/>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4.2.</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šlapiai trinčiai</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105-X12 arba lygiavertis </w:t>
            </w:r>
          </w:p>
        </w:tc>
      </w:tr>
      <w:tr w:rsidR="007D7D51" w:rsidRPr="007D7D51" w:rsidTr="007D7D51">
        <w:trPr>
          <w:trHeight w:val="299"/>
        </w:trPr>
        <w:tc>
          <w:tcPr>
            <w:tcW w:w="508" w:type="dxa"/>
            <w:tcBorders>
              <w:left w:val="single" w:sz="6"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4.3.</w:t>
            </w:r>
          </w:p>
        </w:tc>
        <w:tc>
          <w:tcPr>
            <w:tcW w:w="4162" w:type="dxa"/>
            <w:tcBorders>
              <w:lef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skalbimui prie 40</w:t>
            </w:r>
            <w:r w:rsidRPr="007D7D51">
              <w:rPr>
                <w:rFonts w:ascii="Times New Roman" w:hAnsi="Times New Roman" w:cs="Times New Roman"/>
                <w:sz w:val="24"/>
                <w:szCs w:val="24"/>
              </w:rPr>
              <w:sym w:font="Symbol" w:char="F0B0"/>
            </w:r>
            <w:r w:rsidRPr="007D7D51">
              <w:rPr>
                <w:rFonts w:ascii="Times New Roman" w:hAnsi="Times New Roman" w:cs="Times New Roman"/>
                <w:sz w:val="24"/>
                <w:szCs w:val="24"/>
              </w:rPr>
              <w:t>C</w:t>
            </w:r>
          </w:p>
        </w:tc>
        <w:tc>
          <w:tcPr>
            <w:tcW w:w="2040" w:type="dxa"/>
            <w:tcBorders>
              <w:left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105-C06 arba lygiavertis </w:t>
            </w:r>
          </w:p>
        </w:tc>
      </w:tr>
      <w:tr w:rsidR="007D7D51" w:rsidRPr="007D7D51" w:rsidTr="007D7D51">
        <w:trPr>
          <w:trHeight w:val="299"/>
        </w:trPr>
        <w:tc>
          <w:tcPr>
            <w:tcW w:w="508" w:type="dxa"/>
            <w:tcBorders>
              <w:left w:val="single" w:sz="6" w:space="0" w:color="auto"/>
              <w:bottom w:val="single" w:sz="4" w:space="0" w:color="auto"/>
              <w:right w:val="single" w:sz="6"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4.4.</w:t>
            </w:r>
          </w:p>
        </w:tc>
        <w:tc>
          <w:tcPr>
            <w:tcW w:w="4162" w:type="dxa"/>
            <w:tcBorders>
              <w:left w:val="single" w:sz="6" w:space="0" w:color="auto"/>
              <w:bottom w:val="single" w:sz="4"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prakaitui</w:t>
            </w:r>
          </w:p>
        </w:tc>
        <w:tc>
          <w:tcPr>
            <w:tcW w:w="2040" w:type="dxa"/>
            <w:tcBorders>
              <w:left w:val="single" w:sz="6" w:space="0" w:color="auto"/>
              <w:bottom w:val="single" w:sz="4"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3</w:t>
            </w:r>
          </w:p>
        </w:tc>
        <w:tc>
          <w:tcPr>
            <w:tcW w:w="2780" w:type="dxa"/>
            <w:tcBorders>
              <w:left w:val="nil"/>
              <w:bottom w:val="single" w:sz="4"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105-E04 arba lygiavertis </w:t>
            </w:r>
          </w:p>
        </w:tc>
      </w:tr>
      <w:tr w:rsidR="007D7D51" w:rsidRPr="007D7D51" w:rsidTr="007D7D51">
        <w:trPr>
          <w:trHeight w:val="228"/>
        </w:trPr>
        <w:tc>
          <w:tcPr>
            <w:tcW w:w="508" w:type="dxa"/>
            <w:tcBorders>
              <w:top w:val="single" w:sz="4"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lastRenderedPageBreak/>
              <w:t>5.</w:t>
            </w:r>
          </w:p>
        </w:tc>
        <w:tc>
          <w:tcPr>
            <w:tcW w:w="4162" w:type="dxa"/>
            <w:tcBorders>
              <w:top w:val="single" w:sz="4"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Spalvų skirtumas, Δ E</w:t>
            </w:r>
            <w:r w:rsidRPr="007D7D51">
              <w:rPr>
                <w:rFonts w:ascii="Times New Roman" w:hAnsi="Times New Roman" w:cs="Times New Roman"/>
                <w:sz w:val="24"/>
                <w:szCs w:val="24"/>
                <w:vertAlign w:val="subscript"/>
              </w:rPr>
              <w:t>CMC</w:t>
            </w:r>
          </w:p>
        </w:tc>
        <w:tc>
          <w:tcPr>
            <w:tcW w:w="2040" w:type="dxa"/>
            <w:tcBorders>
              <w:top w:val="single" w:sz="4"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A3"/>
            </w:r>
            <w:r w:rsidRPr="007D7D51">
              <w:rPr>
                <w:rFonts w:ascii="Times New Roman" w:hAnsi="Times New Roman" w:cs="Times New Roman"/>
                <w:sz w:val="24"/>
                <w:szCs w:val="24"/>
              </w:rPr>
              <w:t xml:space="preserve"> 1,5</w:t>
            </w:r>
          </w:p>
        </w:tc>
        <w:tc>
          <w:tcPr>
            <w:tcW w:w="2780" w:type="dxa"/>
            <w:tcBorders>
              <w:top w:val="single" w:sz="4"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LST EN ISO 105-J03 arba lygiavertis </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6.</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Atsparumas dilinimui, sūkiai</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sym w:font="Symbol" w:char="F0B3"/>
            </w:r>
            <w:r w:rsidRPr="007D7D51">
              <w:rPr>
                <w:rFonts w:ascii="Times New Roman" w:hAnsi="Times New Roman" w:cs="Times New Roman"/>
                <w:sz w:val="24"/>
                <w:szCs w:val="24"/>
              </w:rPr>
              <w:t xml:space="preserve"> 60 000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EN 13770, I metodas arba lygiavertis</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7.</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Kojinių poros bazinio 27 dydžio svoris, g</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 xml:space="preserve">55,0 </w:t>
            </w:r>
            <w:r w:rsidRPr="007D7D51">
              <w:rPr>
                <w:rFonts w:ascii="Times New Roman" w:hAnsi="Times New Roman" w:cs="Times New Roman"/>
                <w:sz w:val="24"/>
                <w:szCs w:val="24"/>
              </w:rPr>
              <w:sym w:font="Symbol" w:char="F0B1"/>
            </w:r>
            <w:r w:rsidRPr="007D7D51">
              <w:rPr>
                <w:rFonts w:ascii="Times New Roman" w:hAnsi="Times New Roman" w:cs="Times New Roman"/>
                <w:sz w:val="24"/>
                <w:szCs w:val="24"/>
              </w:rPr>
              <w:t xml:space="preserve"> 5,0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nurodyti</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8.</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Drėgmės transportavimas, OMMC</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≥3</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AATCC TM 195 arba lygiavertis</w:t>
            </w:r>
          </w:p>
        </w:tc>
      </w:tr>
      <w:tr w:rsidR="007D7D51" w:rsidRPr="007D7D51" w:rsidTr="007D7D51">
        <w:trPr>
          <w:trHeight w:val="228"/>
        </w:trPr>
        <w:tc>
          <w:tcPr>
            <w:tcW w:w="508" w:type="dxa"/>
            <w:tcBorders>
              <w:top w:val="single" w:sz="6" w:space="0" w:color="auto"/>
              <w:left w:val="single" w:sz="6" w:space="0" w:color="auto"/>
              <w:bottom w:val="single" w:sz="6" w:space="0" w:color="auto"/>
              <w:right w:val="single" w:sz="4" w:space="0" w:color="auto"/>
            </w:tcBorders>
          </w:tcPr>
          <w:p w:rsidR="007D7D51" w:rsidRPr="007D7D51" w:rsidRDefault="007D7D51" w:rsidP="007D7D51">
            <w:pPr>
              <w:spacing w:after="0" w:line="240" w:lineRule="auto"/>
              <w:jc w:val="center"/>
              <w:rPr>
                <w:rFonts w:ascii="Times New Roman" w:hAnsi="Times New Roman" w:cs="Times New Roman"/>
                <w:b/>
                <w:sz w:val="24"/>
                <w:szCs w:val="24"/>
              </w:rPr>
            </w:pPr>
            <w:r w:rsidRPr="007D7D51">
              <w:rPr>
                <w:rFonts w:ascii="Times New Roman" w:hAnsi="Times New Roman" w:cs="Times New Roman"/>
                <w:b/>
                <w:sz w:val="24"/>
                <w:szCs w:val="24"/>
              </w:rPr>
              <w:t>9.</w:t>
            </w:r>
          </w:p>
        </w:tc>
        <w:tc>
          <w:tcPr>
            <w:tcW w:w="4162" w:type="dxa"/>
            <w:tcBorders>
              <w:top w:val="single" w:sz="6" w:space="0" w:color="auto"/>
              <w:left w:val="single" w:sz="4" w:space="0" w:color="auto"/>
              <w:bottom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Laidumas orui, esant 100 Pa slėgių skirtumui, mm/s</w:t>
            </w:r>
          </w:p>
        </w:tc>
        <w:tc>
          <w:tcPr>
            <w:tcW w:w="2040" w:type="dxa"/>
            <w:tcBorders>
              <w:top w:val="single" w:sz="6" w:space="0" w:color="auto"/>
              <w:left w:val="single" w:sz="6" w:space="0" w:color="auto"/>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≥350</w:t>
            </w:r>
          </w:p>
        </w:tc>
        <w:tc>
          <w:tcPr>
            <w:tcW w:w="2780" w:type="dxa"/>
            <w:tcBorders>
              <w:top w:val="single" w:sz="6" w:space="0" w:color="auto"/>
              <w:left w:val="nil"/>
              <w:bottom w:val="single" w:sz="6" w:space="0" w:color="auto"/>
              <w:right w:val="single" w:sz="6" w:space="0" w:color="auto"/>
            </w:tcBorders>
          </w:tcPr>
          <w:p w:rsidR="007D7D51" w:rsidRPr="007D7D51" w:rsidRDefault="007D7D51" w:rsidP="007D7D51">
            <w:pPr>
              <w:spacing w:after="0" w:line="240" w:lineRule="auto"/>
              <w:rPr>
                <w:rFonts w:ascii="Times New Roman" w:hAnsi="Times New Roman" w:cs="Times New Roman"/>
                <w:sz w:val="24"/>
                <w:szCs w:val="24"/>
              </w:rPr>
            </w:pPr>
            <w:r w:rsidRPr="007D7D51">
              <w:rPr>
                <w:rFonts w:ascii="Times New Roman" w:hAnsi="Times New Roman" w:cs="Times New Roman"/>
                <w:sz w:val="24"/>
                <w:szCs w:val="24"/>
              </w:rPr>
              <w:t>LST EN ISO 9237 arba lygiavertis</w:t>
            </w:r>
          </w:p>
        </w:tc>
      </w:tr>
    </w:tbl>
    <w:p w:rsidR="007D7D51" w:rsidRPr="007D7D51" w:rsidRDefault="007D7D51" w:rsidP="007D7D51">
      <w:pPr>
        <w:spacing w:after="0" w:line="240" w:lineRule="auto"/>
        <w:jc w:val="both"/>
        <w:rPr>
          <w:rFonts w:ascii="Times New Roman" w:hAnsi="Times New Roman" w:cs="Times New Roman"/>
          <w:sz w:val="24"/>
          <w:szCs w:val="24"/>
        </w:rPr>
      </w:pP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b/>
          <w:sz w:val="24"/>
          <w:szCs w:val="24"/>
        </w:rPr>
        <w:t>Pastabos</w:t>
      </w:r>
      <w:r w:rsidRPr="007D7D51">
        <w:rPr>
          <w:rFonts w:ascii="Times New Roman" w:hAnsi="Times New Roman" w:cs="Times New Roman"/>
          <w:sz w:val="24"/>
          <w:szCs w:val="24"/>
        </w:rPr>
        <w:t xml:space="preserve">: </w:t>
      </w:r>
    </w:p>
    <w:p w:rsidR="007D7D51" w:rsidRPr="007D7D51" w:rsidRDefault="007D7D51" w:rsidP="007D7D51">
      <w:pPr>
        <w:spacing w:after="0" w:line="240" w:lineRule="auto"/>
        <w:jc w:val="both"/>
        <w:rPr>
          <w:rFonts w:ascii="Times New Roman" w:hAnsi="Times New Roman" w:cs="Times New Roman"/>
          <w:sz w:val="24"/>
          <w:szCs w:val="24"/>
        </w:rPr>
      </w:pPr>
      <w:r w:rsidRPr="007D7D51">
        <w:rPr>
          <w:rFonts w:ascii="Times New Roman" w:hAnsi="Times New Roman" w:cs="Times New Roman"/>
          <w:sz w:val="24"/>
          <w:szCs w:val="24"/>
        </w:rPr>
        <w:t xml:space="preserve">Rodiklis 5 ,,Spalvų skirtumas” reikalaujamas sutarties vykdymo metu ir nustato leidžiamą spalvos nukrypimą nuo suderinto darbinio pavyzdžio. </w:t>
      </w:r>
    </w:p>
    <w:p w:rsidR="007D7D51" w:rsidRPr="007D7D51" w:rsidRDefault="007D7D51" w:rsidP="007D7D51">
      <w:pPr>
        <w:spacing w:after="0" w:line="240" w:lineRule="auto"/>
        <w:jc w:val="both"/>
        <w:rPr>
          <w:rFonts w:ascii="Times New Roman" w:hAnsi="Times New Roman" w:cs="Times New Roman"/>
          <w:i/>
          <w:color w:val="FF0000"/>
          <w:sz w:val="24"/>
          <w:szCs w:val="24"/>
        </w:rPr>
      </w:pPr>
      <w:r w:rsidRPr="007D7D51">
        <w:rPr>
          <w:rFonts w:ascii="Times New Roman" w:hAnsi="Times New Roman" w:cs="Times New Roman"/>
          <w:sz w:val="24"/>
          <w:szCs w:val="24"/>
        </w:rPr>
        <w:t>Rodiklis 6 ,,Atsparumas dilinimui“ tikrinamas kojinės pėdos apatinės dalies.</w:t>
      </w:r>
    </w:p>
    <w:p w:rsidR="007D7D51" w:rsidRPr="007D7D51" w:rsidRDefault="007D7D51" w:rsidP="007D7D51">
      <w:pPr>
        <w:pStyle w:val="BodyText"/>
        <w:ind w:firstLine="600"/>
        <w:rPr>
          <w:szCs w:val="24"/>
        </w:rPr>
      </w:pPr>
    </w:p>
    <w:p w:rsidR="007D7D51" w:rsidRPr="007D7D51" w:rsidRDefault="007D7D51" w:rsidP="007D7D51">
      <w:pPr>
        <w:spacing w:after="0" w:line="240" w:lineRule="auto"/>
        <w:jc w:val="center"/>
        <w:rPr>
          <w:rFonts w:ascii="Times New Roman" w:hAnsi="Times New Roman" w:cs="Times New Roman"/>
          <w:b/>
          <w:caps/>
          <w:sz w:val="24"/>
          <w:szCs w:val="24"/>
        </w:rPr>
      </w:pPr>
      <w:r w:rsidRPr="007D7D51">
        <w:rPr>
          <w:rFonts w:ascii="Times New Roman" w:hAnsi="Times New Roman" w:cs="Times New Roman"/>
          <w:b/>
          <w:caps/>
          <w:sz w:val="24"/>
          <w:szCs w:val="24"/>
        </w:rPr>
        <w:t>III</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jc w:val="center"/>
        <w:rPr>
          <w:rFonts w:ascii="Times New Roman" w:hAnsi="Times New Roman" w:cs="Times New Roman"/>
          <w:b/>
          <w:sz w:val="24"/>
          <w:szCs w:val="24"/>
          <w:lang w:eastAsia="lt-LT"/>
        </w:rPr>
      </w:pPr>
      <w:r w:rsidRPr="007D7D51">
        <w:rPr>
          <w:rFonts w:ascii="Times New Roman" w:hAnsi="Times New Roman" w:cs="Times New Roman"/>
          <w:b/>
          <w:caps/>
          <w:sz w:val="24"/>
          <w:szCs w:val="24"/>
          <w:lang w:eastAsia="lt-LT"/>
        </w:rPr>
        <w:t xml:space="preserve">DARBINIŲ </w:t>
      </w:r>
      <w:r w:rsidRPr="007D7D51">
        <w:rPr>
          <w:rFonts w:ascii="Times New Roman" w:hAnsi="Times New Roman" w:cs="Times New Roman"/>
          <w:b/>
          <w:sz w:val="24"/>
          <w:szCs w:val="24"/>
          <w:lang w:eastAsia="lt-LT"/>
        </w:rPr>
        <w:t>PAVYZDŽIŲ TVIRTINIMAS</w:t>
      </w:r>
    </w:p>
    <w:p w:rsidR="007D7D51" w:rsidRPr="007D7D51" w:rsidRDefault="007D7D51" w:rsidP="007D7D51">
      <w:pPr>
        <w:spacing w:after="0" w:line="240" w:lineRule="auto"/>
        <w:jc w:val="center"/>
        <w:rPr>
          <w:rFonts w:ascii="Times New Roman" w:hAnsi="Times New Roman" w:cs="Times New Roman"/>
          <w:b/>
          <w:caps/>
          <w:sz w:val="24"/>
          <w:szCs w:val="24"/>
        </w:rPr>
      </w:pPr>
    </w:p>
    <w:p w:rsidR="007D7D51" w:rsidRPr="007D7D51" w:rsidRDefault="007D7D51" w:rsidP="007D7D51">
      <w:pPr>
        <w:pStyle w:val="BodyTextIndent"/>
        <w:numPr>
          <w:ilvl w:val="0"/>
          <w:numId w:val="9"/>
        </w:numPr>
        <w:tabs>
          <w:tab w:val="clear" w:pos="1080"/>
        </w:tabs>
        <w:spacing w:after="0"/>
        <w:ind w:left="0" w:firstLine="720"/>
        <w:jc w:val="both"/>
      </w:pPr>
      <w:r w:rsidRPr="007D7D51">
        <w:t xml:space="preserve">Sudarius sutartį, derinami ir tvirtinami darbiniai pavyzdžiai. </w:t>
      </w:r>
    </w:p>
    <w:p w:rsidR="007D7D51" w:rsidRPr="007D7D51" w:rsidRDefault="007D7D51" w:rsidP="007D7D51">
      <w:pPr>
        <w:pStyle w:val="BodyTextIndent"/>
        <w:numPr>
          <w:ilvl w:val="0"/>
          <w:numId w:val="9"/>
        </w:numPr>
        <w:tabs>
          <w:tab w:val="clear" w:pos="1080"/>
        </w:tabs>
        <w:spacing w:after="0"/>
        <w:ind w:left="0" w:firstLine="720"/>
        <w:jc w:val="both"/>
      </w:pPr>
      <w:r w:rsidRPr="007D7D51">
        <w:t>Darbinio pavyzdžio tvirtinimui pristatomi:</w:t>
      </w:r>
    </w:p>
    <w:p w:rsidR="007D7D51" w:rsidRPr="007D7D51" w:rsidRDefault="007D7D51" w:rsidP="007D7D51">
      <w:pPr>
        <w:pStyle w:val="BodyTextIndent"/>
        <w:numPr>
          <w:ilvl w:val="1"/>
          <w:numId w:val="9"/>
        </w:numPr>
        <w:spacing w:after="0"/>
        <w:ind w:left="0" w:firstLine="720"/>
        <w:jc w:val="both"/>
      </w:pPr>
      <w:r w:rsidRPr="007D7D51">
        <w:t xml:space="preserve">du identiški gaminiai (bazinio dydžio); </w:t>
      </w:r>
    </w:p>
    <w:p w:rsidR="007D7D51" w:rsidRPr="007D7D51" w:rsidRDefault="007D7D51" w:rsidP="007D7D51">
      <w:pPr>
        <w:pStyle w:val="BodyTextIndent"/>
        <w:numPr>
          <w:ilvl w:val="1"/>
          <w:numId w:val="9"/>
        </w:numPr>
        <w:spacing w:after="0"/>
        <w:ind w:left="0" w:firstLine="720"/>
        <w:jc w:val="both"/>
      </w:pPr>
      <w:r w:rsidRPr="007D7D51">
        <w:t>visų dydžių matų lentelė suderinimui;</w:t>
      </w:r>
    </w:p>
    <w:p w:rsidR="007D7D51" w:rsidRPr="007D7D51" w:rsidRDefault="007D7D51" w:rsidP="007D7D51">
      <w:pPr>
        <w:pStyle w:val="BodyTextIndent"/>
        <w:numPr>
          <w:ilvl w:val="1"/>
          <w:numId w:val="9"/>
        </w:numPr>
        <w:spacing w:after="0"/>
        <w:ind w:left="0" w:firstLine="720"/>
        <w:jc w:val="both"/>
      </w:pPr>
      <w:r w:rsidRPr="007D7D51">
        <w:t>gaminio priežiūros instrukcija suderinimui;</w:t>
      </w:r>
    </w:p>
    <w:p w:rsidR="007D7D51" w:rsidRPr="007D7D51" w:rsidRDefault="007D7D51" w:rsidP="007D7D51">
      <w:pPr>
        <w:pStyle w:val="BodyTextIndent"/>
        <w:numPr>
          <w:ilvl w:val="1"/>
          <w:numId w:val="9"/>
        </w:numPr>
        <w:spacing w:after="0"/>
        <w:ind w:left="0" w:firstLine="720"/>
        <w:jc w:val="both"/>
      </w:pPr>
      <w:r w:rsidRPr="007D7D51">
        <w:t>gaminio techninis aprašas (su gaminio siuvime panaudotų medžiagų pavyzdžiais ir charakteristikomis, įrodančiomis jų atitikimą techninėje specifikacijoje nustatytiems reikalavimams).</w:t>
      </w:r>
    </w:p>
    <w:p w:rsidR="007D7D51" w:rsidRPr="007D7D51" w:rsidRDefault="007D7D51" w:rsidP="007D7D51">
      <w:pPr>
        <w:pStyle w:val="BodyTextIndent"/>
        <w:numPr>
          <w:ilvl w:val="0"/>
          <w:numId w:val="9"/>
        </w:numPr>
        <w:spacing w:after="0"/>
        <w:ind w:left="0" w:firstLine="720"/>
        <w:jc w:val="both"/>
      </w:pPr>
      <w:r w:rsidRPr="007D7D51">
        <w:t>Esant poreikiui, derinimo eigoje gaminio išmatavimai, siuvimo technologija ir pan. gali būti tikslinami, jeigu tai neblogins gaminio išvaizdos ir funkcinių savybių.</w:t>
      </w:r>
    </w:p>
    <w:p w:rsidR="007D7D51" w:rsidRPr="007D7D51" w:rsidRDefault="007D7D51" w:rsidP="007D7D51">
      <w:pPr>
        <w:pStyle w:val="BodyTextIndent"/>
        <w:numPr>
          <w:ilvl w:val="0"/>
          <w:numId w:val="9"/>
        </w:numPr>
        <w:spacing w:after="0"/>
        <w:ind w:left="0" w:firstLine="720"/>
        <w:jc w:val="both"/>
      </w:pPr>
      <w:r w:rsidRPr="007D7D51">
        <w:t>Masinę gamybą leidžiama pradėti tik patvirtinus darbinius pavyzdžius.</w:t>
      </w:r>
    </w:p>
    <w:p w:rsidR="007D7D51" w:rsidRPr="007D7D51" w:rsidRDefault="007D7D51" w:rsidP="007D7D51">
      <w:pPr>
        <w:spacing w:after="0" w:line="240" w:lineRule="auto"/>
        <w:ind w:left="284"/>
        <w:jc w:val="center"/>
        <w:rPr>
          <w:rFonts w:ascii="Times New Roman" w:hAnsi="Times New Roman" w:cs="Times New Roman"/>
          <w:b/>
          <w:caps/>
          <w:sz w:val="24"/>
          <w:szCs w:val="24"/>
        </w:rPr>
      </w:pPr>
    </w:p>
    <w:p w:rsidR="007D7D51" w:rsidRPr="007D7D51" w:rsidRDefault="007D7D51" w:rsidP="007D7D51">
      <w:pPr>
        <w:spacing w:after="0" w:line="240" w:lineRule="auto"/>
        <w:ind w:left="284"/>
        <w:jc w:val="center"/>
        <w:rPr>
          <w:rFonts w:ascii="Times New Roman" w:hAnsi="Times New Roman" w:cs="Times New Roman"/>
          <w:b/>
          <w:caps/>
          <w:sz w:val="24"/>
          <w:szCs w:val="24"/>
        </w:rPr>
      </w:pPr>
      <w:r w:rsidRPr="007D7D51">
        <w:rPr>
          <w:rFonts w:ascii="Times New Roman" w:hAnsi="Times New Roman" w:cs="Times New Roman"/>
          <w:b/>
          <w:caps/>
          <w:sz w:val="24"/>
          <w:szCs w:val="24"/>
        </w:rPr>
        <w:t>IV</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ind w:left="284"/>
        <w:jc w:val="center"/>
        <w:rPr>
          <w:rFonts w:ascii="Times New Roman" w:hAnsi="Times New Roman" w:cs="Times New Roman"/>
          <w:b/>
          <w:caps/>
          <w:sz w:val="24"/>
          <w:szCs w:val="24"/>
          <w:lang w:eastAsia="lt-LT"/>
        </w:rPr>
      </w:pPr>
      <w:r w:rsidRPr="007D7D51">
        <w:rPr>
          <w:rFonts w:ascii="Times New Roman" w:hAnsi="Times New Roman" w:cs="Times New Roman"/>
          <w:b/>
          <w:sz w:val="24"/>
          <w:szCs w:val="24"/>
          <w:lang w:eastAsia="lt-LT"/>
        </w:rPr>
        <w:t>GAMINIŲ</w:t>
      </w:r>
      <w:r w:rsidRPr="007D7D51">
        <w:rPr>
          <w:rFonts w:ascii="Times New Roman" w:hAnsi="Times New Roman" w:cs="Times New Roman"/>
          <w:b/>
          <w:caps/>
          <w:sz w:val="24"/>
          <w:szCs w:val="24"/>
          <w:lang w:eastAsia="lt-LT"/>
        </w:rPr>
        <w:t xml:space="preserve"> ŽENKLINIMAS IR PAKAVIMAS</w:t>
      </w:r>
    </w:p>
    <w:p w:rsidR="007D7D51" w:rsidRPr="007D7D51" w:rsidRDefault="007D7D51" w:rsidP="007D7D51">
      <w:pPr>
        <w:widowControl w:val="0"/>
        <w:spacing w:after="0" w:line="240" w:lineRule="auto"/>
        <w:jc w:val="center"/>
        <w:rPr>
          <w:rFonts w:ascii="Times New Roman" w:hAnsi="Times New Roman" w:cs="Times New Roman"/>
          <w:b/>
          <w:sz w:val="24"/>
          <w:szCs w:val="24"/>
        </w:rPr>
      </w:pPr>
    </w:p>
    <w:p w:rsidR="007D7D51" w:rsidRPr="007D7D51" w:rsidRDefault="007D7D51" w:rsidP="007D7D51">
      <w:pPr>
        <w:pStyle w:val="BodyTextIndent"/>
        <w:numPr>
          <w:ilvl w:val="0"/>
          <w:numId w:val="9"/>
        </w:numPr>
        <w:spacing w:after="0"/>
        <w:ind w:left="0" w:firstLine="720"/>
        <w:jc w:val="both"/>
      </w:pPr>
      <w:r w:rsidRPr="007D7D51">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7D7D51" w:rsidRPr="007D7D51" w:rsidRDefault="007D7D51" w:rsidP="007D7D51">
      <w:pPr>
        <w:pStyle w:val="BodyTextIndent"/>
        <w:numPr>
          <w:ilvl w:val="0"/>
          <w:numId w:val="9"/>
        </w:numPr>
        <w:spacing w:after="0"/>
        <w:ind w:left="0" w:firstLine="720"/>
        <w:jc w:val="both"/>
      </w:pPr>
      <w:r w:rsidRPr="007D7D51">
        <w:t xml:space="preserve">Gaminio pakuotės turi atitikti minimalius aplinkos apsaugos kriterijus, nurodytus </w:t>
      </w:r>
      <w:r w:rsidRPr="007D7D51">
        <w:rPr>
          <w:color w:val="000000"/>
        </w:rPr>
        <w:t xml:space="preserve">Lietuvos Respublikos aplinkos ministro 2011 m. birželio 28 įsakymu Nr. D1-508 patvirtinto </w:t>
      </w:r>
      <w:r w:rsidRPr="007D7D51">
        <w:t>„Aplinkos apsaugos kriterijų taikymo, vykdant žaliuosius pirkimus, tvarkos aprašo “ 2 priedo II skyriuje „Pakuotės“.</w:t>
      </w:r>
    </w:p>
    <w:p w:rsidR="007D7D51" w:rsidRPr="007D7D51" w:rsidRDefault="007D7D51" w:rsidP="007D7D51">
      <w:pPr>
        <w:pStyle w:val="BodyTextIndent"/>
        <w:numPr>
          <w:ilvl w:val="0"/>
          <w:numId w:val="9"/>
        </w:numPr>
        <w:spacing w:after="0"/>
        <w:ind w:left="0" w:firstLine="720"/>
        <w:jc w:val="both"/>
      </w:pPr>
      <w:r w:rsidRPr="007D7D51">
        <w:t>Kiekvienas gaminys ženklinamas etikete, kurioje nurodoma: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bCs/>
          <w:sz w:val="24"/>
          <w:szCs w:val="24"/>
          <w:lang w:eastAsia="lt-LT"/>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 xml:space="preserve">pluoštinė sudėtis; </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pagrindinio audinio prekės partijos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priežiūros ženklų simboliai (pagal LST EN ISO 3758 (ISO 3758) arba lygiavertį standartą);</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lastRenderedPageBreak/>
        <w:t>užrašas „Pagaminta Lietuvos kariuomenei“.</w:t>
      </w:r>
    </w:p>
    <w:p w:rsidR="007D7D51" w:rsidRPr="007D7D51" w:rsidRDefault="007D7D51" w:rsidP="007D7D51">
      <w:pPr>
        <w:pStyle w:val="BodyTextIndent"/>
        <w:numPr>
          <w:ilvl w:val="0"/>
          <w:numId w:val="9"/>
        </w:numPr>
        <w:spacing w:after="0"/>
        <w:ind w:left="0" w:firstLine="720"/>
        <w:jc w:val="both"/>
      </w:pPr>
      <w:r w:rsidRPr="007D7D51">
        <w:t>Etiketėje</w:t>
      </w:r>
      <w:r w:rsidRPr="007D7D51">
        <w:rPr>
          <w:lang w:eastAsia="lt-LT"/>
        </w:rPr>
        <w:t xml:space="preserve"> papildomai gali būti nurodyta ir kita informacija, kurią </w:t>
      </w:r>
      <w:r w:rsidRPr="007D7D51">
        <w:t>paslaugos teikėjo</w:t>
      </w:r>
      <w:r w:rsidRPr="007D7D51">
        <w:rPr>
          <w:lang w:eastAsia="lt-LT"/>
        </w:rPr>
        <w:t xml:space="preserve"> nuomone turėtų žinoti kiekvienas vartotojas.</w:t>
      </w:r>
    </w:p>
    <w:p w:rsidR="007D7D51" w:rsidRPr="007D7D51" w:rsidRDefault="007D7D51" w:rsidP="007D7D51">
      <w:pPr>
        <w:pStyle w:val="BodyTextIndent"/>
        <w:numPr>
          <w:ilvl w:val="0"/>
          <w:numId w:val="9"/>
        </w:numPr>
        <w:spacing w:after="0"/>
        <w:ind w:left="0" w:firstLine="720"/>
        <w:jc w:val="both"/>
      </w:pPr>
      <w:r w:rsidRPr="007D7D51">
        <w:t>Prie kiekvieno gaminio turi būti pridėta priežiūros instrukcija lietuvių kalba. Instrukcija gali būti pritvirtinta prie gaminio arba pateikta QR kodu ženklinimo juostelėje (arba atskiroje juostelėje, pritvirtintoje prie gaminio).</w:t>
      </w:r>
    </w:p>
    <w:p w:rsidR="007D7D51" w:rsidRPr="007D7D51" w:rsidRDefault="007D7D51" w:rsidP="007D7D51">
      <w:pPr>
        <w:pStyle w:val="BodyTextIndent"/>
        <w:numPr>
          <w:ilvl w:val="0"/>
          <w:numId w:val="9"/>
        </w:numPr>
        <w:spacing w:after="0"/>
        <w:ind w:left="0" w:firstLine="720"/>
        <w:jc w:val="both"/>
      </w:pPr>
      <w:r w:rsidRPr="007D7D51">
        <w:t>Po 20 to paties dydžio kojinių porų pakuojami į maišelius, ženklinamus etikete, kurioje nurodoma: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importuotoms prekėms nurodyti prekės kilmės šalį, jeigu ji nesutampa su šalimi, kurioje registruota gamintojo buveinė;</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porų kiekis pake;</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 xml:space="preserve">Lietuvos kariuomenės suteiktas NSN kodas. </w:t>
      </w:r>
    </w:p>
    <w:p w:rsidR="007D7D51" w:rsidRPr="007D7D51" w:rsidRDefault="007D7D51" w:rsidP="007D7D51">
      <w:pPr>
        <w:pStyle w:val="BodyTextIndent"/>
        <w:numPr>
          <w:ilvl w:val="0"/>
          <w:numId w:val="9"/>
        </w:numPr>
        <w:spacing w:after="0"/>
        <w:ind w:left="0" w:firstLine="720"/>
        <w:jc w:val="both"/>
      </w:pPr>
      <w:r w:rsidRPr="007D7D51">
        <w:t xml:space="preserve">Maišeliai sudedami į tvirtas (atsparias ilgam sandėliavimui ir daugkartiniams </w:t>
      </w:r>
      <w:proofErr w:type="spellStart"/>
      <w:r w:rsidRPr="007D7D51">
        <w:t>pervežimams</w:t>
      </w:r>
      <w:proofErr w:type="spellEnd"/>
      <w:r w:rsidRPr="007D7D51">
        <w:t>) kartonines dėžes pagal dydžius. Vienos dėžės svoris neturi viršyti 10 kg.</w:t>
      </w:r>
    </w:p>
    <w:p w:rsidR="007D7D51" w:rsidRPr="007D7D51" w:rsidRDefault="007D7D51" w:rsidP="007D7D51">
      <w:pPr>
        <w:pStyle w:val="BodyTextIndent"/>
        <w:numPr>
          <w:ilvl w:val="0"/>
          <w:numId w:val="9"/>
        </w:numPr>
        <w:spacing w:after="0"/>
        <w:ind w:left="0" w:firstLine="720"/>
        <w:jc w:val="both"/>
      </w:pPr>
      <w:r w:rsidRPr="007D7D51">
        <w:t>Kiekviena kartoninė dėžė turi būti paženklinta tokiais ryškiai matomais rekvizitais: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teikėjo pavadinimas arba prekės ženklas;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gamintojo pavadinimas arba prekės ženklas (jei nesutampa su paslaugos teikėju);</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importuotoms prekėms nurodyti prekės kilmės šalį, jeigu ji nesutampa su šalimi, kurioje registruota gamintojo buveinė;</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gaminio pavadinimas;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dydis;</w:t>
      </w:r>
    </w:p>
    <w:p w:rsidR="007D7D51" w:rsidRPr="007D7D51" w:rsidRDefault="00DD41C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kojinių por</w:t>
      </w:r>
      <w:r w:rsidR="007D7D51" w:rsidRPr="007D7D51">
        <w:rPr>
          <w:rFonts w:ascii="Times New Roman" w:hAnsi="Times New Roman" w:cs="Times New Roman"/>
          <w:sz w:val="24"/>
          <w:szCs w:val="24"/>
        </w:rPr>
        <w:t>ų kiekis dėžėje;</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sutarties data ir numeris;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prekės partijos ir siuntos indeksas;</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pagaminimo data;</w:t>
      </w:r>
    </w:p>
    <w:p w:rsidR="007D7D51" w:rsidRPr="007D7D51" w:rsidRDefault="007D7D51" w:rsidP="007D7D51">
      <w:pPr>
        <w:numPr>
          <w:ilvl w:val="0"/>
          <w:numId w:val="10"/>
        </w:numPr>
        <w:tabs>
          <w:tab w:val="num" w:pos="0"/>
          <w:tab w:val="num" w:pos="1276"/>
        </w:tabs>
        <w:spacing w:after="0" w:line="240" w:lineRule="auto"/>
        <w:ind w:left="0" w:firstLine="720"/>
        <w:jc w:val="both"/>
        <w:rPr>
          <w:rFonts w:ascii="Times New Roman" w:hAnsi="Times New Roman" w:cs="Times New Roman"/>
          <w:sz w:val="24"/>
          <w:szCs w:val="24"/>
        </w:rPr>
      </w:pPr>
      <w:r w:rsidRPr="007D7D51">
        <w:rPr>
          <w:rFonts w:ascii="Times New Roman" w:hAnsi="Times New Roman" w:cs="Times New Roman"/>
          <w:sz w:val="24"/>
          <w:szCs w:val="24"/>
        </w:rPr>
        <w:t>Lietuvos kariuomenės suteiktas NSN kodas.</w:t>
      </w:r>
    </w:p>
    <w:p w:rsidR="007D7D51" w:rsidRPr="007D7D51" w:rsidRDefault="007D7D51" w:rsidP="007D7D51">
      <w:pPr>
        <w:widowControl w:val="0"/>
        <w:spacing w:after="0" w:line="240" w:lineRule="auto"/>
        <w:jc w:val="both"/>
        <w:rPr>
          <w:rFonts w:ascii="Times New Roman" w:hAnsi="Times New Roman" w:cs="Times New Roman"/>
          <w:b/>
          <w:sz w:val="24"/>
          <w:szCs w:val="24"/>
        </w:rPr>
      </w:pPr>
    </w:p>
    <w:p w:rsidR="007D7D51" w:rsidRPr="007D7D51" w:rsidRDefault="007D7D51" w:rsidP="007D7D51">
      <w:pPr>
        <w:spacing w:after="0" w:line="240" w:lineRule="auto"/>
        <w:jc w:val="center"/>
        <w:rPr>
          <w:rFonts w:ascii="Times New Roman" w:hAnsi="Times New Roman" w:cs="Times New Roman"/>
          <w:b/>
          <w:caps/>
          <w:sz w:val="24"/>
          <w:szCs w:val="24"/>
        </w:rPr>
      </w:pPr>
      <w:r w:rsidRPr="007D7D51">
        <w:rPr>
          <w:rFonts w:ascii="Times New Roman" w:hAnsi="Times New Roman" w:cs="Times New Roman"/>
          <w:b/>
          <w:caps/>
          <w:sz w:val="24"/>
          <w:szCs w:val="24"/>
        </w:rPr>
        <w:t>V</w:t>
      </w:r>
      <w:r w:rsidRPr="007D7D51">
        <w:rPr>
          <w:rFonts w:ascii="Times New Roman" w:hAnsi="Times New Roman" w:cs="Times New Roman"/>
          <w:b/>
          <w:sz w:val="24"/>
          <w:szCs w:val="24"/>
        </w:rPr>
        <w:t xml:space="preserve"> SKYRIUS</w:t>
      </w:r>
    </w:p>
    <w:p w:rsidR="007D7D51" w:rsidRPr="007D7D51" w:rsidRDefault="007D7D51" w:rsidP="007D7D51">
      <w:pPr>
        <w:spacing w:after="0" w:line="240" w:lineRule="auto"/>
        <w:jc w:val="center"/>
        <w:rPr>
          <w:rFonts w:ascii="Times New Roman" w:hAnsi="Times New Roman" w:cs="Times New Roman"/>
          <w:b/>
          <w:caps/>
          <w:sz w:val="24"/>
          <w:szCs w:val="24"/>
          <w:lang w:eastAsia="lt-LT"/>
        </w:rPr>
      </w:pPr>
      <w:r w:rsidRPr="007D7D51">
        <w:rPr>
          <w:rFonts w:ascii="Times New Roman" w:hAnsi="Times New Roman" w:cs="Times New Roman"/>
          <w:b/>
          <w:sz w:val="24"/>
          <w:szCs w:val="24"/>
          <w:lang w:eastAsia="lt-LT"/>
        </w:rPr>
        <w:t>GAMINIŲ</w:t>
      </w:r>
      <w:r w:rsidRPr="007D7D51">
        <w:rPr>
          <w:rFonts w:ascii="Times New Roman" w:hAnsi="Times New Roman" w:cs="Times New Roman"/>
          <w:b/>
          <w:caps/>
          <w:sz w:val="24"/>
          <w:szCs w:val="24"/>
          <w:lang w:eastAsia="lt-LT"/>
        </w:rPr>
        <w:t xml:space="preserve"> PRIĖMIMAS</w:t>
      </w:r>
    </w:p>
    <w:p w:rsidR="007D7D51" w:rsidRPr="007D7D51" w:rsidRDefault="007D7D51" w:rsidP="007D7D51">
      <w:pPr>
        <w:spacing w:after="0" w:line="240" w:lineRule="auto"/>
        <w:jc w:val="center"/>
        <w:rPr>
          <w:rFonts w:ascii="Times New Roman" w:hAnsi="Times New Roman" w:cs="Times New Roman"/>
          <w:b/>
          <w:caps/>
          <w:sz w:val="24"/>
          <w:szCs w:val="24"/>
          <w:lang w:eastAsia="lt-LT"/>
        </w:rPr>
      </w:pPr>
    </w:p>
    <w:p w:rsidR="007D7D51" w:rsidRPr="007D7D51" w:rsidRDefault="007D7D51" w:rsidP="007D7D51">
      <w:pPr>
        <w:pStyle w:val="BodyTextIndent"/>
        <w:numPr>
          <w:ilvl w:val="0"/>
          <w:numId w:val="9"/>
        </w:numPr>
        <w:spacing w:after="0"/>
        <w:ind w:left="0" w:firstLine="720"/>
        <w:jc w:val="both"/>
      </w:pPr>
      <w:r w:rsidRPr="007D7D51">
        <w:t>Gaminiai priimami partijomis ir siuntomis. Kiekviena prekių partija turi būti pažymėta sutartiniu ženklu ir jai pateikiama prekės atitikties deklaracija pagal LST EN ISO/IEC 17050-1 (ISO/IEC 17050-1) formą A.2 arba lygiaverčio standarto pavyzdį.</w:t>
      </w:r>
    </w:p>
    <w:p w:rsidR="007D7D51" w:rsidRPr="007D7D51" w:rsidRDefault="007D7D51" w:rsidP="007D7D51">
      <w:pPr>
        <w:pStyle w:val="BodyTextIndent"/>
        <w:numPr>
          <w:ilvl w:val="0"/>
          <w:numId w:val="9"/>
        </w:numPr>
        <w:spacing w:after="0"/>
        <w:ind w:left="0" w:firstLine="720"/>
        <w:jc w:val="both"/>
      </w:pPr>
      <w:r w:rsidRPr="007D7D51">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7D7D51" w:rsidRPr="007D7D51" w:rsidRDefault="007D7D51" w:rsidP="007D7D51">
      <w:pPr>
        <w:pStyle w:val="BodyTextIndent"/>
        <w:spacing w:after="0"/>
        <w:ind w:left="0"/>
        <w:jc w:val="both"/>
      </w:pPr>
    </w:p>
    <w:p w:rsidR="000F4845" w:rsidRDefault="000F4845"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Pr="008A6438" w:rsidRDefault="00E4335B" w:rsidP="00E4335B">
      <w:pPr>
        <w:jc w:val="center"/>
        <w:rPr>
          <w:rFonts w:ascii="Times New Roman" w:hAnsi="Times New Roman" w:cs="Times New Roman"/>
          <w:b/>
          <w:sz w:val="24"/>
          <w:szCs w:val="24"/>
        </w:rPr>
      </w:pPr>
      <w:r w:rsidRPr="008A6438">
        <w:rPr>
          <w:rFonts w:ascii="Times New Roman" w:hAnsi="Times New Roman" w:cs="Times New Roman"/>
          <w:b/>
          <w:sz w:val="24"/>
          <w:szCs w:val="24"/>
        </w:rPr>
        <w:lastRenderedPageBreak/>
        <w:t>KOJINĖS LAUKO UNIFORMOS BATŲ</w:t>
      </w: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r w:rsidRPr="00CD7743">
        <w:rPr>
          <w:noProof/>
        </w:rPr>
        <w:drawing>
          <wp:inline distT="0" distB="0" distL="0" distR="0" wp14:anchorId="5214082D" wp14:editId="658A8B46">
            <wp:extent cx="3235960" cy="58362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60" cy="5836285"/>
                    </a:xfrm>
                    <a:prstGeom prst="rect">
                      <a:avLst/>
                    </a:prstGeom>
                    <a:noFill/>
                    <a:ln>
                      <a:noFill/>
                    </a:ln>
                  </pic:spPr>
                </pic:pic>
              </a:graphicData>
            </a:graphic>
          </wp:inline>
        </w:drawing>
      </w: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7D7D51">
      <w:pPr>
        <w:pStyle w:val="ListParagraph"/>
        <w:tabs>
          <w:tab w:val="left" w:pos="426"/>
        </w:tabs>
        <w:spacing w:after="0" w:line="240" w:lineRule="auto"/>
        <w:ind w:left="360"/>
        <w:jc w:val="both"/>
        <w:rPr>
          <w:rFonts w:ascii="Times New Roman" w:eastAsia="Times New Roman" w:hAnsi="Times New Roman" w:cs="Times New Roman"/>
          <w:sz w:val="24"/>
          <w:szCs w:val="24"/>
          <w:lang w:eastAsia="ar-SA"/>
        </w:rPr>
      </w:pPr>
    </w:p>
    <w:p w:rsidR="00E4335B" w:rsidRDefault="00E4335B" w:rsidP="00E4335B">
      <w:pPr>
        <w:jc w:val="center"/>
        <w:rPr>
          <w:rFonts w:ascii="Times New Roman" w:hAnsi="Times New Roman" w:cs="Times New Roman"/>
          <w:noProof/>
          <w:sz w:val="24"/>
          <w:szCs w:val="24"/>
        </w:rPr>
      </w:pPr>
      <w:r>
        <w:rPr>
          <w:rFonts w:ascii="Times New Roman" w:hAnsi="Times New Roman" w:cs="Times New Roman"/>
          <w:noProof/>
          <w:sz w:val="24"/>
          <w:szCs w:val="24"/>
        </w:rPr>
        <w:t>E</w:t>
      </w:r>
      <w:r w:rsidRPr="00F22C66">
        <w:rPr>
          <w:rFonts w:ascii="Times New Roman" w:hAnsi="Times New Roman" w:cs="Times New Roman"/>
          <w:noProof/>
          <w:sz w:val="24"/>
          <w:szCs w:val="24"/>
        </w:rPr>
        <w:t xml:space="preserve">skizas. </w:t>
      </w:r>
      <w:r>
        <w:rPr>
          <w:rFonts w:ascii="Times New Roman" w:hAnsi="Times New Roman" w:cs="Times New Roman"/>
          <w:noProof/>
          <w:sz w:val="24"/>
          <w:szCs w:val="24"/>
        </w:rPr>
        <w:t>LU batų kojinės.</w:t>
      </w:r>
    </w:p>
    <w:p w:rsidR="00E4335B" w:rsidRDefault="00E4335B" w:rsidP="00E4335B">
      <w:pPr>
        <w:jc w:val="center"/>
        <w:rPr>
          <w:rFonts w:ascii="Times New Roman" w:hAnsi="Times New Roman" w:cs="Times New Roman"/>
          <w:noProof/>
          <w:sz w:val="24"/>
          <w:szCs w:val="24"/>
        </w:rPr>
      </w:pPr>
    </w:p>
    <w:p w:rsidR="00E4335B" w:rsidRDefault="00E4335B" w:rsidP="00E4335B">
      <w:pPr>
        <w:jc w:val="center"/>
        <w:rPr>
          <w:rFonts w:ascii="Times New Roman" w:hAnsi="Times New Roman" w:cs="Times New Roman"/>
          <w:noProof/>
          <w:sz w:val="24"/>
          <w:szCs w:val="24"/>
        </w:rPr>
      </w:pPr>
    </w:p>
    <w:p w:rsidR="00E4335B" w:rsidRDefault="00E4335B" w:rsidP="00E4335B">
      <w:pPr>
        <w:jc w:val="center"/>
        <w:rPr>
          <w:rFonts w:ascii="Times New Roman" w:hAnsi="Times New Roman" w:cs="Times New Roman"/>
          <w:noProof/>
          <w:sz w:val="24"/>
          <w:szCs w:val="24"/>
        </w:rPr>
      </w:pPr>
      <w:r>
        <w:rPr>
          <w:rFonts w:ascii="Times New Roman" w:hAnsi="Times New Roman" w:cs="Times New Roman"/>
          <w:noProof/>
          <w:sz w:val="24"/>
          <w:szCs w:val="24"/>
        </w:rPr>
        <w:t>________________</w:t>
      </w:r>
      <w:bookmarkStart w:id="0" w:name="_GoBack"/>
      <w:bookmarkEnd w:id="0"/>
    </w:p>
    <w:sectPr w:rsidR="00E4335B" w:rsidSect="007D7D51">
      <w:headerReference w:type="default" r:id="rId9"/>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67" w:rsidRDefault="00CF1367">
      <w:pPr>
        <w:spacing w:after="0" w:line="240" w:lineRule="auto"/>
      </w:pPr>
      <w:r>
        <w:separator/>
      </w:r>
    </w:p>
  </w:endnote>
  <w:endnote w:type="continuationSeparator" w:id="0">
    <w:p w:rsidR="00CF1367" w:rsidRDefault="00CF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67" w:rsidRDefault="00CF1367">
      <w:pPr>
        <w:spacing w:after="0" w:line="240" w:lineRule="auto"/>
      </w:pPr>
      <w:r>
        <w:separator/>
      </w:r>
    </w:p>
  </w:footnote>
  <w:footnote w:type="continuationSeparator" w:id="0">
    <w:p w:rsidR="00CF1367" w:rsidRDefault="00CF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66824"/>
      <w:docPartObj>
        <w:docPartGallery w:val="Page Numbers (Top of Page)"/>
        <w:docPartUnique/>
      </w:docPartObj>
    </w:sdtPr>
    <w:sdtEndPr>
      <w:rPr>
        <w:noProof/>
      </w:rPr>
    </w:sdtEndPr>
    <w:sdtContent>
      <w:p w:rsidR="00E8126E" w:rsidRDefault="000F4845">
        <w:pPr>
          <w:pStyle w:val="Header"/>
          <w:jc w:val="center"/>
        </w:pPr>
        <w:r>
          <w:fldChar w:fldCharType="begin"/>
        </w:r>
        <w:r>
          <w:instrText xml:space="preserve"> PAGE   \* MERGEFORMAT </w:instrText>
        </w:r>
        <w:r>
          <w:fldChar w:fldCharType="separate"/>
        </w:r>
        <w:r w:rsidR="00E4335B">
          <w:rPr>
            <w:noProof/>
          </w:rPr>
          <w:t>6</w:t>
        </w:r>
        <w:r>
          <w:rPr>
            <w:noProof/>
          </w:rPr>
          <w:fldChar w:fldCharType="end"/>
        </w:r>
      </w:p>
    </w:sdtContent>
  </w:sdt>
  <w:p w:rsidR="00E8126E" w:rsidRDefault="00CF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747"/>
    <w:multiLevelType w:val="multilevel"/>
    <w:tmpl w:val="358E0A58"/>
    <w:lvl w:ilvl="0">
      <w:start w:val="2"/>
      <w:numFmt w:val="decimal"/>
      <w:lvlText w:val="%1."/>
      <w:lvlJc w:val="left"/>
      <w:pPr>
        <w:ind w:left="1108" w:hanging="540"/>
      </w:pPr>
      <w:rPr>
        <w:rFonts w:hint="default"/>
      </w:rPr>
    </w:lvl>
    <w:lvl w:ilvl="1">
      <w:start w:val="2"/>
      <w:numFmt w:val="decimal"/>
      <w:lvlText w:val="%1.1."/>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F3F0927"/>
    <w:multiLevelType w:val="hybridMultilevel"/>
    <w:tmpl w:val="A9EA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0C660A"/>
    <w:multiLevelType w:val="multilevel"/>
    <w:tmpl w:val="B22A964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3EE2B54"/>
    <w:multiLevelType w:val="hybridMultilevel"/>
    <w:tmpl w:val="F6CA62CC"/>
    <w:lvl w:ilvl="0" w:tplc="991AF7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3"/>
  </w:num>
  <w:num w:numId="3">
    <w:abstractNumId w:val="7"/>
  </w:num>
  <w:num w:numId="4">
    <w:abstractNumId w:val="0"/>
  </w:num>
  <w:num w:numId="5">
    <w:abstractNumId w:val="5"/>
  </w:num>
  <w:num w:numId="6">
    <w:abstractNumId w:val="6"/>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45"/>
    <w:rsid w:val="00011C77"/>
    <w:rsid w:val="000C7B84"/>
    <w:rsid w:val="000E7402"/>
    <w:rsid w:val="000F4845"/>
    <w:rsid w:val="00100DE7"/>
    <w:rsid w:val="001123C2"/>
    <w:rsid w:val="0020616A"/>
    <w:rsid w:val="00280F81"/>
    <w:rsid w:val="004B7961"/>
    <w:rsid w:val="004C02F1"/>
    <w:rsid w:val="00507188"/>
    <w:rsid w:val="006244A3"/>
    <w:rsid w:val="007D7D51"/>
    <w:rsid w:val="007E495D"/>
    <w:rsid w:val="00862C1A"/>
    <w:rsid w:val="00985201"/>
    <w:rsid w:val="00AC2DB5"/>
    <w:rsid w:val="00AE4364"/>
    <w:rsid w:val="00B932DA"/>
    <w:rsid w:val="00BD5079"/>
    <w:rsid w:val="00C115A8"/>
    <w:rsid w:val="00C42646"/>
    <w:rsid w:val="00CC0F34"/>
    <w:rsid w:val="00CF1367"/>
    <w:rsid w:val="00D00D8D"/>
    <w:rsid w:val="00D74A1C"/>
    <w:rsid w:val="00DB548A"/>
    <w:rsid w:val="00DC4A8D"/>
    <w:rsid w:val="00DD41C1"/>
    <w:rsid w:val="00DF07E6"/>
    <w:rsid w:val="00E4335B"/>
    <w:rsid w:val="00E95921"/>
    <w:rsid w:val="00F1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F1E9D"/>
  <w15:chartTrackingRefBased/>
  <w15:docId w15:val="{AED1EB4D-612F-46FA-8E56-FDFF5003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4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45"/>
    <w:pPr>
      <w:ind w:left="720"/>
      <w:contextualSpacing/>
    </w:pPr>
  </w:style>
  <w:style w:type="paragraph" w:styleId="Header">
    <w:name w:val="header"/>
    <w:basedOn w:val="Normal"/>
    <w:link w:val="HeaderChar"/>
    <w:unhideWhenUsed/>
    <w:rsid w:val="000F4845"/>
    <w:pPr>
      <w:tabs>
        <w:tab w:val="center" w:pos="4986"/>
        <w:tab w:val="right" w:pos="9972"/>
      </w:tabs>
      <w:spacing w:after="0" w:line="240" w:lineRule="auto"/>
    </w:pPr>
  </w:style>
  <w:style w:type="character" w:customStyle="1" w:styleId="HeaderChar">
    <w:name w:val="Header Char"/>
    <w:basedOn w:val="DefaultParagraphFont"/>
    <w:link w:val="Header"/>
    <w:rsid w:val="000F4845"/>
    <w:rPr>
      <w:lang w:val="lt-LT"/>
    </w:rPr>
  </w:style>
  <w:style w:type="paragraph" w:customStyle="1" w:styleId="Heading">
    <w:name w:val="Heading"/>
    <w:next w:val="Normal"/>
    <w:rsid w:val="002061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styleId="Title">
    <w:name w:val="Title"/>
    <w:basedOn w:val="Normal"/>
    <w:link w:val="TitleChar"/>
    <w:qFormat/>
    <w:rsid w:val="007D7D51"/>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D7D51"/>
    <w:rPr>
      <w:rFonts w:ascii="Times New Roman" w:eastAsia="Times New Roman" w:hAnsi="Times New Roman" w:cs="Times New Roman"/>
      <w:b/>
      <w:bCs/>
      <w:sz w:val="24"/>
      <w:szCs w:val="24"/>
      <w:lang w:val="lt-LT"/>
    </w:rPr>
  </w:style>
  <w:style w:type="paragraph" w:styleId="BodyText">
    <w:name w:val="Body Text"/>
    <w:basedOn w:val="Normal"/>
    <w:link w:val="BodyTextChar"/>
    <w:rsid w:val="007D7D51"/>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D7D51"/>
    <w:rPr>
      <w:rFonts w:ascii="Times New Roman" w:eastAsia="Times New Roman" w:hAnsi="Times New Roman" w:cs="Times New Roman"/>
      <w:sz w:val="24"/>
      <w:szCs w:val="20"/>
      <w:lang w:val="lt-LT"/>
    </w:rPr>
  </w:style>
  <w:style w:type="character" w:styleId="CommentReference">
    <w:name w:val="annotation reference"/>
    <w:semiHidden/>
    <w:rsid w:val="007D7D51"/>
    <w:rPr>
      <w:sz w:val="16"/>
    </w:rPr>
  </w:style>
  <w:style w:type="paragraph" w:styleId="BodyTextIndent">
    <w:name w:val="Body Text Indent"/>
    <w:basedOn w:val="Normal"/>
    <w:link w:val="BodyTextIndentChar"/>
    <w:rsid w:val="007D7D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D5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76B2-FDBC-491B-AC74-3AA3F3F5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2024-11-20T07:38:00Z</dcterms:created>
  <dcterms:modified xsi:type="dcterms:W3CDTF">2024-11-26T06:35:00Z</dcterms:modified>
</cp:coreProperties>
</file>