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F9AA5" w14:textId="77777777" w:rsidR="00DF43A9" w:rsidRPr="00B04942" w:rsidRDefault="00DF43A9" w:rsidP="00DF43A9">
      <w:pPr>
        <w:autoSpaceDE w:val="0"/>
        <w:adjustRightInd w:val="0"/>
        <w:jc w:val="center"/>
        <w:rPr>
          <w:b/>
          <w:bCs/>
          <w:lang w:val="lt-LT"/>
        </w:rPr>
      </w:pPr>
    </w:p>
    <w:p w14:paraId="544C4CAF" w14:textId="77777777" w:rsidR="00DF43A9" w:rsidRPr="00B04942" w:rsidRDefault="00DF43A9" w:rsidP="00DF43A9">
      <w:pPr>
        <w:autoSpaceDE w:val="0"/>
        <w:adjustRightInd w:val="0"/>
        <w:jc w:val="center"/>
        <w:rPr>
          <w:b/>
          <w:bCs/>
          <w:lang w:val="lt-LT"/>
        </w:rPr>
      </w:pPr>
    </w:p>
    <w:p w14:paraId="0E26BDE1" w14:textId="6FF27441" w:rsidR="00DF43A9" w:rsidRDefault="0049114D" w:rsidP="00DF43A9">
      <w:pPr>
        <w:autoSpaceDE w:val="0"/>
        <w:adjustRightInd w:val="0"/>
        <w:jc w:val="center"/>
        <w:rPr>
          <w:b/>
          <w:bCs/>
          <w:lang w:val="lt-LT"/>
        </w:rPr>
      </w:pPr>
      <w:r>
        <w:rPr>
          <w:b/>
          <w:bCs/>
          <w:lang w:val="lt-LT"/>
        </w:rPr>
        <w:t xml:space="preserve">LABORATORINIŲ REAGENTŲ </w:t>
      </w:r>
      <w:r w:rsidR="007030C6">
        <w:rPr>
          <w:b/>
          <w:bCs/>
          <w:lang w:val="lt-LT"/>
        </w:rPr>
        <w:t xml:space="preserve">IR </w:t>
      </w:r>
      <w:r w:rsidR="006B29FA">
        <w:rPr>
          <w:b/>
          <w:bCs/>
          <w:lang w:val="lt-LT"/>
        </w:rPr>
        <w:t xml:space="preserve">PAPILDOMŲ </w:t>
      </w:r>
      <w:r w:rsidR="007030C6">
        <w:rPr>
          <w:b/>
          <w:bCs/>
          <w:lang w:val="lt-LT"/>
        </w:rPr>
        <w:t xml:space="preserve">PRIEMONIŲ </w:t>
      </w:r>
      <w:r w:rsidR="006B29FA">
        <w:rPr>
          <w:b/>
          <w:bCs/>
          <w:lang w:val="lt-LT"/>
        </w:rPr>
        <w:t>BIOCHEMINIAMS TYRIMAMS ATLIKTI SU ANALIZATORIUMI PANAUDAI TECHNINĖS SPECIFIKACIJ</w:t>
      </w:r>
      <w:r w:rsidR="006B29FA">
        <w:rPr>
          <w:b/>
          <w:bCs/>
        </w:rPr>
        <w:t>OS PROJEKTAS</w:t>
      </w:r>
    </w:p>
    <w:p w14:paraId="7F4F2538" w14:textId="77777777" w:rsidR="0049114D" w:rsidRDefault="0049114D" w:rsidP="00DF43A9">
      <w:pPr>
        <w:autoSpaceDE w:val="0"/>
        <w:adjustRightInd w:val="0"/>
        <w:jc w:val="center"/>
        <w:rPr>
          <w:b/>
          <w:bCs/>
          <w:lang w:val="lt-LT"/>
        </w:rPr>
      </w:pPr>
    </w:p>
    <w:p w14:paraId="1A53D64C" w14:textId="77777777" w:rsidR="00D06D89" w:rsidRPr="004331DE" w:rsidRDefault="00D06D89" w:rsidP="00D06D89">
      <w:pPr>
        <w:pStyle w:val="ListParagraph"/>
        <w:numPr>
          <w:ilvl w:val="0"/>
          <w:numId w:val="11"/>
        </w:numPr>
        <w:autoSpaceDE w:val="0"/>
        <w:adjustRightInd w:val="0"/>
        <w:jc w:val="center"/>
        <w:rPr>
          <w:bCs/>
          <w:lang w:val="lt-LT"/>
        </w:rPr>
      </w:pPr>
      <w:r w:rsidRPr="004331DE">
        <w:rPr>
          <w:bCs/>
          <w:lang w:val="lt-LT"/>
        </w:rPr>
        <w:t>BENDROSIOS NUOSTATOS</w:t>
      </w:r>
    </w:p>
    <w:p w14:paraId="7A4B5340" w14:textId="759C7C4A" w:rsidR="00D06D89" w:rsidRDefault="00D06D89" w:rsidP="00154C6D">
      <w:pPr>
        <w:autoSpaceDE w:val="0"/>
        <w:adjustRightInd w:val="0"/>
        <w:rPr>
          <w:bCs/>
          <w:lang w:val="lt-LT"/>
        </w:rPr>
      </w:pPr>
    </w:p>
    <w:p w14:paraId="36C5B3E3" w14:textId="77777777" w:rsidR="00D06D89" w:rsidRPr="00154C6D" w:rsidRDefault="00D06D89" w:rsidP="00D06D89">
      <w:pPr>
        <w:pStyle w:val="ListParagraph"/>
        <w:widowControl/>
        <w:numPr>
          <w:ilvl w:val="0"/>
          <w:numId w:val="10"/>
        </w:numPr>
        <w:tabs>
          <w:tab w:val="left" w:pos="1080"/>
          <w:tab w:val="num" w:pos="5667"/>
        </w:tabs>
        <w:suppressAutoHyphens w:val="0"/>
        <w:autoSpaceDN/>
        <w:jc w:val="both"/>
        <w:textAlignment w:val="auto"/>
        <w:rPr>
          <w:bCs/>
          <w:lang w:val="lt-LT"/>
        </w:rPr>
      </w:pPr>
      <w:r w:rsidRPr="00154C6D">
        <w:rPr>
          <w:lang w:val="lt-LT"/>
        </w:rPr>
        <w:t>Prekės įsigyjamos Karo medicinos tarnybos laboratorijos, veiklai užtikrinti.</w:t>
      </w:r>
    </w:p>
    <w:p w14:paraId="5992EC32" w14:textId="77777777" w:rsidR="00D06D89" w:rsidRPr="00154C6D" w:rsidRDefault="00D06D89" w:rsidP="00D06D89">
      <w:pPr>
        <w:pStyle w:val="ListParagraph"/>
        <w:widowControl/>
        <w:numPr>
          <w:ilvl w:val="0"/>
          <w:numId w:val="10"/>
        </w:numPr>
        <w:tabs>
          <w:tab w:val="left" w:pos="1080"/>
          <w:tab w:val="num" w:pos="5667"/>
        </w:tabs>
        <w:suppressAutoHyphens w:val="0"/>
        <w:autoSpaceDN/>
        <w:jc w:val="both"/>
        <w:textAlignment w:val="auto"/>
        <w:rPr>
          <w:rFonts w:cs="Times New Roman"/>
          <w:lang w:val="lt-LT"/>
        </w:rPr>
      </w:pPr>
      <w:r w:rsidRPr="00154C6D">
        <w:rPr>
          <w:rFonts w:cs="Times New Roman"/>
          <w:lang w:val="lt-LT"/>
        </w:rPr>
        <w:t xml:space="preserve">Siūlomi reagentai ir papildomos priemonės privalo atitikti </w:t>
      </w:r>
      <w:r w:rsidRPr="00154C6D">
        <w:rPr>
          <w:rFonts w:eastAsia="Times New Roman" w:cs="Times New Roman"/>
          <w:szCs w:val="20"/>
          <w:lang w:val="lt-LT"/>
        </w:rPr>
        <w:t>šioje techninėje specifikacijoje pateiktus reikalavimus.</w:t>
      </w:r>
    </w:p>
    <w:p w14:paraId="747C271B" w14:textId="4362C2A5" w:rsidR="00D06D89" w:rsidRPr="00154C6D" w:rsidRDefault="00D06D89" w:rsidP="00D06D89">
      <w:pPr>
        <w:pStyle w:val="ListParagraph"/>
        <w:widowControl/>
        <w:numPr>
          <w:ilvl w:val="0"/>
          <w:numId w:val="10"/>
        </w:numPr>
        <w:tabs>
          <w:tab w:val="left" w:pos="1080"/>
          <w:tab w:val="num" w:pos="5667"/>
        </w:tabs>
        <w:suppressAutoHyphens w:val="0"/>
        <w:autoSpaceDN/>
        <w:jc w:val="both"/>
        <w:textAlignment w:val="auto"/>
        <w:rPr>
          <w:rFonts w:cs="Times New Roman"/>
          <w:lang w:val="lt-LT"/>
        </w:rPr>
      </w:pPr>
      <w:r w:rsidRPr="00154C6D">
        <w:rPr>
          <w:rFonts w:cs="Times New Roman"/>
          <w:lang w:val="lt-LT"/>
        </w:rPr>
        <w:t xml:space="preserve">Siūlomas analizatorius panaudai turi būti sertifikuotas naudojimui Europos Sąjungoje. </w:t>
      </w:r>
    </w:p>
    <w:p w14:paraId="59F53B0E" w14:textId="77777777" w:rsidR="00D06D89" w:rsidRPr="00154C6D" w:rsidRDefault="00D06D89" w:rsidP="00D06D89">
      <w:pPr>
        <w:pStyle w:val="ListParagraph"/>
        <w:widowControl/>
        <w:numPr>
          <w:ilvl w:val="0"/>
          <w:numId w:val="10"/>
        </w:numPr>
        <w:tabs>
          <w:tab w:val="left" w:pos="1080"/>
          <w:tab w:val="num" w:pos="5667"/>
        </w:tabs>
        <w:suppressAutoHyphens w:val="0"/>
        <w:autoSpaceDN/>
        <w:jc w:val="both"/>
        <w:textAlignment w:val="auto"/>
        <w:rPr>
          <w:rFonts w:cs="Times New Roman"/>
          <w:lang w:val="lt-LT"/>
        </w:rPr>
      </w:pPr>
      <w:r w:rsidRPr="00154C6D">
        <w:rPr>
          <w:lang w:val="lt-LT"/>
        </w:rPr>
        <w:t>Visą sutarties galiojimo laikotarpį tiekėjas įsipareigoja teikti nemokamą kvalifikuotų specialistų konsultaciją ir pagalbą visais klausimais, susijusiais su teikiamų prekių ir įrangos kokybišku darbu.</w:t>
      </w:r>
    </w:p>
    <w:p w14:paraId="2FE778DB" w14:textId="2C7B4B05" w:rsidR="00D06D89" w:rsidRPr="00154C6D" w:rsidRDefault="00D06D89" w:rsidP="00D06D89">
      <w:pPr>
        <w:pStyle w:val="ListParagraph"/>
        <w:widowControl/>
        <w:numPr>
          <w:ilvl w:val="0"/>
          <w:numId w:val="10"/>
        </w:numPr>
        <w:tabs>
          <w:tab w:val="left" w:pos="1080"/>
          <w:tab w:val="num" w:pos="5667"/>
        </w:tabs>
        <w:suppressAutoHyphens w:val="0"/>
        <w:autoSpaceDN/>
        <w:jc w:val="both"/>
        <w:textAlignment w:val="auto"/>
        <w:rPr>
          <w:rFonts w:cs="Times New Roman"/>
          <w:lang w:val="lt-LT"/>
        </w:rPr>
      </w:pPr>
      <w:r w:rsidRPr="00154C6D">
        <w:rPr>
          <w:lang w:val="lt-LT"/>
        </w:rPr>
        <w:t xml:space="preserve">Tiekėjas privalo užtikrinti panaudai </w:t>
      </w:r>
      <w:r w:rsidR="00154C6D" w:rsidRPr="00154C6D">
        <w:rPr>
          <w:lang w:val="lt-LT"/>
        </w:rPr>
        <w:t>suteikto analizatoriaus</w:t>
      </w:r>
      <w:r w:rsidRPr="00154C6D">
        <w:rPr>
          <w:lang w:val="lt-LT"/>
        </w:rPr>
        <w:t xml:space="preserve"> nemokamą techninę priežiūrą, remontą, visą sutarties galiojimo laikotarpį. Užtikrinti, kad </w:t>
      </w:r>
      <w:r w:rsidR="00154C6D" w:rsidRPr="00154C6D">
        <w:rPr>
          <w:lang w:val="lt-LT"/>
        </w:rPr>
        <w:t>analizatoriaus</w:t>
      </w:r>
      <w:r w:rsidRPr="00154C6D">
        <w:rPr>
          <w:lang w:val="lt-LT"/>
        </w:rPr>
        <w:t xml:space="preserve"> techninė priežiūra, remontas, eksploatacinių dalių keitimas būtų vykdomi pagal analizatorių gamintojo parengtas technines instrukcijas/rekomendacijas. </w:t>
      </w:r>
      <w:r w:rsidR="00154C6D" w:rsidRPr="00154C6D">
        <w:rPr>
          <w:lang w:val="lt-LT"/>
        </w:rPr>
        <w:t>Siūlomo analizatoriaus</w:t>
      </w:r>
      <w:r w:rsidRPr="00154C6D">
        <w:rPr>
          <w:lang w:val="lt-LT"/>
        </w:rPr>
        <w:t xml:space="preserve"> panaudai remontas, jei toks reikalingas, atliekamas perkančiosios organizacijos patalpose ne vėliau kaip per 7 val., laboratorijos darbo metu, jeigu pranešimas apie remonto poreikį telefonu, el. paštu arba raštu pateikiamas darbo dienomis. Jei remontas negali būti atliekamas perkančiosios organizacijos patalpose arba remonto trukmė ilgesnė nei 7 val., laboratorijos darbo metu, tiekėjas privalo savo sąskaita sugedusį (netinkamai veikiantį) analizatorių laikinai pakeisti lygiaverčiu. Pakaitinis analizatorius turi būti pristatomas ne vėliau nei per 24 valandas (arba sekančią darbo dieną) nuo pranešimo apie gedimą pateikimo dienos. </w:t>
      </w:r>
      <w:r w:rsidR="00154C6D" w:rsidRPr="00154C6D">
        <w:rPr>
          <w:lang w:val="lt-LT"/>
        </w:rPr>
        <w:t>Laboratorijos</w:t>
      </w:r>
      <w:r w:rsidRPr="00154C6D">
        <w:rPr>
          <w:lang w:val="lt-LT"/>
        </w:rPr>
        <w:t xml:space="preserve"> darbo laikas </w:t>
      </w:r>
      <w:proofErr w:type="spellStart"/>
      <w:r w:rsidRPr="00154C6D">
        <w:rPr>
          <w:lang w:val="lt-LT"/>
        </w:rPr>
        <w:t>Pr</w:t>
      </w:r>
      <w:proofErr w:type="spellEnd"/>
      <w:r w:rsidRPr="00154C6D">
        <w:rPr>
          <w:lang w:val="lt-LT"/>
        </w:rPr>
        <w:t xml:space="preserve"> – </w:t>
      </w:r>
      <w:proofErr w:type="spellStart"/>
      <w:r w:rsidRPr="00154C6D">
        <w:rPr>
          <w:lang w:val="lt-LT"/>
        </w:rPr>
        <w:t>Kt</w:t>
      </w:r>
      <w:proofErr w:type="spellEnd"/>
      <w:r w:rsidRPr="00154C6D">
        <w:rPr>
          <w:lang w:val="lt-LT"/>
        </w:rPr>
        <w:t xml:space="preserve">: 8:00-17:00 val., </w:t>
      </w:r>
      <w:proofErr w:type="spellStart"/>
      <w:r w:rsidRPr="00154C6D">
        <w:rPr>
          <w:lang w:val="lt-LT"/>
        </w:rPr>
        <w:t>Pn</w:t>
      </w:r>
      <w:proofErr w:type="spellEnd"/>
      <w:r w:rsidRPr="00154C6D">
        <w:rPr>
          <w:lang w:val="lt-LT"/>
        </w:rPr>
        <w:t xml:space="preserve"> – 8:00-15:45 val. </w:t>
      </w:r>
    </w:p>
    <w:p w14:paraId="5E142B32" w14:textId="77777777" w:rsidR="00D06D89" w:rsidRDefault="00D06D89" w:rsidP="00D06D89">
      <w:pPr>
        <w:widowControl/>
        <w:tabs>
          <w:tab w:val="left" w:pos="1080"/>
          <w:tab w:val="num" w:pos="5667"/>
        </w:tabs>
        <w:suppressAutoHyphens w:val="0"/>
        <w:autoSpaceDN/>
        <w:jc w:val="both"/>
        <w:textAlignment w:val="auto"/>
        <w:rPr>
          <w:rFonts w:cs="Times New Roman"/>
          <w:lang w:val="lt-LT"/>
        </w:rPr>
      </w:pPr>
    </w:p>
    <w:p w14:paraId="46C9FB80" w14:textId="77777777" w:rsidR="00D06D89" w:rsidRPr="00B04942" w:rsidRDefault="00D06D89" w:rsidP="00D06D89">
      <w:pPr>
        <w:pStyle w:val="ListParagraph"/>
        <w:numPr>
          <w:ilvl w:val="0"/>
          <w:numId w:val="11"/>
        </w:numPr>
        <w:tabs>
          <w:tab w:val="left" w:pos="1080"/>
        </w:tabs>
        <w:jc w:val="center"/>
        <w:rPr>
          <w:lang w:val="lt-LT"/>
        </w:rPr>
      </w:pPr>
      <w:r w:rsidRPr="00B04942">
        <w:rPr>
          <w:lang w:val="lt-LT"/>
        </w:rPr>
        <w:t>TECHNINIAI REIKALAVIMAI</w:t>
      </w:r>
      <w:r>
        <w:rPr>
          <w:lang w:val="lt-LT"/>
        </w:rPr>
        <w:t xml:space="preserve"> BIOCHEMINIAMS TYRIMAMS ATLIKTI</w:t>
      </w:r>
    </w:p>
    <w:p w14:paraId="4DC22B46" w14:textId="77777777" w:rsidR="00D06D89" w:rsidRDefault="00D06D89" w:rsidP="00D06D89">
      <w:pPr>
        <w:widowControl/>
        <w:tabs>
          <w:tab w:val="left" w:pos="1080"/>
          <w:tab w:val="num" w:pos="5667"/>
        </w:tabs>
        <w:suppressAutoHyphens w:val="0"/>
        <w:autoSpaceDN/>
        <w:jc w:val="both"/>
        <w:textAlignment w:val="auto"/>
        <w:rPr>
          <w:rFonts w:cs="Times New Roman"/>
          <w:lang w:val="lt-LT"/>
        </w:rPr>
      </w:pPr>
    </w:p>
    <w:p w14:paraId="2D030B1A" w14:textId="77777777" w:rsidR="00D06D89" w:rsidRPr="00B04942" w:rsidRDefault="00D06D89" w:rsidP="00D06D89">
      <w:pPr>
        <w:pStyle w:val="Standard"/>
        <w:ind w:left="5893" w:firstLine="587"/>
        <w:jc w:val="center"/>
        <w:rPr>
          <w:rFonts w:cs="Times New Roman"/>
          <w:lang w:val="lt-LT"/>
        </w:rPr>
      </w:pPr>
      <w:r w:rsidRPr="00B04942">
        <w:rPr>
          <w:rFonts w:cs="Times New Roman"/>
          <w:lang w:val="lt-LT"/>
        </w:rPr>
        <w:t>1 lentelė</w:t>
      </w:r>
    </w:p>
    <w:tbl>
      <w:tblPr>
        <w:tblStyle w:val="TableGrid"/>
        <w:tblW w:w="0" w:type="auto"/>
        <w:jc w:val="center"/>
        <w:tblLook w:val="04A0" w:firstRow="1" w:lastRow="0" w:firstColumn="1" w:lastColumn="0" w:noHBand="0" w:noVBand="1"/>
      </w:tblPr>
      <w:tblGrid>
        <w:gridCol w:w="570"/>
        <w:gridCol w:w="4103"/>
        <w:gridCol w:w="3119"/>
      </w:tblGrid>
      <w:tr w:rsidR="00D06D89" w14:paraId="53600B51" w14:textId="77777777" w:rsidTr="00404D18">
        <w:trPr>
          <w:jc w:val="center"/>
        </w:trPr>
        <w:tc>
          <w:tcPr>
            <w:tcW w:w="570" w:type="dxa"/>
          </w:tcPr>
          <w:p w14:paraId="68CDA2C9" w14:textId="77777777" w:rsidR="00D06D89" w:rsidRPr="00054CC2" w:rsidRDefault="00D06D89" w:rsidP="00404D18">
            <w:pPr>
              <w:autoSpaceDE w:val="0"/>
              <w:adjustRightInd w:val="0"/>
              <w:jc w:val="center"/>
              <w:rPr>
                <w:b/>
                <w:bCs/>
                <w:lang w:val="lt-LT"/>
              </w:rPr>
            </w:pPr>
          </w:p>
        </w:tc>
        <w:tc>
          <w:tcPr>
            <w:tcW w:w="7222" w:type="dxa"/>
            <w:gridSpan w:val="2"/>
          </w:tcPr>
          <w:p w14:paraId="33EAD7A8" w14:textId="77777777" w:rsidR="00D06D89" w:rsidRPr="00054CC2" w:rsidRDefault="00D06D89" w:rsidP="00404D18">
            <w:pPr>
              <w:autoSpaceDE w:val="0"/>
              <w:adjustRightInd w:val="0"/>
              <w:jc w:val="center"/>
              <w:rPr>
                <w:b/>
                <w:bCs/>
                <w:lang w:val="lt-LT"/>
              </w:rPr>
            </w:pPr>
            <w:r w:rsidRPr="00054CC2">
              <w:rPr>
                <w:b/>
                <w:bCs/>
                <w:lang w:val="lt-LT"/>
              </w:rPr>
              <w:t>Informacija apie atliekamus biocheminius tyrimus</w:t>
            </w:r>
          </w:p>
        </w:tc>
      </w:tr>
      <w:tr w:rsidR="00D06D89" w14:paraId="27B374B1" w14:textId="77777777" w:rsidTr="00404D18">
        <w:trPr>
          <w:jc w:val="center"/>
        </w:trPr>
        <w:tc>
          <w:tcPr>
            <w:tcW w:w="570" w:type="dxa"/>
          </w:tcPr>
          <w:p w14:paraId="269F009D" w14:textId="77777777" w:rsidR="00D06D89" w:rsidRPr="00054CC2" w:rsidRDefault="00D06D89" w:rsidP="00404D18">
            <w:pPr>
              <w:autoSpaceDE w:val="0"/>
              <w:adjustRightInd w:val="0"/>
              <w:jc w:val="center"/>
              <w:rPr>
                <w:b/>
                <w:bCs/>
                <w:lang w:val="lt-LT"/>
              </w:rPr>
            </w:pPr>
            <w:r>
              <w:rPr>
                <w:b/>
                <w:bCs/>
                <w:lang w:val="lt-LT"/>
              </w:rPr>
              <w:t xml:space="preserve">Eil. Nr. </w:t>
            </w:r>
          </w:p>
        </w:tc>
        <w:tc>
          <w:tcPr>
            <w:tcW w:w="4103" w:type="dxa"/>
          </w:tcPr>
          <w:p w14:paraId="3CE746E0" w14:textId="77777777" w:rsidR="00D06D89" w:rsidRPr="00054CC2" w:rsidRDefault="00D06D89" w:rsidP="00404D18">
            <w:pPr>
              <w:autoSpaceDE w:val="0"/>
              <w:adjustRightInd w:val="0"/>
              <w:jc w:val="center"/>
              <w:rPr>
                <w:b/>
                <w:bCs/>
                <w:lang w:val="lt-LT"/>
              </w:rPr>
            </w:pPr>
            <w:r w:rsidRPr="00054CC2">
              <w:rPr>
                <w:b/>
                <w:bCs/>
                <w:lang w:val="lt-LT"/>
              </w:rPr>
              <w:t>Tyrimas</w:t>
            </w:r>
          </w:p>
        </w:tc>
        <w:tc>
          <w:tcPr>
            <w:tcW w:w="3119" w:type="dxa"/>
          </w:tcPr>
          <w:p w14:paraId="0F96CFED" w14:textId="77777777" w:rsidR="00D06D89" w:rsidRPr="00054CC2" w:rsidRDefault="00D06D89" w:rsidP="00404D18">
            <w:pPr>
              <w:autoSpaceDE w:val="0"/>
              <w:adjustRightInd w:val="0"/>
              <w:jc w:val="center"/>
              <w:rPr>
                <w:b/>
                <w:bCs/>
                <w:lang w:val="lt-LT"/>
              </w:rPr>
            </w:pPr>
            <w:r w:rsidRPr="00054CC2">
              <w:rPr>
                <w:b/>
                <w:color w:val="000000" w:themeColor="text1"/>
                <w:lang w:val="lt-LT"/>
              </w:rPr>
              <w:t>Preliminarus tyrimų skaičius per 48 mėn.</w:t>
            </w:r>
          </w:p>
        </w:tc>
      </w:tr>
      <w:tr w:rsidR="00D06D89" w14:paraId="1C610887" w14:textId="77777777" w:rsidTr="00404D18">
        <w:trPr>
          <w:jc w:val="center"/>
        </w:trPr>
        <w:tc>
          <w:tcPr>
            <w:tcW w:w="570" w:type="dxa"/>
          </w:tcPr>
          <w:p w14:paraId="2A90699E" w14:textId="77777777" w:rsidR="00D06D89" w:rsidRPr="00402709" w:rsidRDefault="00D06D89" w:rsidP="00404D18">
            <w:pPr>
              <w:jc w:val="both"/>
              <w:rPr>
                <w:rFonts w:cs="Times New Roman"/>
                <w:iCs/>
                <w:color w:val="000000" w:themeColor="text1"/>
                <w:lang w:val="lt-LT"/>
              </w:rPr>
            </w:pPr>
            <w:r>
              <w:rPr>
                <w:rFonts w:cs="Times New Roman"/>
                <w:iCs/>
                <w:color w:val="000000" w:themeColor="text1"/>
                <w:lang w:val="lt-LT"/>
              </w:rPr>
              <w:t>1</w:t>
            </w:r>
          </w:p>
        </w:tc>
        <w:tc>
          <w:tcPr>
            <w:tcW w:w="4103" w:type="dxa"/>
          </w:tcPr>
          <w:p w14:paraId="01309889" w14:textId="77777777" w:rsidR="00D06D89" w:rsidRPr="00402709" w:rsidRDefault="00D06D89" w:rsidP="00404D18">
            <w:pPr>
              <w:jc w:val="both"/>
              <w:rPr>
                <w:rFonts w:cs="Times New Roman"/>
                <w:color w:val="000000" w:themeColor="text1"/>
                <w:lang w:val="lt-LT"/>
              </w:rPr>
            </w:pPr>
            <w:r w:rsidRPr="00402709">
              <w:rPr>
                <w:rFonts w:cs="Times New Roman"/>
                <w:iCs/>
                <w:color w:val="000000" w:themeColor="text1"/>
                <w:lang w:val="lt-LT"/>
              </w:rPr>
              <w:t>Alaninaminotransferazės nustatymui</w:t>
            </w:r>
          </w:p>
        </w:tc>
        <w:tc>
          <w:tcPr>
            <w:tcW w:w="3119" w:type="dxa"/>
          </w:tcPr>
          <w:p w14:paraId="405873D8"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27200</w:t>
            </w:r>
          </w:p>
        </w:tc>
      </w:tr>
      <w:tr w:rsidR="00D06D89" w14:paraId="7380F09A" w14:textId="77777777" w:rsidTr="00404D18">
        <w:trPr>
          <w:jc w:val="center"/>
        </w:trPr>
        <w:tc>
          <w:tcPr>
            <w:tcW w:w="570" w:type="dxa"/>
          </w:tcPr>
          <w:p w14:paraId="5190E6ED" w14:textId="77777777" w:rsidR="00D06D89" w:rsidRPr="00402709" w:rsidRDefault="00D06D89" w:rsidP="00404D18">
            <w:pPr>
              <w:jc w:val="both"/>
              <w:rPr>
                <w:rFonts w:cs="Times New Roman"/>
                <w:iCs/>
                <w:color w:val="000000" w:themeColor="text1"/>
                <w:lang w:val="lt-LT"/>
              </w:rPr>
            </w:pPr>
            <w:r>
              <w:rPr>
                <w:rFonts w:cs="Times New Roman"/>
                <w:iCs/>
                <w:color w:val="000000" w:themeColor="text1"/>
                <w:lang w:val="lt-LT"/>
              </w:rPr>
              <w:t>2</w:t>
            </w:r>
          </w:p>
        </w:tc>
        <w:tc>
          <w:tcPr>
            <w:tcW w:w="4103" w:type="dxa"/>
          </w:tcPr>
          <w:p w14:paraId="3EF801AB" w14:textId="77777777" w:rsidR="00D06D89" w:rsidRPr="00402709" w:rsidRDefault="00D06D89" w:rsidP="00404D18">
            <w:pPr>
              <w:jc w:val="both"/>
              <w:rPr>
                <w:rFonts w:cs="Times New Roman"/>
                <w:color w:val="000000" w:themeColor="text1"/>
                <w:lang w:val="lt-LT"/>
              </w:rPr>
            </w:pPr>
            <w:r w:rsidRPr="00402709">
              <w:rPr>
                <w:rFonts w:cs="Times New Roman"/>
                <w:iCs/>
                <w:color w:val="000000" w:themeColor="text1"/>
                <w:lang w:val="lt-LT"/>
              </w:rPr>
              <w:t>Aspartataminotransferazės nustatymui</w:t>
            </w:r>
          </w:p>
        </w:tc>
        <w:tc>
          <w:tcPr>
            <w:tcW w:w="3119" w:type="dxa"/>
          </w:tcPr>
          <w:p w14:paraId="4B64C25B"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27200</w:t>
            </w:r>
          </w:p>
        </w:tc>
      </w:tr>
      <w:tr w:rsidR="00D06D89" w14:paraId="5F7A9341" w14:textId="77777777" w:rsidTr="00404D18">
        <w:trPr>
          <w:jc w:val="center"/>
        </w:trPr>
        <w:tc>
          <w:tcPr>
            <w:tcW w:w="570" w:type="dxa"/>
          </w:tcPr>
          <w:p w14:paraId="349B3217" w14:textId="77777777" w:rsidR="00D06D89" w:rsidRPr="00402709" w:rsidRDefault="00D06D89" w:rsidP="00404D18">
            <w:pPr>
              <w:rPr>
                <w:rFonts w:cs="Times New Roman"/>
                <w:color w:val="000000" w:themeColor="text1"/>
                <w:lang w:val="lt-LT"/>
              </w:rPr>
            </w:pPr>
            <w:r>
              <w:rPr>
                <w:rFonts w:cs="Times New Roman"/>
                <w:color w:val="000000" w:themeColor="text1"/>
                <w:lang w:val="lt-LT"/>
              </w:rPr>
              <w:t>3</w:t>
            </w:r>
          </w:p>
        </w:tc>
        <w:tc>
          <w:tcPr>
            <w:tcW w:w="4103" w:type="dxa"/>
          </w:tcPr>
          <w:p w14:paraId="40DD76CB"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 xml:space="preserve">Šarminės </w:t>
            </w:r>
            <w:proofErr w:type="spellStart"/>
            <w:r w:rsidRPr="00402709">
              <w:rPr>
                <w:rFonts w:cs="Times New Roman"/>
                <w:color w:val="000000" w:themeColor="text1"/>
                <w:lang w:val="lt-LT"/>
              </w:rPr>
              <w:t>fosfatazės</w:t>
            </w:r>
            <w:proofErr w:type="spellEnd"/>
            <w:r w:rsidRPr="00402709">
              <w:rPr>
                <w:rFonts w:cs="Times New Roman"/>
                <w:color w:val="000000" w:themeColor="text1"/>
                <w:lang w:val="lt-LT"/>
              </w:rPr>
              <w:t xml:space="preserve"> nustatymui</w:t>
            </w:r>
          </w:p>
        </w:tc>
        <w:tc>
          <w:tcPr>
            <w:tcW w:w="3119" w:type="dxa"/>
          </w:tcPr>
          <w:p w14:paraId="0B232CCE"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7900</w:t>
            </w:r>
          </w:p>
        </w:tc>
      </w:tr>
      <w:tr w:rsidR="00D06D89" w14:paraId="0A1F1450" w14:textId="77777777" w:rsidTr="00404D18">
        <w:trPr>
          <w:jc w:val="center"/>
        </w:trPr>
        <w:tc>
          <w:tcPr>
            <w:tcW w:w="570" w:type="dxa"/>
          </w:tcPr>
          <w:p w14:paraId="7C701C32" w14:textId="77777777" w:rsidR="00D06D89" w:rsidRPr="00402709" w:rsidRDefault="00D06D89" w:rsidP="00404D18">
            <w:pPr>
              <w:jc w:val="both"/>
              <w:rPr>
                <w:rFonts w:cs="Times New Roman"/>
                <w:color w:val="000000" w:themeColor="text1"/>
                <w:lang w:val="lt-LT"/>
              </w:rPr>
            </w:pPr>
            <w:r>
              <w:rPr>
                <w:rFonts w:cs="Times New Roman"/>
                <w:color w:val="000000" w:themeColor="text1"/>
                <w:lang w:val="lt-LT"/>
              </w:rPr>
              <w:t>4</w:t>
            </w:r>
          </w:p>
        </w:tc>
        <w:tc>
          <w:tcPr>
            <w:tcW w:w="4103" w:type="dxa"/>
          </w:tcPr>
          <w:p w14:paraId="73F6A678" w14:textId="77777777" w:rsidR="00D06D89" w:rsidRPr="00402709" w:rsidRDefault="00D06D89" w:rsidP="00404D18">
            <w:pPr>
              <w:jc w:val="both"/>
              <w:rPr>
                <w:rFonts w:cs="Times New Roman"/>
                <w:color w:val="000000" w:themeColor="text1"/>
                <w:lang w:val="lt-LT"/>
              </w:rPr>
            </w:pPr>
            <w:r w:rsidRPr="00402709">
              <w:rPr>
                <w:rFonts w:cs="Times New Roman"/>
                <w:color w:val="000000" w:themeColor="text1"/>
                <w:lang w:val="lt-LT"/>
              </w:rPr>
              <w:t>α-</w:t>
            </w:r>
            <w:proofErr w:type="spellStart"/>
            <w:r w:rsidRPr="00402709">
              <w:rPr>
                <w:rFonts w:cs="Times New Roman"/>
                <w:color w:val="000000" w:themeColor="text1"/>
                <w:lang w:val="lt-LT"/>
              </w:rPr>
              <w:t>Amilazės</w:t>
            </w:r>
            <w:proofErr w:type="spellEnd"/>
            <w:r w:rsidRPr="00402709">
              <w:rPr>
                <w:rFonts w:cs="Times New Roman"/>
                <w:color w:val="000000" w:themeColor="text1"/>
                <w:lang w:val="lt-LT"/>
              </w:rPr>
              <w:t xml:space="preserve"> nustatymui</w:t>
            </w:r>
          </w:p>
        </w:tc>
        <w:tc>
          <w:tcPr>
            <w:tcW w:w="3119" w:type="dxa"/>
          </w:tcPr>
          <w:p w14:paraId="585D309E"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5400</w:t>
            </w:r>
          </w:p>
        </w:tc>
      </w:tr>
      <w:tr w:rsidR="00D06D89" w14:paraId="22FC1DAC" w14:textId="77777777" w:rsidTr="00404D18">
        <w:trPr>
          <w:jc w:val="center"/>
        </w:trPr>
        <w:tc>
          <w:tcPr>
            <w:tcW w:w="570" w:type="dxa"/>
          </w:tcPr>
          <w:p w14:paraId="655AFEA7" w14:textId="77777777" w:rsidR="00D06D89" w:rsidRPr="00402709" w:rsidRDefault="00D06D89" w:rsidP="00404D18">
            <w:pPr>
              <w:rPr>
                <w:rFonts w:cs="Times New Roman"/>
                <w:color w:val="000000" w:themeColor="text1"/>
                <w:lang w:val="lt-LT"/>
              </w:rPr>
            </w:pPr>
            <w:r>
              <w:rPr>
                <w:rFonts w:cs="Times New Roman"/>
                <w:color w:val="000000" w:themeColor="text1"/>
                <w:lang w:val="lt-LT"/>
              </w:rPr>
              <w:t>5</w:t>
            </w:r>
          </w:p>
        </w:tc>
        <w:tc>
          <w:tcPr>
            <w:tcW w:w="4103" w:type="dxa"/>
          </w:tcPr>
          <w:p w14:paraId="6EE83258"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 xml:space="preserve">Bendro </w:t>
            </w:r>
            <w:proofErr w:type="spellStart"/>
            <w:r w:rsidRPr="00402709">
              <w:rPr>
                <w:rFonts w:cs="Times New Roman"/>
                <w:color w:val="000000" w:themeColor="text1"/>
                <w:lang w:val="lt-LT"/>
              </w:rPr>
              <w:t>bilirubino</w:t>
            </w:r>
            <w:proofErr w:type="spellEnd"/>
            <w:r w:rsidRPr="00402709">
              <w:rPr>
                <w:rFonts w:cs="Times New Roman"/>
                <w:color w:val="000000" w:themeColor="text1"/>
                <w:lang w:val="lt-LT"/>
              </w:rPr>
              <w:t xml:space="preserve"> nustatymui</w:t>
            </w:r>
          </w:p>
        </w:tc>
        <w:tc>
          <w:tcPr>
            <w:tcW w:w="3119" w:type="dxa"/>
          </w:tcPr>
          <w:p w14:paraId="5CE04677"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7500</w:t>
            </w:r>
          </w:p>
        </w:tc>
      </w:tr>
      <w:tr w:rsidR="00D06D89" w14:paraId="30210359" w14:textId="77777777" w:rsidTr="00404D18">
        <w:trPr>
          <w:jc w:val="center"/>
        </w:trPr>
        <w:tc>
          <w:tcPr>
            <w:tcW w:w="570" w:type="dxa"/>
          </w:tcPr>
          <w:p w14:paraId="3D0B0C2D" w14:textId="77777777" w:rsidR="00D06D89" w:rsidRPr="00402709" w:rsidRDefault="00D06D89" w:rsidP="00404D18">
            <w:pPr>
              <w:rPr>
                <w:rFonts w:cs="Times New Roman"/>
                <w:color w:val="000000" w:themeColor="text1"/>
                <w:lang w:val="lt-LT"/>
              </w:rPr>
            </w:pPr>
            <w:r>
              <w:rPr>
                <w:rFonts w:cs="Times New Roman"/>
                <w:color w:val="000000" w:themeColor="text1"/>
                <w:lang w:val="lt-LT"/>
              </w:rPr>
              <w:t>6</w:t>
            </w:r>
          </w:p>
        </w:tc>
        <w:tc>
          <w:tcPr>
            <w:tcW w:w="4103" w:type="dxa"/>
          </w:tcPr>
          <w:p w14:paraId="6BDEF921"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 xml:space="preserve">Tiesioginio </w:t>
            </w:r>
            <w:proofErr w:type="spellStart"/>
            <w:r w:rsidRPr="00402709">
              <w:rPr>
                <w:rFonts w:cs="Times New Roman"/>
                <w:color w:val="000000" w:themeColor="text1"/>
                <w:lang w:val="lt-LT"/>
              </w:rPr>
              <w:t>bilirubino</w:t>
            </w:r>
            <w:proofErr w:type="spellEnd"/>
            <w:r w:rsidRPr="00402709">
              <w:rPr>
                <w:rFonts w:cs="Times New Roman"/>
                <w:color w:val="000000" w:themeColor="text1"/>
                <w:lang w:val="lt-LT"/>
              </w:rPr>
              <w:t xml:space="preserve"> nustatymui</w:t>
            </w:r>
          </w:p>
        </w:tc>
        <w:tc>
          <w:tcPr>
            <w:tcW w:w="3119" w:type="dxa"/>
          </w:tcPr>
          <w:p w14:paraId="64085E92"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7500</w:t>
            </w:r>
          </w:p>
        </w:tc>
      </w:tr>
      <w:tr w:rsidR="00D06D89" w14:paraId="334C4B00" w14:textId="77777777" w:rsidTr="00404D18">
        <w:trPr>
          <w:jc w:val="center"/>
        </w:trPr>
        <w:tc>
          <w:tcPr>
            <w:tcW w:w="570" w:type="dxa"/>
          </w:tcPr>
          <w:p w14:paraId="7D8A2DEB" w14:textId="77777777" w:rsidR="00D06D89" w:rsidRPr="00402709" w:rsidRDefault="00D06D89" w:rsidP="00404D18">
            <w:pPr>
              <w:jc w:val="both"/>
              <w:rPr>
                <w:rFonts w:cs="Times New Roman"/>
                <w:color w:val="000000" w:themeColor="text1"/>
                <w:lang w:val="lt-LT"/>
              </w:rPr>
            </w:pPr>
            <w:r>
              <w:rPr>
                <w:rFonts w:cs="Times New Roman"/>
                <w:color w:val="000000" w:themeColor="text1"/>
                <w:lang w:val="lt-LT"/>
              </w:rPr>
              <w:t>7</w:t>
            </w:r>
          </w:p>
        </w:tc>
        <w:tc>
          <w:tcPr>
            <w:tcW w:w="4103" w:type="dxa"/>
          </w:tcPr>
          <w:p w14:paraId="3910803D" w14:textId="77777777" w:rsidR="00D06D89" w:rsidRPr="00402709" w:rsidRDefault="00D06D89" w:rsidP="00404D18">
            <w:pPr>
              <w:jc w:val="both"/>
              <w:rPr>
                <w:rFonts w:cs="Times New Roman"/>
                <w:color w:val="000000" w:themeColor="text1"/>
                <w:lang w:val="lt-LT"/>
              </w:rPr>
            </w:pPr>
            <w:r w:rsidRPr="00402709">
              <w:rPr>
                <w:rFonts w:cs="Times New Roman"/>
                <w:color w:val="000000" w:themeColor="text1"/>
                <w:lang w:val="lt-LT"/>
              </w:rPr>
              <w:t>Šlapalo nustatymui</w:t>
            </w:r>
          </w:p>
        </w:tc>
        <w:tc>
          <w:tcPr>
            <w:tcW w:w="3119" w:type="dxa"/>
          </w:tcPr>
          <w:p w14:paraId="49148558"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16200</w:t>
            </w:r>
          </w:p>
        </w:tc>
      </w:tr>
      <w:tr w:rsidR="00D06D89" w14:paraId="6D0237D5" w14:textId="77777777" w:rsidTr="00404D18">
        <w:trPr>
          <w:jc w:val="center"/>
        </w:trPr>
        <w:tc>
          <w:tcPr>
            <w:tcW w:w="570" w:type="dxa"/>
          </w:tcPr>
          <w:p w14:paraId="10E60429" w14:textId="77777777" w:rsidR="00D06D89" w:rsidRPr="00402709" w:rsidRDefault="00D06D89" w:rsidP="00404D18">
            <w:pPr>
              <w:rPr>
                <w:rFonts w:cs="Times New Roman"/>
                <w:color w:val="000000" w:themeColor="text1"/>
                <w:lang w:val="lt-LT"/>
              </w:rPr>
            </w:pPr>
            <w:r>
              <w:rPr>
                <w:rFonts w:cs="Times New Roman"/>
                <w:color w:val="000000" w:themeColor="text1"/>
                <w:lang w:val="lt-LT"/>
              </w:rPr>
              <w:t>8</w:t>
            </w:r>
          </w:p>
        </w:tc>
        <w:tc>
          <w:tcPr>
            <w:tcW w:w="4103" w:type="dxa"/>
          </w:tcPr>
          <w:p w14:paraId="633A6578" w14:textId="77777777" w:rsidR="00D06D89" w:rsidRPr="00402709" w:rsidRDefault="00D06D89" w:rsidP="00404D18">
            <w:pPr>
              <w:rPr>
                <w:rFonts w:cs="Times New Roman"/>
                <w:color w:val="000000" w:themeColor="text1"/>
                <w:lang w:val="lt-LT"/>
              </w:rPr>
            </w:pPr>
            <w:proofErr w:type="spellStart"/>
            <w:r w:rsidRPr="00402709">
              <w:rPr>
                <w:rFonts w:cs="Times New Roman"/>
                <w:color w:val="000000" w:themeColor="text1"/>
                <w:lang w:val="lt-LT"/>
              </w:rPr>
              <w:t>Kreatinino</w:t>
            </w:r>
            <w:proofErr w:type="spellEnd"/>
            <w:r w:rsidRPr="00402709">
              <w:rPr>
                <w:rFonts w:cs="Times New Roman"/>
                <w:color w:val="000000" w:themeColor="text1"/>
                <w:lang w:val="lt-LT"/>
              </w:rPr>
              <w:t xml:space="preserve"> nustatymui</w:t>
            </w:r>
          </w:p>
        </w:tc>
        <w:tc>
          <w:tcPr>
            <w:tcW w:w="3119" w:type="dxa"/>
          </w:tcPr>
          <w:p w14:paraId="52539EDC"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15300</w:t>
            </w:r>
          </w:p>
        </w:tc>
      </w:tr>
      <w:tr w:rsidR="00D06D89" w14:paraId="1A5A8B29" w14:textId="77777777" w:rsidTr="00404D18">
        <w:trPr>
          <w:jc w:val="center"/>
        </w:trPr>
        <w:tc>
          <w:tcPr>
            <w:tcW w:w="570" w:type="dxa"/>
          </w:tcPr>
          <w:p w14:paraId="0924E563" w14:textId="77777777" w:rsidR="00D06D89" w:rsidRPr="00402709" w:rsidRDefault="00D06D89" w:rsidP="00404D18">
            <w:pPr>
              <w:rPr>
                <w:rFonts w:cs="Times New Roman"/>
                <w:color w:val="000000" w:themeColor="text1"/>
                <w:lang w:val="lt-LT"/>
              </w:rPr>
            </w:pPr>
            <w:r>
              <w:rPr>
                <w:rFonts w:cs="Times New Roman"/>
                <w:color w:val="000000" w:themeColor="text1"/>
                <w:lang w:val="lt-LT"/>
              </w:rPr>
              <w:t>9</w:t>
            </w:r>
          </w:p>
        </w:tc>
        <w:tc>
          <w:tcPr>
            <w:tcW w:w="4103" w:type="dxa"/>
          </w:tcPr>
          <w:p w14:paraId="6780B5F1"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Šlapimo rūgšties nustatymui</w:t>
            </w:r>
          </w:p>
        </w:tc>
        <w:tc>
          <w:tcPr>
            <w:tcW w:w="3119" w:type="dxa"/>
          </w:tcPr>
          <w:p w14:paraId="4FD0DA7B"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12900</w:t>
            </w:r>
          </w:p>
        </w:tc>
      </w:tr>
      <w:tr w:rsidR="00D06D89" w14:paraId="6EB90429" w14:textId="77777777" w:rsidTr="00404D18">
        <w:trPr>
          <w:jc w:val="center"/>
        </w:trPr>
        <w:tc>
          <w:tcPr>
            <w:tcW w:w="570" w:type="dxa"/>
          </w:tcPr>
          <w:p w14:paraId="1E995BA5" w14:textId="77777777" w:rsidR="00D06D89" w:rsidRPr="00402709" w:rsidRDefault="00D06D89" w:rsidP="00404D18">
            <w:pPr>
              <w:rPr>
                <w:rFonts w:cs="Times New Roman"/>
                <w:color w:val="000000" w:themeColor="text1"/>
                <w:lang w:val="lt-LT"/>
              </w:rPr>
            </w:pPr>
            <w:r>
              <w:rPr>
                <w:rFonts w:cs="Times New Roman"/>
                <w:color w:val="000000" w:themeColor="text1"/>
                <w:lang w:val="lt-LT"/>
              </w:rPr>
              <w:t>10</w:t>
            </w:r>
          </w:p>
        </w:tc>
        <w:tc>
          <w:tcPr>
            <w:tcW w:w="4103" w:type="dxa"/>
            <w:tcBorders>
              <w:left w:val="single" w:sz="2" w:space="0" w:color="000000"/>
              <w:bottom w:val="single" w:sz="2" w:space="0" w:color="000000"/>
            </w:tcBorders>
            <w:shd w:val="clear" w:color="auto" w:fill="auto"/>
          </w:tcPr>
          <w:p w14:paraId="7C5D81CF"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Bendro baltymų kiekio nustatymui</w:t>
            </w:r>
          </w:p>
        </w:tc>
        <w:tc>
          <w:tcPr>
            <w:tcW w:w="3119" w:type="dxa"/>
          </w:tcPr>
          <w:p w14:paraId="2A49DD3C"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2700</w:t>
            </w:r>
          </w:p>
        </w:tc>
      </w:tr>
      <w:tr w:rsidR="00D06D89" w14:paraId="3546AC56" w14:textId="77777777" w:rsidTr="00404D18">
        <w:trPr>
          <w:jc w:val="center"/>
        </w:trPr>
        <w:tc>
          <w:tcPr>
            <w:tcW w:w="570" w:type="dxa"/>
          </w:tcPr>
          <w:p w14:paraId="4AE19008" w14:textId="77777777" w:rsidR="00D06D89" w:rsidRPr="00402709" w:rsidRDefault="00D06D89" w:rsidP="00404D18">
            <w:pPr>
              <w:rPr>
                <w:rFonts w:cs="Times New Roman"/>
                <w:color w:val="000000" w:themeColor="text1"/>
                <w:lang w:val="lt-LT"/>
              </w:rPr>
            </w:pPr>
            <w:r>
              <w:rPr>
                <w:rFonts w:cs="Times New Roman"/>
                <w:color w:val="000000" w:themeColor="text1"/>
                <w:lang w:val="lt-LT"/>
              </w:rPr>
              <w:t>11</w:t>
            </w:r>
          </w:p>
        </w:tc>
        <w:tc>
          <w:tcPr>
            <w:tcW w:w="4103" w:type="dxa"/>
            <w:tcBorders>
              <w:left w:val="single" w:sz="2" w:space="0" w:color="000000"/>
              <w:bottom w:val="single" w:sz="2" w:space="0" w:color="000000"/>
            </w:tcBorders>
            <w:shd w:val="clear" w:color="auto" w:fill="auto"/>
          </w:tcPr>
          <w:p w14:paraId="4A5F558D"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Gliukozės nustatymui</w:t>
            </w:r>
          </w:p>
        </w:tc>
        <w:tc>
          <w:tcPr>
            <w:tcW w:w="3119" w:type="dxa"/>
          </w:tcPr>
          <w:p w14:paraId="4661E979"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31000</w:t>
            </w:r>
          </w:p>
        </w:tc>
      </w:tr>
      <w:tr w:rsidR="00D06D89" w14:paraId="25F417F1" w14:textId="77777777" w:rsidTr="00404D18">
        <w:trPr>
          <w:jc w:val="center"/>
        </w:trPr>
        <w:tc>
          <w:tcPr>
            <w:tcW w:w="570" w:type="dxa"/>
          </w:tcPr>
          <w:p w14:paraId="734E2FDD" w14:textId="77777777" w:rsidR="00D06D89" w:rsidRPr="00402709" w:rsidRDefault="00D06D89" w:rsidP="00404D18">
            <w:pPr>
              <w:rPr>
                <w:rFonts w:cs="Times New Roman"/>
                <w:color w:val="000000" w:themeColor="text1"/>
                <w:lang w:val="lt-LT"/>
              </w:rPr>
            </w:pPr>
            <w:r>
              <w:rPr>
                <w:rFonts w:cs="Times New Roman"/>
                <w:color w:val="000000" w:themeColor="text1"/>
                <w:lang w:val="lt-LT"/>
              </w:rPr>
              <w:t>12</w:t>
            </w:r>
          </w:p>
        </w:tc>
        <w:tc>
          <w:tcPr>
            <w:tcW w:w="4103" w:type="dxa"/>
            <w:tcBorders>
              <w:left w:val="single" w:sz="2" w:space="0" w:color="000000"/>
              <w:bottom w:val="single" w:sz="2" w:space="0" w:color="000000"/>
            </w:tcBorders>
            <w:shd w:val="clear" w:color="auto" w:fill="auto"/>
          </w:tcPr>
          <w:p w14:paraId="198F1C36"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Bendro cholesterolio nustatymui</w:t>
            </w:r>
          </w:p>
        </w:tc>
        <w:tc>
          <w:tcPr>
            <w:tcW w:w="3119" w:type="dxa"/>
          </w:tcPr>
          <w:p w14:paraId="2239FEE3"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32800</w:t>
            </w:r>
          </w:p>
        </w:tc>
      </w:tr>
      <w:tr w:rsidR="00D06D89" w14:paraId="1256847F" w14:textId="77777777" w:rsidTr="00404D18">
        <w:trPr>
          <w:jc w:val="center"/>
        </w:trPr>
        <w:tc>
          <w:tcPr>
            <w:tcW w:w="570" w:type="dxa"/>
          </w:tcPr>
          <w:p w14:paraId="20474B59" w14:textId="77777777" w:rsidR="00D06D89" w:rsidRPr="00402709" w:rsidRDefault="00D06D89" w:rsidP="00404D18">
            <w:pPr>
              <w:rPr>
                <w:rFonts w:cs="Times New Roman"/>
                <w:color w:val="000000" w:themeColor="text1"/>
                <w:lang w:val="lt-LT"/>
              </w:rPr>
            </w:pPr>
            <w:r>
              <w:rPr>
                <w:rFonts w:cs="Times New Roman"/>
                <w:color w:val="000000" w:themeColor="text1"/>
                <w:lang w:val="lt-LT"/>
              </w:rPr>
              <w:t>13</w:t>
            </w:r>
          </w:p>
        </w:tc>
        <w:tc>
          <w:tcPr>
            <w:tcW w:w="4103" w:type="dxa"/>
            <w:tcBorders>
              <w:left w:val="single" w:sz="2" w:space="0" w:color="000000"/>
              <w:bottom w:val="single" w:sz="2" w:space="0" w:color="000000"/>
            </w:tcBorders>
            <w:shd w:val="clear" w:color="auto" w:fill="auto"/>
          </w:tcPr>
          <w:p w14:paraId="6A226428"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Didelio tankio cholesterolio nustatymui</w:t>
            </w:r>
          </w:p>
        </w:tc>
        <w:tc>
          <w:tcPr>
            <w:tcW w:w="3119" w:type="dxa"/>
          </w:tcPr>
          <w:p w14:paraId="44692FAB"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15900</w:t>
            </w:r>
          </w:p>
        </w:tc>
      </w:tr>
      <w:tr w:rsidR="00D06D89" w14:paraId="28754CEA" w14:textId="77777777" w:rsidTr="00404D18">
        <w:trPr>
          <w:jc w:val="center"/>
        </w:trPr>
        <w:tc>
          <w:tcPr>
            <w:tcW w:w="570" w:type="dxa"/>
          </w:tcPr>
          <w:p w14:paraId="1C25B9A8" w14:textId="77777777" w:rsidR="00D06D89" w:rsidRPr="00402709" w:rsidRDefault="00D06D89" w:rsidP="00404D18">
            <w:pPr>
              <w:rPr>
                <w:rFonts w:cs="Times New Roman"/>
                <w:color w:val="000000" w:themeColor="text1"/>
                <w:lang w:val="lt-LT"/>
              </w:rPr>
            </w:pPr>
            <w:r>
              <w:rPr>
                <w:rFonts w:cs="Times New Roman"/>
                <w:color w:val="000000" w:themeColor="text1"/>
                <w:lang w:val="lt-LT"/>
              </w:rPr>
              <w:t>14</w:t>
            </w:r>
          </w:p>
        </w:tc>
        <w:tc>
          <w:tcPr>
            <w:tcW w:w="4103" w:type="dxa"/>
            <w:tcBorders>
              <w:left w:val="single" w:sz="2" w:space="0" w:color="000000"/>
              <w:bottom w:val="single" w:sz="2" w:space="0" w:color="000000"/>
            </w:tcBorders>
            <w:shd w:val="clear" w:color="auto" w:fill="auto"/>
          </w:tcPr>
          <w:p w14:paraId="6E501A60"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Mažo tankio cholesterolio nustatymui</w:t>
            </w:r>
          </w:p>
        </w:tc>
        <w:tc>
          <w:tcPr>
            <w:tcW w:w="3119" w:type="dxa"/>
          </w:tcPr>
          <w:p w14:paraId="1210C57F"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15900</w:t>
            </w:r>
          </w:p>
        </w:tc>
      </w:tr>
      <w:tr w:rsidR="00D06D89" w14:paraId="0E8E635A" w14:textId="77777777" w:rsidTr="00404D18">
        <w:trPr>
          <w:jc w:val="center"/>
        </w:trPr>
        <w:tc>
          <w:tcPr>
            <w:tcW w:w="570" w:type="dxa"/>
          </w:tcPr>
          <w:p w14:paraId="37147431" w14:textId="77777777" w:rsidR="00D06D89" w:rsidRPr="00402709" w:rsidRDefault="00D06D89" w:rsidP="00404D18">
            <w:pPr>
              <w:rPr>
                <w:rFonts w:cs="Times New Roman"/>
                <w:color w:val="000000" w:themeColor="text1"/>
                <w:lang w:val="lt-LT"/>
              </w:rPr>
            </w:pPr>
            <w:r>
              <w:rPr>
                <w:rFonts w:cs="Times New Roman"/>
                <w:color w:val="000000" w:themeColor="text1"/>
                <w:lang w:val="lt-LT"/>
              </w:rPr>
              <w:t>15</w:t>
            </w:r>
          </w:p>
        </w:tc>
        <w:tc>
          <w:tcPr>
            <w:tcW w:w="4103" w:type="dxa"/>
            <w:tcBorders>
              <w:left w:val="single" w:sz="2" w:space="0" w:color="000000"/>
              <w:bottom w:val="single" w:sz="2" w:space="0" w:color="000000"/>
            </w:tcBorders>
            <w:shd w:val="clear" w:color="auto" w:fill="auto"/>
          </w:tcPr>
          <w:p w14:paraId="26BA44B5" w14:textId="77777777" w:rsidR="00D06D89" w:rsidRPr="00402709" w:rsidRDefault="00D06D89" w:rsidP="00404D18">
            <w:pPr>
              <w:rPr>
                <w:rFonts w:cs="Times New Roman"/>
                <w:color w:val="000000" w:themeColor="text1"/>
                <w:lang w:val="lt-LT"/>
              </w:rPr>
            </w:pPr>
            <w:proofErr w:type="spellStart"/>
            <w:r w:rsidRPr="00402709">
              <w:rPr>
                <w:rFonts w:cs="Times New Roman"/>
                <w:color w:val="000000" w:themeColor="text1"/>
                <w:lang w:val="lt-LT"/>
              </w:rPr>
              <w:t>Trigliceridų</w:t>
            </w:r>
            <w:proofErr w:type="spellEnd"/>
            <w:r w:rsidRPr="00402709">
              <w:rPr>
                <w:rFonts w:cs="Times New Roman"/>
                <w:color w:val="000000" w:themeColor="text1"/>
                <w:lang w:val="lt-LT"/>
              </w:rPr>
              <w:t xml:space="preserve"> nustatymui</w:t>
            </w:r>
          </w:p>
        </w:tc>
        <w:tc>
          <w:tcPr>
            <w:tcW w:w="3119" w:type="dxa"/>
          </w:tcPr>
          <w:p w14:paraId="52EAA37A"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16200</w:t>
            </w:r>
          </w:p>
        </w:tc>
      </w:tr>
      <w:tr w:rsidR="00D06D89" w14:paraId="5F7D025A" w14:textId="77777777" w:rsidTr="00404D18">
        <w:trPr>
          <w:jc w:val="center"/>
        </w:trPr>
        <w:tc>
          <w:tcPr>
            <w:tcW w:w="570" w:type="dxa"/>
          </w:tcPr>
          <w:p w14:paraId="078639FB" w14:textId="77777777" w:rsidR="00D06D89" w:rsidRPr="00402709" w:rsidRDefault="00D06D89" w:rsidP="00404D18">
            <w:pPr>
              <w:rPr>
                <w:rFonts w:cs="Times New Roman"/>
                <w:color w:val="000000" w:themeColor="text1"/>
                <w:lang w:val="lt-LT"/>
              </w:rPr>
            </w:pPr>
            <w:r>
              <w:rPr>
                <w:rFonts w:cs="Times New Roman"/>
                <w:color w:val="000000" w:themeColor="text1"/>
                <w:lang w:val="lt-LT"/>
              </w:rPr>
              <w:t>16</w:t>
            </w:r>
          </w:p>
        </w:tc>
        <w:tc>
          <w:tcPr>
            <w:tcW w:w="4103" w:type="dxa"/>
            <w:tcBorders>
              <w:left w:val="single" w:sz="2" w:space="0" w:color="000000"/>
              <w:bottom w:val="single" w:sz="2" w:space="0" w:color="000000"/>
            </w:tcBorders>
            <w:shd w:val="clear" w:color="auto" w:fill="auto"/>
          </w:tcPr>
          <w:p w14:paraId="436B1432" w14:textId="77777777" w:rsidR="00D06D89" w:rsidRPr="00402709" w:rsidRDefault="00D06D89" w:rsidP="00404D18">
            <w:pPr>
              <w:rPr>
                <w:rFonts w:cs="Times New Roman"/>
                <w:color w:val="000000" w:themeColor="text1"/>
                <w:lang w:val="lt-LT"/>
              </w:rPr>
            </w:pPr>
            <w:proofErr w:type="spellStart"/>
            <w:r w:rsidRPr="00402709">
              <w:rPr>
                <w:rFonts w:cs="Times New Roman"/>
                <w:color w:val="000000" w:themeColor="text1"/>
                <w:lang w:val="lt-LT"/>
              </w:rPr>
              <w:t>Glikozilinto</w:t>
            </w:r>
            <w:proofErr w:type="spellEnd"/>
            <w:r w:rsidRPr="00402709">
              <w:rPr>
                <w:rFonts w:cs="Times New Roman"/>
                <w:color w:val="000000" w:themeColor="text1"/>
                <w:lang w:val="lt-LT"/>
              </w:rPr>
              <w:t xml:space="preserve"> hemoglobino nustatymui</w:t>
            </w:r>
          </w:p>
        </w:tc>
        <w:tc>
          <w:tcPr>
            <w:tcW w:w="3119" w:type="dxa"/>
          </w:tcPr>
          <w:p w14:paraId="7DF29CF9"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4200</w:t>
            </w:r>
          </w:p>
        </w:tc>
      </w:tr>
      <w:tr w:rsidR="00D06D89" w14:paraId="1BB2D3EB" w14:textId="77777777" w:rsidTr="00404D18">
        <w:trPr>
          <w:jc w:val="center"/>
        </w:trPr>
        <w:tc>
          <w:tcPr>
            <w:tcW w:w="570" w:type="dxa"/>
          </w:tcPr>
          <w:p w14:paraId="59D02750" w14:textId="77777777" w:rsidR="00D06D89" w:rsidRPr="00402709" w:rsidRDefault="00D06D89" w:rsidP="00404D18">
            <w:pPr>
              <w:rPr>
                <w:rFonts w:cs="Times New Roman"/>
                <w:color w:val="000000" w:themeColor="text1"/>
                <w:lang w:val="lt-LT"/>
              </w:rPr>
            </w:pPr>
            <w:r>
              <w:rPr>
                <w:rFonts w:cs="Times New Roman"/>
                <w:color w:val="000000" w:themeColor="text1"/>
                <w:lang w:val="lt-LT"/>
              </w:rPr>
              <w:t>17</w:t>
            </w:r>
          </w:p>
        </w:tc>
        <w:tc>
          <w:tcPr>
            <w:tcW w:w="4103" w:type="dxa"/>
            <w:tcBorders>
              <w:left w:val="single" w:sz="2" w:space="0" w:color="000000"/>
              <w:bottom w:val="single" w:sz="2" w:space="0" w:color="000000"/>
            </w:tcBorders>
            <w:shd w:val="clear" w:color="auto" w:fill="auto"/>
          </w:tcPr>
          <w:p w14:paraId="21810221"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Magnio nustatymui</w:t>
            </w:r>
          </w:p>
        </w:tc>
        <w:tc>
          <w:tcPr>
            <w:tcW w:w="3119" w:type="dxa"/>
          </w:tcPr>
          <w:p w14:paraId="6D3B6C33"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15200</w:t>
            </w:r>
          </w:p>
        </w:tc>
      </w:tr>
      <w:tr w:rsidR="00D06D89" w14:paraId="45392844" w14:textId="77777777" w:rsidTr="00404D18">
        <w:trPr>
          <w:jc w:val="center"/>
        </w:trPr>
        <w:tc>
          <w:tcPr>
            <w:tcW w:w="570" w:type="dxa"/>
          </w:tcPr>
          <w:p w14:paraId="3678ADB9" w14:textId="77777777" w:rsidR="00D06D89" w:rsidRPr="00402709" w:rsidRDefault="00D06D89" w:rsidP="00404D18">
            <w:pPr>
              <w:rPr>
                <w:rFonts w:cs="Times New Roman"/>
                <w:color w:val="000000" w:themeColor="text1"/>
                <w:lang w:val="lt-LT"/>
              </w:rPr>
            </w:pPr>
            <w:r>
              <w:rPr>
                <w:rFonts w:cs="Times New Roman"/>
                <w:color w:val="000000" w:themeColor="text1"/>
                <w:lang w:val="lt-LT"/>
              </w:rPr>
              <w:t>18</w:t>
            </w:r>
          </w:p>
        </w:tc>
        <w:tc>
          <w:tcPr>
            <w:tcW w:w="4103" w:type="dxa"/>
            <w:tcBorders>
              <w:left w:val="single" w:sz="2" w:space="0" w:color="000000"/>
              <w:bottom w:val="single" w:sz="2" w:space="0" w:color="000000"/>
            </w:tcBorders>
            <w:shd w:val="clear" w:color="auto" w:fill="auto"/>
          </w:tcPr>
          <w:p w14:paraId="4EAD5365" w14:textId="77777777" w:rsidR="00D06D89" w:rsidRPr="00402709" w:rsidRDefault="00D06D89" w:rsidP="00404D18">
            <w:pPr>
              <w:jc w:val="both"/>
              <w:rPr>
                <w:rFonts w:cs="Times New Roman"/>
                <w:iCs/>
                <w:color w:val="000000" w:themeColor="text1"/>
                <w:lang w:val="lt-LT"/>
              </w:rPr>
            </w:pPr>
            <w:r w:rsidRPr="00402709">
              <w:rPr>
                <w:rFonts w:cs="Times New Roman"/>
                <w:iCs/>
                <w:color w:val="000000" w:themeColor="text1"/>
                <w:lang w:val="lt-LT"/>
              </w:rPr>
              <w:t>Kokybės kontrolės nustatymui</w:t>
            </w:r>
          </w:p>
        </w:tc>
        <w:tc>
          <w:tcPr>
            <w:tcW w:w="3119" w:type="dxa"/>
          </w:tcPr>
          <w:p w14:paraId="6A652494"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Įskaičiuota į bendrą tyrimų skaičių. *</w:t>
            </w:r>
          </w:p>
        </w:tc>
      </w:tr>
      <w:tr w:rsidR="00D06D89" w14:paraId="471D629A" w14:textId="77777777" w:rsidTr="00404D18">
        <w:trPr>
          <w:jc w:val="center"/>
        </w:trPr>
        <w:tc>
          <w:tcPr>
            <w:tcW w:w="570" w:type="dxa"/>
          </w:tcPr>
          <w:p w14:paraId="3CCAA520" w14:textId="77777777" w:rsidR="00D06D89" w:rsidRPr="00402709" w:rsidRDefault="00D06D89" w:rsidP="00404D18">
            <w:pPr>
              <w:rPr>
                <w:rFonts w:cs="Times New Roman"/>
                <w:color w:val="000000" w:themeColor="text1"/>
                <w:lang w:val="lt-LT"/>
              </w:rPr>
            </w:pPr>
            <w:r>
              <w:rPr>
                <w:rFonts w:cs="Times New Roman"/>
                <w:color w:val="000000" w:themeColor="text1"/>
                <w:lang w:val="lt-LT"/>
              </w:rPr>
              <w:t>19</w:t>
            </w:r>
          </w:p>
        </w:tc>
        <w:tc>
          <w:tcPr>
            <w:tcW w:w="4103" w:type="dxa"/>
            <w:tcBorders>
              <w:left w:val="single" w:sz="2" w:space="0" w:color="000000"/>
              <w:bottom w:val="single" w:sz="2" w:space="0" w:color="000000"/>
            </w:tcBorders>
            <w:shd w:val="clear" w:color="auto" w:fill="auto"/>
          </w:tcPr>
          <w:p w14:paraId="452D9018" w14:textId="77777777" w:rsidR="00D06D89" w:rsidRPr="00402709" w:rsidRDefault="00D06D89" w:rsidP="00404D18">
            <w:pPr>
              <w:jc w:val="both"/>
              <w:rPr>
                <w:rFonts w:cs="Times New Roman"/>
                <w:iCs/>
                <w:color w:val="000000" w:themeColor="text1"/>
                <w:lang w:val="lt-LT"/>
              </w:rPr>
            </w:pPr>
            <w:proofErr w:type="spellStart"/>
            <w:r w:rsidRPr="00402709">
              <w:rPr>
                <w:rFonts w:cs="Times New Roman"/>
                <w:iCs/>
                <w:color w:val="000000" w:themeColor="text1"/>
                <w:lang w:val="lt-LT"/>
              </w:rPr>
              <w:t>Kalibracijos</w:t>
            </w:r>
            <w:proofErr w:type="spellEnd"/>
            <w:r w:rsidRPr="00402709">
              <w:rPr>
                <w:rFonts w:cs="Times New Roman"/>
                <w:iCs/>
                <w:color w:val="000000" w:themeColor="text1"/>
                <w:lang w:val="lt-LT"/>
              </w:rPr>
              <w:t xml:space="preserve"> tyrimai</w:t>
            </w:r>
          </w:p>
        </w:tc>
        <w:tc>
          <w:tcPr>
            <w:tcW w:w="3119" w:type="dxa"/>
          </w:tcPr>
          <w:p w14:paraId="7FFDCFE4"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 xml:space="preserve">Į bendrą tyrimų skaičių </w:t>
            </w:r>
            <w:r w:rsidRPr="00402709">
              <w:rPr>
                <w:rFonts w:cs="Times New Roman"/>
                <w:color w:val="000000" w:themeColor="text1"/>
                <w:lang w:val="lt-LT"/>
              </w:rPr>
              <w:lastRenderedPageBreak/>
              <w:t xml:space="preserve">neįskaičiuota. ** </w:t>
            </w:r>
          </w:p>
        </w:tc>
      </w:tr>
      <w:tr w:rsidR="00D06D89" w14:paraId="6C68206F" w14:textId="77777777" w:rsidTr="00404D18">
        <w:trPr>
          <w:jc w:val="center"/>
        </w:trPr>
        <w:tc>
          <w:tcPr>
            <w:tcW w:w="570" w:type="dxa"/>
          </w:tcPr>
          <w:p w14:paraId="766AB392" w14:textId="77777777" w:rsidR="00D06D89" w:rsidRPr="00402709" w:rsidRDefault="00D06D89" w:rsidP="00404D18">
            <w:pPr>
              <w:rPr>
                <w:rFonts w:cs="Times New Roman"/>
                <w:color w:val="000000" w:themeColor="text1"/>
                <w:lang w:val="lt-LT"/>
              </w:rPr>
            </w:pPr>
          </w:p>
        </w:tc>
        <w:tc>
          <w:tcPr>
            <w:tcW w:w="4103" w:type="dxa"/>
            <w:tcBorders>
              <w:left w:val="single" w:sz="2" w:space="0" w:color="000000"/>
              <w:bottom w:val="single" w:sz="2" w:space="0" w:color="000000"/>
            </w:tcBorders>
            <w:shd w:val="clear" w:color="auto" w:fill="auto"/>
          </w:tcPr>
          <w:p w14:paraId="7677EA56" w14:textId="77777777" w:rsidR="00D06D89" w:rsidRPr="00054CC2" w:rsidRDefault="00D06D89" w:rsidP="00404D18">
            <w:pPr>
              <w:jc w:val="both"/>
              <w:rPr>
                <w:rFonts w:cs="Times New Roman"/>
                <w:b/>
                <w:iCs/>
                <w:color w:val="000000" w:themeColor="text1"/>
                <w:lang w:val="lt-LT"/>
              </w:rPr>
            </w:pPr>
            <w:r w:rsidRPr="00054CC2">
              <w:rPr>
                <w:rFonts w:cs="Times New Roman"/>
                <w:b/>
                <w:iCs/>
                <w:color w:val="000000" w:themeColor="text1"/>
                <w:lang w:val="lt-LT"/>
              </w:rPr>
              <w:t>Viso tyrimų</w:t>
            </w:r>
          </w:p>
        </w:tc>
        <w:tc>
          <w:tcPr>
            <w:tcW w:w="3119" w:type="dxa"/>
          </w:tcPr>
          <w:p w14:paraId="7165E0A5" w14:textId="77777777" w:rsidR="00D06D89" w:rsidRPr="00054CC2" w:rsidRDefault="00D06D89" w:rsidP="00404D18">
            <w:pPr>
              <w:jc w:val="center"/>
              <w:rPr>
                <w:rFonts w:cs="Times New Roman"/>
                <w:b/>
                <w:color w:val="000000" w:themeColor="text1"/>
                <w:lang w:val="lt-LT"/>
              </w:rPr>
            </w:pPr>
            <w:r w:rsidRPr="00054CC2">
              <w:rPr>
                <w:rFonts w:cs="Times New Roman"/>
                <w:b/>
                <w:color w:val="000000" w:themeColor="text1"/>
                <w:lang w:val="lt-LT"/>
              </w:rPr>
              <w:t>261000</w:t>
            </w:r>
          </w:p>
        </w:tc>
      </w:tr>
    </w:tbl>
    <w:p w14:paraId="71B14452" w14:textId="6A0D168C" w:rsidR="00D06D89" w:rsidRPr="00721251" w:rsidRDefault="00D06D89" w:rsidP="00D06D89">
      <w:pPr>
        <w:pStyle w:val="ListParagraph"/>
        <w:ind w:left="1131"/>
        <w:rPr>
          <w:bCs/>
          <w:i/>
          <w:lang w:val="lt-LT"/>
        </w:rPr>
      </w:pPr>
      <w:r w:rsidRPr="00721251">
        <w:rPr>
          <w:bCs/>
          <w:i/>
          <w:lang w:val="lt-LT"/>
        </w:rPr>
        <w:t xml:space="preserve">* Kokybės kontrolės tyrimai kiekvienai </w:t>
      </w:r>
      <w:proofErr w:type="spellStart"/>
      <w:r w:rsidRPr="00721251">
        <w:rPr>
          <w:bCs/>
          <w:i/>
          <w:lang w:val="lt-LT"/>
        </w:rPr>
        <w:t>analitei</w:t>
      </w:r>
      <w:proofErr w:type="spellEnd"/>
      <w:r w:rsidRPr="00721251">
        <w:rPr>
          <w:bCs/>
          <w:i/>
          <w:lang w:val="lt-LT"/>
        </w:rPr>
        <w:t xml:space="preserve"> turi būti atliekami kiekvieną darbo dieną </w:t>
      </w:r>
      <w:proofErr w:type="spellStart"/>
      <w:r w:rsidRPr="00721251">
        <w:rPr>
          <w:bCs/>
          <w:i/>
          <w:lang w:val="lt-LT"/>
        </w:rPr>
        <w:t>t.y</w:t>
      </w:r>
      <w:proofErr w:type="spellEnd"/>
      <w:r w:rsidRPr="00721251">
        <w:rPr>
          <w:bCs/>
          <w:i/>
          <w:lang w:val="lt-LT"/>
        </w:rPr>
        <w:t xml:space="preserve">. 5 kartus per savaitę </w:t>
      </w:r>
      <w:proofErr w:type="spellStart"/>
      <w:r w:rsidRPr="00721251">
        <w:rPr>
          <w:bCs/>
          <w:i/>
          <w:lang w:val="lt-LT"/>
        </w:rPr>
        <w:t>t.y</w:t>
      </w:r>
      <w:proofErr w:type="spellEnd"/>
      <w:r w:rsidRPr="00721251">
        <w:rPr>
          <w:bCs/>
          <w:i/>
          <w:lang w:val="lt-LT"/>
        </w:rPr>
        <w:t xml:space="preserve">. 1004 kartus per 48 mėnesių laikotarpį (skaičiuojame, jog per metus dirbsime 251 d.x4 metai = 1004 dienos). Kokybės kontrolės tyrimai turi būti </w:t>
      </w:r>
      <w:r w:rsidR="006B29FA">
        <w:rPr>
          <w:bCs/>
          <w:i/>
          <w:lang w:val="lt-LT"/>
        </w:rPr>
        <w:t>ne mažiau, kaip dviej</w:t>
      </w:r>
      <w:r w:rsidRPr="00721251">
        <w:rPr>
          <w:bCs/>
          <w:i/>
          <w:lang w:val="lt-LT"/>
        </w:rPr>
        <w:t>ų</w:t>
      </w:r>
      <w:r w:rsidR="006B29FA">
        <w:rPr>
          <w:bCs/>
          <w:i/>
          <w:lang w:val="lt-LT"/>
        </w:rPr>
        <w:t xml:space="preserve"> lygių ir kiekvieną darbo dieną atliekami abu kokybės kontrolės lygiai</w:t>
      </w:r>
      <w:r w:rsidRPr="00721251">
        <w:rPr>
          <w:bCs/>
          <w:i/>
          <w:lang w:val="lt-LT"/>
        </w:rPr>
        <w:t xml:space="preserve">. </w:t>
      </w:r>
    </w:p>
    <w:p w14:paraId="389703B0" w14:textId="77777777" w:rsidR="00D06D89" w:rsidRPr="00721251" w:rsidRDefault="00D06D89" w:rsidP="00D06D89">
      <w:pPr>
        <w:pStyle w:val="ListParagraph"/>
        <w:autoSpaceDE w:val="0"/>
        <w:adjustRightInd w:val="0"/>
        <w:ind w:left="1131"/>
        <w:rPr>
          <w:rFonts w:cs="Times New Roman"/>
          <w:i/>
        </w:rPr>
      </w:pPr>
      <w:r w:rsidRPr="00721251">
        <w:rPr>
          <w:bCs/>
          <w:i/>
          <w:lang w:val="lt-LT"/>
        </w:rPr>
        <w:t xml:space="preserve">** </w:t>
      </w:r>
      <w:proofErr w:type="spellStart"/>
      <w:r w:rsidRPr="00721251">
        <w:rPr>
          <w:rFonts w:cs="Times New Roman"/>
          <w:i/>
        </w:rPr>
        <w:t>Kalibracijos</w:t>
      </w:r>
      <w:proofErr w:type="spellEnd"/>
      <w:r w:rsidRPr="00721251">
        <w:rPr>
          <w:rFonts w:cs="Times New Roman"/>
          <w:i/>
        </w:rPr>
        <w:t xml:space="preserve"> </w:t>
      </w:r>
      <w:proofErr w:type="spellStart"/>
      <w:r w:rsidRPr="00721251">
        <w:rPr>
          <w:rFonts w:cs="Times New Roman"/>
          <w:i/>
        </w:rPr>
        <w:t>tyrimai</w:t>
      </w:r>
      <w:proofErr w:type="spellEnd"/>
      <w:r w:rsidRPr="00721251">
        <w:rPr>
          <w:rFonts w:cs="Times New Roman"/>
          <w:i/>
        </w:rPr>
        <w:t xml:space="preserve"> </w:t>
      </w:r>
      <w:proofErr w:type="spellStart"/>
      <w:r w:rsidRPr="00721251">
        <w:rPr>
          <w:rFonts w:cs="Times New Roman"/>
          <w:i/>
        </w:rPr>
        <w:t>turi</w:t>
      </w:r>
      <w:proofErr w:type="spellEnd"/>
      <w:r w:rsidRPr="00721251">
        <w:rPr>
          <w:rFonts w:cs="Times New Roman"/>
          <w:i/>
        </w:rPr>
        <w:t xml:space="preserve"> </w:t>
      </w:r>
      <w:proofErr w:type="spellStart"/>
      <w:r w:rsidRPr="00721251">
        <w:rPr>
          <w:rFonts w:cs="Times New Roman"/>
          <w:i/>
        </w:rPr>
        <w:t>būti</w:t>
      </w:r>
      <w:proofErr w:type="spellEnd"/>
      <w:r w:rsidRPr="00721251">
        <w:rPr>
          <w:rFonts w:cs="Times New Roman"/>
          <w:i/>
        </w:rPr>
        <w:t xml:space="preserve"> </w:t>
      </w:r>
      <w:proofErr w:type="spellStart"/>
      <w:r w:rsidRPr="00721251">
        <w:rPr>
          <w:rFonts w:cs="Times New Roman"/>
          <w:i/>
        </w:rPr>
        <w:t>atliekami</w:t>
      </w:r>
      <w:proofErr w:type="spellEnd"/>
      <w:r w:rsidRPr="00721251">
        <w:rPr>
          <w:rFonts w:cs="Times New Roman"/>
          <w:i/>
        </w:rPr>
        <w:t xml:space="preserve"> </w:t>
      </w:r>
      <w:proofErr w:type="spellStart"/>
      <w:r w:rsidRPr="00721251">
        <w:rPr>
          <w:rFonts w:cs="Times New Roman"/>
          <w:i/>
        </w:rPr>
        <w:t>pagal</w:t>
      </w:r>
      <w:proofErr w:type="spellEnd"/>
      <w:r w:rsidRPr="00721251">
        <w:rPr>
          <w:rFonts w:cs="Times New Roman"/>
          <w:i/>
        </w:rPr>
        <w:t xml:space="preserve"> </w:t>
      </w:r>
      <w:proofErr w:type="spellStart"/>
      <w:r w:rsidRPr="00721251">
        <w:rPr>
          <w:rFonts w:cs="Times New Roman"/>
          <w:i/>
        </w:rPr>
        <w:t>nurodytą</w:t>
      </w:r>
      <w:proofErr w:type="spellEnd"/>
      <w:r w:rsidRPr="00721251">
        <w:rPr>
          <w:rFonts w:cs="Times New Roman"/>
          <w:i/>
        </w:rPr>
        <w:t xml:space="preserve"> </w:t>
      </w:r>
      <w:proofErr w:type="spellStart"/>
      <w:r w:rsidRPr="00721251">
        <w:rPr>
          <w:rFonts w:cs="Times New Roman"/>
          <w:i/>
        </w:rPr>
        <w:t>gamintojo</w:t>
      </w:r>
      <w:proofErr w:type="spellEnd"/>
      <w:r w:rsidRPr="00721251">
        <w:rPr>
          <w:rFonts w:cs="Times New Roman"/>
          <w:i/>
        </w:rPr>
        <w:t xml:space="preserve"> </w:t>
      </w:r>
      <w:proofErr w:type="spellStart"/>
      <w:r w:rsidRPr="00721251">
        <w:rPr>
          <w:rFonts w:cs="Times New Roman"/>
          <w:i/>
        </w:rPr>
        <w:t>rekomendacij</w:t>
      </w:r>
      <w:proofErr w:type="spellEnd"/>
      <w:r w:rsidRPr="00721251">
        <w:rPr>
          <w:rFonts w:cs="Times New Roman"/>
          <w:i/>
          <w:lang w:val="lt-LT"/>
        </w:rPr>
        <w:t>ą</w:t>
      </w:r>
      <w:r w:rsidRPr="00721251">
        <w:rPr>
          <w:rFonts w:cs="Times New Roman"/>
          <w:i/>
        </w:rPr>
        <w:t>.</w:t>
      </w:r>
    </w:p>
    <w:p w14:paraId="14754132" w14:textId="77777777" w:rsidR="00D06D89" w:rsidRPr="00721251" w:rsidRDefault="00D06D89" w:rsidP="00D06D89">
      <w:pPr>
        <w:pStyle w:val="ListParagraph"/>
        <w:autoSpaceDE w:val="0"/>
        <w:adjustRightInd w:val="0"/>
        <w:ind w:left="1131"/>
        <w:rPr>
          <w:rFonts w:cs="Times New Roman"/>
        </w:rPr>
      </w:pPr>
    </w:p>
    <w:p w14:paraId="7152CEDD" w14:textId="11CD6761" w:rsidR="00D06D89" w:rsidRPr="00721251" w:rsidRDefault="00154C6D" w:rsidP="00D06D89">
      <w:pPr>
        <w:pStyle w:val="ListParagraph"/>
        <w:numPr>
          <w:ilvl w:val="0"/>
          <w:numId w:val="10"/>
        </w:numPr>
        <w:autoSpaceDE w:val="0"/>
        <w:adjustRightInd w:val="0"/>
        <w:rPr>
          <w:rFonts w:cs="Times New Roman"/>
        </w:rPr>
      </w:pPr>
      <w:r w:rsidRPr="00154C6D">
        <w:rPr>
          <w:lang w:val="lt-LT"/>
        </w:rPr>
        <w:t>Siūlomas analizatorius</w:t>
      </w:r>
      <w:r w:rsidR="00D06D89" w:rsidRPr="00154C6D">
        <w:rPr>
          <w:lang w:val="lt-LT"/>
        </w:rPr>
        <w:t xml:space="preserve"> panaudai </w:t>
      </w:r>
      <w:r w:rsidR="00D06D89" w:rsidRPr="00721251">
        <w:rPr>
          <w:lang w:val="lt-LT"/>
        </w:rPr>
        <w:t>turi atitikti</w:t>
      </w:r>
      <w:r w:rsidR="00D06D89" w:rsidRPr="00721251">
        <w:rPr>
          <w:rFonts w:cs="Times New Roman"/>
          <w:lang w:val="lt-LT"/>
        </w:rPr>
        <w:t xml:space="preserve"> techninę specifikaciją pateiktą 2 lentelėje. </w:t>
      </w:r>
      <w:r w:rsidR="00D06D89" w:rsidRPr="00721251">
        <w:rPr>
          <w:lang w:val="lt-LT"/>
        </w:rPr>
        <w:t xml:space="preserve"> </w:t>
      </w:r>
    </w:p>
    <w:p w14:paraId="10D6DADD" w14:textId="77777777" w:rsidR="00D06D89" w:rsidRPr="00721251" w:rsidRDefault="00D06D89" w:rsidP="00D06D89">
      <w:pPr>
        <w:pStyle w:val="Standard"/>
        <w:numPr>
          <w:ilvl w:val="0"/>
          <w:numId w:val="10"/>
        </w:numPr>
        <w:jc w:val="both"/>
        <w:rPr>
          <w:lang w:val="lt-LT"/>
        </w:rPr>
      </w:pPr>
      <w:r w:rsidRPr="00721251">
        <w:rPr>
          <w:lang w:val="lt-LT"/>
        </w:rPr>
        <w:t xml:space="preserve">Tiekėjas privalo įvertinti ir nurodyti (įrašyti) visas reikiamas sudedamąsias dalis tyrimui atlikti, tame tarpe ir kontrolines, </w:t>
      </w:r>
      <w:proofErr w:type="spellStart"/>
      <w:r w:rsidRPr="00721251">
        <w:rPr>
          <w:lang w:val="lt-LT"/>
        </w:rPr>
        <w:t>kalibracines</w:t>
      </w:r>
      <w:proofErr w:type="spellEnd"/>
      <w:r w:rsidRPr="00721251">
        <w:rPr>
          <w:lang w:val="lt-LT"/>
        </w:rPr>
        <w:t xml:space="preserve"> bei pagalbines medžiagas, kitas papildomas priemones reikalingas analizatoriaus eksploatacijai.</w:t>
      </w:r>
    </w:p>
    <w:p w14:paraId="1D971D64" w14:textId="77777777" w:rsidR="00D06D89" w:rsidRDefault="00D06D89" w:rsidP="00D06D89">
      <w:pPr>
        <w:pStyle w:val="Standard"/>
        <w:numPr>
          <w:ilvl w:val="0"/>
          <w:numId w:val="10"/>
        </w:numPr>
        <w:jc w:val="both"/>
        <w:rPr>
          <w:lang w:val="lt-LT"/>
        </w:rPr>
      </w:pPr>
      <w:r w:rsidRPr="00721251">
        <w:rPr>
          <w:lang w:val="lt-LT"/>
        </w:rPr>
        <w:t>Pateikti reikalingą siūlomų reagentų rinkinių kiekį, kurio turi pakakti numatytam preliminariam tyrimų kiekiui atlikti per 48 mėnesius, atsižvelgiant į tyrimų skaičių ir reagentų rinkinių bendrą galiojimo trukmę atidarius pakuotę.</w:t>
      </w:r>
    </w:p>
    <w:p w14:paraId="494F3548" w14:textId="77777777" w:rsidR="00D06D89" w:rsidRPr="00721251" w:rsidRDefault="00D06D89" w:rsidP="00D06D89">
      <w:pPr>
        <w:pStyle w:val="Standard"/>
        <w:ind w:left="1131"/>
        <w:jc w:val="right"/>
        <w:rPr>
          <w:lang w:val="lt-LT"/>
        </w:rPr>
      </w:pPr>
      <w:r>
        <w:rPr>
          <w:bCs/>
          <w:lang w:val="lt-LT"/>
        </w:rPr>
        <w:t xml:space="preserve">2 lentelė  </w:t>
      </w:r>
      <w:r>
        <w:rPr>
          <w:bCs/>
          <w:lang w:val="lt-LT"/>
        </w:rPr>
        <w:tab/>
      </w:r>
      <w:r>
        <w:rPr>
          <w:bCs/>
          <w:lang w:val="lt-LT"/>
        </w:rPr>
        <w:tab/>
        <w:t xml:space="preserve">  </w:t>
      </w:r>
    </w:p>
    <w:tbl>
      <w:tblPr>
        <w:tblStyle w:val="TableGrid"/>
        <w:tblpPr w:leftFromText="180" w:rightFromText="180" w:vertAnchor="text" w:horzAnchor="margin" w:tblpXSpec="center" w:tblpY="340"/>
        <w:tblW w:w="9776" w:type="dxa"/>
        <w:tblLayout w:type="fixed"/>
        <w:tblLook w:val="04A0" w:firstRow="1" w:lastRow="0" w:firstColumn="1" w:lastColumn="0" w:noHBand="0" w:noVBand="1"/>
      </w:tblPr>
      <w:tblGrid>
        <w:gridCol w:w="988"/>
        <w:gridCol w:w="2368"/>
        <w:gridCol w:w="6420"/>
      </w:tblGrid>
      <w:tr w:rsidR="00D06D89" w:rsidRPr="00ED72ED" w14:paraId="731AC646" w14:textId="77777777" w:rsidTr="00F80769">
        <w:trPr>
          <w:trHeight w:val="461"/>
        </w:trPr>
        <w:tc>
          <w:tcPr>
            <w:tcW w:w="988" w:type="dxa"/>
            <w:tcBorders>
              <w:top w:val="single" w:sz="4" w:space="0" w:color="auto"/>
            </w:tcBorders>
            <w:hideMark/>
          </w:tcPr>
          <w:p w14:paraId="7EBBEE95" w14:textId="77777777" w:rsidR="00D06D89" w:rsidRPr="00ED72ED" w:rsidRDefault="00D06D89" w:rsidP="00404D18">
            <w:pPr>
              <w:widowControl/>
              <w:suppressAutoHyphens w:val="0"/>
              <w:autoSpaceDN/>
              <w:jc w:val="center"/>
              <w:textAlignment w:val="auto"/>
              <w:rPr>
                <w:rFonts w:eastAsia="Times New Roman" w:cs="Times New Roman"/>
                <w:b/>
                <w:bCs/>
                <w:color w:val="000000" w:themeColor="text1"/>
                <w:kern w:val="0"/>
                <w:lang w:val="lt-LT" w:eastAsia="lt-LT" w:bidi="ar-SA"/>
              </w:rPr>
            </w:pPr>
            <w:r w:rsidRPr="00ED72ED">
              <w:rPr>
                <w:rFonts w:eastAsia="Times New Roman" w:cs="Times New Roman"/>
                <w:b/>
                <w:bCs/>
                <w:color w:val="000000" w:themeColor="text1"/>
                <w:kern w:val="0"/>
                <w:lang w:val="lt-LT" w:eastAsia="lt-LT" w:bidi="ar-SA"/>
              </w:rPr>
              <w:t>Eil. Nr.</w:t>
            </w:r>
          </w:p>
        </w:tc>
        <w:tc>
          <w:tcPr>
            <w:tcW w:w="2368" w:type="dxa"/>
            <w:tcBorders>
              <w:top w:val="single" w:sz="4" w:space="0" w:color="auto"/>
            </w:tcBorders>
            <w:hideMark/>
          </w:tcPr>
          <w:p w14:paraId="0ABCCBC2" w14:textId="77777777" w:rsidR="00D06D89" w:rsidRPr="00ED72ED" w:rsidRDefault="00D06D89" w:rsidP="00404D18">
            <w:pPr>
              <w:widowControl/>
              <w:suppressAutoHyphens w:val="0"/>
              <w:autoSpaceDN/>
              <w:textAlignment w:val="auto"/>
              <w:rPr>
                <w:rFonts w:eastAsia="Times New Roman" w:cs="Times New Roman"/>
                <w:b/>
                <w:bCs/>
                <w:color w:val="000000" w:themeColor="text1"/>
                <w:kern w:val="0"/>
                <w:lang w:val="lt-LT" w:eastAsia="lt-LT" w:bidi="ar-SA"/>
              </w:rPr>
            </w:pPr>
            <w:r>
              <w:rPr>
                <w:rFonts w:eastAsia="Times New Roman" w:cs="Times New Roman"/>
                <w:b/>
                <w:bCs/>
                <w:color w:val="000000" w:themeColor="text1"/>
                <w:kern w:val="0"/>
                <w:lang w:val="lt-LT" w:eastAsia="lt-LT" w:bidi="ar-SA"/>
              </w:rPr>
              <w:t>Charakteristikos</w:t>
            </w:r>
          </w:p>
        </w:tc>
        <w:tc>
          <w:tcPr>
            <w:tcW w:w="6420" w:type="dxa"/>
            <w:tcBorders>
              <w:top w:val="single" w:sz="4" w:space="0" w:color="auto"/>
            </w:tcBorders>
            <w:hideMark/>
          </w:tcPr>
          <w:p w14:paraId="07E18E3F" w14:textId="77777777" w:rsidR="00D06D89" w:rsidRPr="00ED72ED" w:rsidRDefault="00D06D89" w:rsidP="00404D18">
            <w:pPr>
              <w:widowControl/>
              <w:suppressAutoHyphens w:val="0"/>
              <w:autoSpaceDN/>
              <w:jc w:val="center"/>
              <w:textAlignment w:val="auto"/>
              <w:rPr>
                <w:rFonts w:eastAsia="Times New Roman" w:cs="Times New Roman"/>
                <w:b/>
                <w:bCs/>
                <w:color w:val="000000" w:themeColor="text1"/>
                <w:kern w:val="0"/>
                <w:lang w:val="lt-LT" w:eastAsia="lt-LT" w:bidi="ar-SA"/>
              </w:rPr>
            </w:pPr>
            <w:r w:rsidRPr="00ED72ED">
              <w:rPr>
                <w:rFonts w:eastAsia="Times New Roman" w:cs="Times New Roman"/>
                <w:b/>
                <w:bCs/>
                <w:color w:val="000000" w:themeColor="text1"/>
                <w:kern w:val="0"/>
                <w:lang w:val="lt-LT" w:eastAsia="lt-LT" w:bidi="ar-SA"/>
              </w:rPr>
              <w:t>Reikalaujami techniniai parametrai</w:t>
            </w:r>
          </w:p>
        </w:tc>
      </w:tr>
      <w:tr w:rsidR="00D06D89" w:rsidRPr="00F12C7A" w14:paraId="50FCA781" w14:textId="77777777" w:rsidTr="00F80769">
        <w:trPr>
          <w:trHeight w:val="474"/>
        </w:trPr>
        <w:tc>
          <w:tcPr>
            <w:tcW w:w="988" w:type="dxa"/>
            <w:vAlign w:val="center"/>
          </w:tcPr>
          <w:p w14:paraId="65355EE4" w14:textId="77777777" w:rsidR="00D06D89" w:rsidRPr="00BB1B84" w:rsidRDefault="00D06D89" w:rsidP="00404D18">
            <w:pPr>
              <w:widowControl/>
              <w:suppressAutoHyphens w:val="0"/>
              <w:autoSpaceDN/>
              <w:ind w:left="360"/>
              <w:textAlignment w:val="auto"/>
              <w:rPr>
                <w:rFonts w:eastAsia="Times New Roman" w:cs="Times New Roman"/>
                <w:color w:val="000000" w:themeColor="text1"/>
                <w:kern w:val="0"/>
                <w:lang w:val="lt-LT" w:eastAsia="lt-LT" w:bidi="ar-SA"/>
              </w:rPr>
            </w:pPr>
            <w:r w:rsidRPr="00BB1B84">
              <w:rPr>
                <w:rFonts w:eastAsia="Times New Roman" w:cs="Times New Roman"/>
                <w:color w:val="000000" w:themeColor="text1"/>
                <w:kern w:val="0"/>
                <w:lang w:val="lt-LT" w:eastAsia="lt-LT" w:bidi="ar-SA"/>
              </w:rPr>
              <w:t>1.</w:t>
            </w:r>
          </w:p>
        </w:tc>
        <w:tc>
          <w:tcPr>
            <w:tcW w:w="2368" w:type="dxa"/>
            <w:vAlign w:val="center"/>
          </w:tcPr>
          <w:p w14:paraId="4B864D95"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Analizatoriaus komplektacija</w:t>
            </w:r>
          </w:p>
        </w:tc>
        <w:tc>
          <w:tcPr>
            <w:tcW w:w="6420" w:type="dxa"/>
            <w:vAlign w:val="center"/>
          </w:tcPr>
          <w:p w14:paraId="7A5B3786" w14:textId="70DFC074" w:rsidR="00D06D89" w:rsidRPr="00F80769" w:rsidRDefault="00D06D89" w:rsidP="00404D18">
            <w:pPr>
              <w:rPr>
                <w:rFonts w:cs="Times New Roman"/>
                <w:lang w:val="lt-LT"/>
              </w:rPr>
            </w:pPr>
            <w:r w:rsidRPr="00EF6FEB">
              <w:rPr>
                <w:rFonts w:cs="Times New Roman"/>
                <w:lang w:val="lt-LT"/>
              </w:rPr>
              <w:t xml:space="preserve">Pilnai automatinis </w:t>
            </w:r>
            <w:proofErr w:type="spellStart"/>
            <w:r w:rsidRPr="00EF6FEB">
              <w:rPr>
                <w:rFonts w:cs="Times New Roman"/>
                <w:color w:val="000000" w:themeColor="text1"/>
                <w:lang w:val="lt-LT"/>
              </w:rPr>
              <w:t>biochemininis</w:t>
            </w:r>
            <w:proofErr w:type="spellEnd"/>
            <w:r w:rsidRPr="00EF6FEB">
              <w:rPr>
                <w:rFonts w:cs="Times New Roman"/>
                <w:color w:val="000000" w:themeColor="text1"/>
                <w:lang w:val="lt-LT"/>
              </w:rPr>
              <w:t xml:space="preserve"> analizatorius, kompiuteris, monitorius (sensorinis arba valdomas klaviatūros pagalba), nepertraukiamos srovės šaltinis, spausdintuvas (popieriaus formatas A4), vandens </w:t>
            </w:r>
            <w:proofErr w:type="spellStart"/>
            <w:r w:rsidRPr="00EF6FEB">
              <w:rPr>
                <w:rFonts w:cs="Times New Roman"/>
                <w:color w:val="000000" w:themeColor="text1"/>
                <w:lang w:val="lt-LT"/>
              </w:rPr>
              <w:t>dejonizavimo</w:t>
            </w:r>
            <w:proofErr w:type="spellEnd"/>
            <w:r w:rsidRPr="00EF6FEB">
              <w:rPr>
                <w:rFonts w:cs="Times New Roman"/>
                <w:color w:val="000000" w:themeColor="text1"/>
                <w:lang w:val="lt-LT"/>
              </w:rPr>
              <w:t xml:space="preserve"> įranga (II vandens kokybės lygiui pasiekti) (jei reikalinga tyrimui atlikti)</w:t>
            </w:r>
            <w:r w:rsidR="004A625B">
              <w:rPr>
                <w:rFonts w:cs="Times New Roman"/>
                <w:color w:val="000000" w:themeColor="text1"/>
                <w:lang w:val="lt-LT"/>
              </w:rPr>
              <w:t xml:space="preserve">. </w:t>
            </w:r>
            <w:r w:rsidR="004A625B" w:rsidRPr="00F80769">
              <w:rPr>
                <w:rFonts w:cs="Times New Roman"/>
                <w:lang w:val="lt-LT"/>
              </w:rPr>
              <w:t xml:space="preserve">Analizatorius turi turėti </w:t>
            </w:r>
            <w:r w:rsidR="00A3230B" w:rsidRPr="00F80769">
              <w:rPr>
                <w:rFonts w:cs="Times New Roman"/>
                <w:lang w:val="lt-LT"/>
              </w:rPr>
              <w:t xml:space="preserve">išorinį </w:t>
            </w:r>
            <w:r w:rsidR="004A625B" w:rsidRPr="00F80769">
              <w:rPr>
                <w:rFonts w:cs="Times New Roman"/>
                <w:lang w:val="lt-LT"/>
              </w:rPr>
              <w:t>apsaugin</w:t>
            </w:r>
            <w:r w:rsidR="00A3230B" w:rsidRPr="00F80769">
              <w:rPr>
                <w:rFonts w:cs="Times New Roman"/>
                <w:lang w:val="lt-LT"/>
              </w:rPr>
              <w:t>į</w:t>
            </w:r>
            <w:r w:rsidR="004A625B" w:rsidRPr="00F80769">
              <w:rPr>
                <w:rFonts w:cs="Times New Roman"/>
                <w:lang w:val="lt-LT"/>
              </w:rPr>
              <w:t xml:space="preserve"> gaubt</w:t>
            </w:r>
            <w:r w:rsidR="00A3230B" w:rsidRPr="00F80769">
              <w:rPr>
                <w:rFonts w:cs="Times New Roman"/>
                <w:lang w:val="lt-LT"/>
              </w:rPr>
              <w:t>ą</w:t>
            </w:r>
            <w:r w:rsidR="004A625B" w:rsidRPr="00F80769">
              <w:rPr>
                <w:rFonts w:cs="Times New Roman"/>
                <w:lang w:val="lt-LT"/>
              </w:rPr>
              <w:t xml:space="preserve">, </w:t>
            </w:r>
            <w:r w:rsidR="00A3230B" w:rsidRPr="00F80769">
              <w:rPr>
                <w:rFonts w:cs="Times New Roman"/>
                <w:lang w:val="lt-LT"/>
              </w:rPr>
              <w:t xml:space="preserve"> sandariai </w:t>
            </w:r>
            <w:r w:rsidR="004A625B" w:rsidRPr="00F80769">
              <w:rPr>
                <w:rFonts w:cs="Times New Roman"/>
                <w:lang w:val="lt-LT"/>
              </w:rPr>
              <w:t>dengiant</w:t>
            </w:r>
            <w:r w:rsidR="00A3230B" w:rsidRPr="00F80769">
              <w:rPr>
                <w:rFonts w:cs="Times New Roman"/>
                <w:lang w:val="lt-LT"/>
              </w:rPr>
              <w:t>į</w:t>
            </w:r>
            <w:r w:rsidR="004A625B" w:rsidRPr="00F80769">
              <w:rPr>
                <w:rFonts w:cs="Times New Roman"/>
                <w:lang w:val="lt-LT"/>
              </w:rPr>
              <w:t xml:space="preserve"> </w:t>
            </w:r>
            <w:r w:rsidR="00C061BC" w:rsidRPr="00F80769">
              <w:rPr>
                <w:rFonts w:cs="Times New Roman"/>
                <w:lang w:val="lt-LT"/>
              </w:rPr>
              <w:t xml:space="preserve">visas mechaniškai judančias dalis, bei gaubtus </w:t>
            </w:r>
            <w:r w:rsidR="004A625B" w:rsidRPr="00F80769">
              <w:rPr>
                <w:rFonts w:cs="Times New Roman"/>
                <w:lang w:val="lt-LT"/>
              </w:rPr>
              <w:t xml:space="preserve">reagentų ir mėginių </w:t>
            </w:r>
            <w:r w:rsidR="00C061BC" w:rsidRPr="00F80769">
              <w:rPr>
                <w:rFonts w:cs="Times New Roman"/>
                <w:lang w:val="lt-LT"/>
              </w:rPr>
              <w:t>būgnams</w:t>
            </w:r>
            <w:r w:rsidR="004A625B" w:rsidRPr="00F80769">
              <w:rPr>
                <w:rFonts w:cs="Times New Roman"/>
                <w:lang w:val="lt-LT"/>
              </w:rPr>
              <w:t>.</w:t>
            </w:r>
          </w:p>
          <w:p w14:paraId="186E0D30" w14:textId="256B4038" w:rsidR="00D06D89" w:rsidRPr="00EF6FEB" w:rsidRDefault="00D06D89" w:rsidP="00F80769">
            <w:pPr>
              <w:rPr>
                <w:rFonts w:cs="Times New Roman"/>
                <w:color w:val="000000" w:themeColor="text1"/>
                <w:lang w:val="lt-LT"/>
              </w:rPr>
            </w:pPr>
            <w:r w:rsidRPr="00F80769">
              <w:rPr>
                <w:rFonts w:cs="Times New Roman"/>
                <w:lang w:val="lt-LT"/>
              </w:rPr>
              <w:t>Siūlomas analizatorius</w:t>
            </w:r>
            <w:r w:rsidR="004A625B" w:rsidRPr="00F80769">
              <w:rPr>
                <w:rFonts w:cs="Times New Roman"/>
                <w:lang w:val="lt-LT"/>
              </w:rPr>
              <w:t xml:space="preserve"> ir aukščiau išvardytos komplektuojančios dalys, išskyrus vandens </w:t>
            </w:r>
            <w:proofErr w:type="spellStart"/>
            <w:r w:rsidR="004A625B" w:rsidRPr="00F80769">
              <w:rPr>
                <w:rFonts w:cs="Times New Roman"/>
                <w:lang w:val="lt-LT"/>
              </w:rPr>
              <w:t>dejonizavimo</w:t>
            </w:r>
            <w:proofErr w:type="spellEnd"/>
            <w:r w:rsidR="004A625B" w:rsidRPr="00F80769">
              <w:rPr>
                <w:rFonts w:cs="Times New Roman"/>
                <w:lang w:val="lt-LT"/>
              </w:rPr>
              <w:t xml:space="preserve"> įrangą,</w:t>
            </w:r>
            <w:r w:rsidRPr="00F80769">
              <w:rPr>
                <w:rFonts w:cs="Times New Roman"/>
                <w:lang w:val="lt-LT"/>
              </w:rPr>
              <w:t xml:space="preserve"> turi tilpti patalpoje</w:t>
            </w:r>
            <w:r w:rsidR="00F80769" w:rsidRPr="00F80769">
              <w:rPr>
                <w:rFonts w:cs="Times New Roman"/>
                <w:lang w:val="lt-LT"/>
              </w:rPr>
              <w:t>, kurioje nėra daug vietos. (Patalpų planas su preliminaria analizatoriui skirta erdve nurodytas Techninių specifikacijų 1 –</w:t>
            </w:r>
            <w:proofErr w:type="spellStart"/>
            <w:r w:rsidR="00B406DA">
              <w:rPr>
                <w:rFonts w:cs="Times New Roman"/>
                <w:lang w:val="lt-LT"/>
              </w:rPr>
              <w:t>a</w:t>
            </w:r>
            <w:r w:rsidR="00F80769" w:rsidRPr="00F80769">
              <w:rPr>
                <w:rFonts w:cs="Times New Roman"/>
                <w:lang w:val="lt-LT"/>
              </w:rPr>
              <w:t>jame</w:t>
            </w:r>
            <w:proofErr w:type="spellEnd"/>
            <w:r w:rsidR="00F80769" w:rsidRPr="00F80769">
              <w:rPr>
                <w:rFonts w:cs="Times New Roman"/>
                <w:lang w:val="lt-LT"/>
              </w:rPr>
              <w:t xml:space="preserve"> priede).</w:t>
            </w:r>
          </w:p>
        </w:tc>
      </w:tr>
      <w:tr w:rsidR="00D06D89" w:rsidRPr="002D0D4D" w14:paraId="4D5F72A9" w14:textId="77777777" w:rsidTr="00F80769">
        <w:trPr>
          <w:trHeight w:val="555"/>
        </w:trPr>
        <w:tc>
          <w:tcPr>
            <w:tcW w:w="988" w:type="dxa"/>
            <w:vAlign w:val="center"/>
          </w:tcPr>
          <w:p w14:paraId="07B2DB21" w14:textId="77777777" w:rsidR="00D06D89" w:rsidRPr="00BB1B84" w:rsidRDefault="00D06D89" w:rsidP="00404D18">
            <w:pPr>
              <w:widowControl/>
              <w:suppressAutoHyphens w:val="0"/>
              <w:autoSpaceDN/>
              <w:ind w:left="360"/>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2</w:t>
            </w:r>
            <w:r w:rsidRPr="00BB1B84">
              <w:rPr>
                <w:rFonts w:eastAsia="Times New Roman" w:cs="Times New Roman"/>
                <w:color w:val="000000" w:themeColor="text1"/>
                <w:kern w:val="0"/>
                <w:lang w:val="lt-LT" w:eastAsia="lt-LT" w:bidi="ar-SA"/>
              </w:rPr>
              <w:t>.</w:t>
            </w:r>
          </w:p>
        </w:tc>
        <w:tc>
          <w:tcPr>
            <w:tcW w:w="2368" w:type="dxa"/>
            <w:vAlign w:val="center"/>
          </w:tcPr>
          <w:p w14:paraId="738D3D9A"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Brūkšninių kodų skaitytuvas</w:t>
            </w:r>
          </w:p>
        </w:tc>
        <w:tc>
          <w:tcPr>
            <w:tcW w:w="6420" w:type="dxa"/>
            <w:vAlign w:val="center"/>
          </w:tcPr>
          <w:p w14:paraId="0C813B21" w14:textId="1C794FAB" w:rsidR="00D06D89" w:rsidRPr="00EF6FEB" w:rsidRDefault="006E6A93" w:rsidP="00404D18">
            <w:pPr>
              <w:rPr>
                <w:rFonts w:cs="Times New Roman"/>
                <w:color w:val="000000" w:themeColor="text1"/>
                <w:lang w:val="lt-LT"/>
              </w:rPr>
            </w:pPr>
            <w:r>
              <w:rPr>
                <w:rFonts w:cs="Times New Roman"/>
                <w:color w:val="000000" w:themeColor="text1"/>
                <w:lang w:val="lt-LT"/>
              </w:rPr>
              <w:t xml:space="preserve">Vidinis arba išorinis </w:t>
            </w:r>
            <w:r w:rsidR="00D06D89" w:rsidRPr="00EF6FEB">
              <w:rPr>
                <w:rFonts w:cs="Times New Roman"/>
                <w:color w:val="000000" w:themeColor="text1"/>
                <w:lang w:val="lt-LT"/>
              </w:rPr>
              <w:t>brūkšninio kodo skaitytuvas.</w:t>
            </w:r>
          </w:p>
          <w:p w14:paraId="54C60FF8" w14:textId="77777777" w:rsidR="00D06D89" w:rsidRPr="00EF6FEB" w:rsidRDefault="00D06D89" w:rsidP="00404D18">
            <w:pPr>
              <w:rPr>
                <w:rFonts w:cs="Times New Roman"/>
                <w:color w:val="000000" w:themeColor="text1"/>
                <w:lang w:val="lt-LT"/>
              </w:rPr>
            </w:pPr>
          </w:p>
        </w:tc>
      </w:tr>
      <w:tr w:rsidR="00D06D89" w:rsidRPr="0091743D" w14:paraId="77AE9CC8" w14:textId="77777777" w:rsidTr="00F80769">
        <w:trPr>
          <w:trHeight w:val="315"/>
        </w:trPr>
        <w:tc>
          <w:tcPr>
            <w:tcW w:w="988" w:type="dxa"/>
            <w:vAlign w:val="center"/>
          </w:tcPr>
          <w:p w14:paraId="61BEA7DE" w14:textId="77777777" w:rsidR="00D06D89" w:rsidRPr="00BB1B84" w:rsidRDefault="00D06D89" w:rsidP="00404D18">
            <w:pPr>
              <w:widowControl/>
              <w:suppressAutoHyphens w:val="0"/>
              <w:autoSpaceDN/>
              <w:ind w:left="360"/>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3</w:t>
            </w:r>
            <w:r w:rsidRPr="00BB1B84">
              <w:rPr>
                <w:rFonts w:eastAsia="Times New Roman" w:cs="Times New Roman"/>
                <w:color w:val="000000" w:themeColor="text1"/>
                <w:kern w:val="0"/>
                <w:lang w:val="lt-LT" w:eastAsia="lt-LT" w:bidi="ar-SA"/>
              </w:rPr>
              <w:t>.</w:t>
            </w:r>
          </w:p>
        </w:tc>
        <w:tc>
          <w:tcPr>
            <w:tcW w:w="2368" w:type="dxa"/>
            <w:vAlign w:val="center"/>
          </w:tcPr>
          <w:p w14:paraId="6A3ACDC2"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Mėginių/reagentų diskas</w:t>
            </w:r>
          </w:p>
        </w:tc>
        <w:tc>
          <w:tcPr>
            <w:tcW w:w="6420" w:type="dxa"/>
            <w:vAlign w:val="center"/>
          </w:tcPr>
          <w:p w14:paraId="6CF46AB5" w14:textId="0C901353" w:rsidR="00D06D89" w:rsidRPr="00F80769" w:rsidRDefault="00E14CEF" w:rsidP="00A3230B">
            <w:pPr>
              <w:pStyle w:val="ListParagraph"/>
              <w:ind w:left="0"/>
              <w:rPr>
                <w:rFonts w:cs="Times New Roman"/>
                <w:lang w:val="lt-LT"/>
              </w:rPr>
            </w:pPr>
            <w:r w:rsidRPr="00F80769">
              <w:rPr>
                <w:rFonts w:cs="Times New Roman"/>
                <w:lang w:val="lt-LT"/>
              </w:rPr>
              <w:t>T</w:t>
            </w:r>
            <w:r w:rsidR="00D06D89" w:rsidRPr="00F80769">
              <w:rPr>
                <w:rFonts w:cs="Times New Roman"/>
                <w:lang w:val="lt-LT"/>
              </w:rPr>
              <w:t xml:space="preserve">alpinantys ne mažiau </w:t>
            </w:r>
            <w:r w:rsidR="00E12FEF" w:rsidRPr="00F80769">
              <w:rPr>
                <w:rFonts w:cs="Times New Roman"/>
                <w:lang w:val="lt-LT"/>
              </w:rPr>
              <w:t xml:space="preserve">kaip </w:t>
            </w:r>
            <w:r w:rsidR="006E6A93" w:rsidRPr="00F80769">
              <w:rPr>
                <w:rFonts w:cs="Times New Roman"/>
                <w:lang w:val="lt-LT"/>
              </w:rPr>
              <w:t>40</w:t>
            </w:r>
            <w:r w:rsidR="00D06D89" w:rsidRPr="00F80769">
              <w:rPr>
                <w:rFonts w:cs="Times New Roman"/>
                <w:lang w:val="lt-LT"/>
              </w:rPr>
              <w:t xml:space="preserve"> mėginių pozicijų</w:t>
            </w:r>
            <w:r w:rsidR="00007380" w:rsidRPr="00F80769">
              <w:rPr>
                <w:rFonts w:cs="Times New Roman"/>
                <w:lang w:val="lt-LT"/>
              </w:rPr>
              <w:t xml:space="preserve"> ir ne mažiau 32 reagentų</w:t>
            </w:r>
            <w:r w:rsidR="00A3230B" w:rsidRPr="00F80769">
              <w:rPr>
                <w:rFonts w:cs="Times New Roman"/>
                <w:lang w:val="lt-LT"/>
              </w:rPr>
              <w:t xml:space="preserve"> pozicijų</w:t>
            </w:r>
            <w:r w:rsidR="004A625B" w:rsidRPr="00F80769">
              <w:rPr>
                <w:rFonts w:cs="Times New Roman"/>
                <w:lang w:val="lt-LT"/>
              </w:rPr>
              <w:t xml:space="preserve"> </w:t>
            </w:r>
          </w:p>
        </w:tc>
      </w:tr>
      <w:tr w:rsidR="00D06D89" w:rsidRPr="002D0D4D" w14:paraId="4135035E" w14:textId="77777777" w:rsidTr="00F80769">
        <w:trPr>
          <w:trHeight w:val="315"/>
        </w:trPr>
        <w:tc>
          <w:tcPr>
            <w:tcW w:w="988" w:type="dxa"/>
            <w:vAlign w:val="center"/>
          </w:tcPr>
          <w:p w14:paraId="00C1AEC1" w14:textId="77777777" w:rsidR="00D06D89" w:rsidRPr="00BB1B84" w:rsidRDefault="00D06D89" w:rsidP="00404D18">
            <w:pPr>
              <w:widowControl/>
              <w:suppressAutoHyphens w:val="0"/>
              <w:autoSpaceDN/>
              <w:ind w:left="360"/>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4</w:t>
            </w:r>
            <w:r w:rsidRPr="00BB1B84">
              <w:rPr>
                <w:rFonts w:eastAsia="Times New Roman" w:cs="Times New Roman"/>
                <w:color w:val="000000" w:themeColor="text1"/>
                <w:kern w:val="0"/>
                <w:lang w:val="lt-LT" w:eastAsia="lt-LT" w:bidi="ar-SA"/>
              </w:rPr>
              <w:t>.</w:t>
            </w:r>
          </w:p>
        </w:tc>
        <w:tc>
          <w:tcPr>
            <w:tcW w:w="2368" w:type="dxa"/>
            <w:vAlign w:val="center"/>
          </w:tcPr>
          <w:p w14:paraId="2159CC9A"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Analizatoriaus našumas</w:t>
            </w:r>
          </w:p>
        </w:tc>
        <w:tc>
          <w:tcPr>
            <w:tcW w:w="6420" w:type="dxa"/>
            <w:vAlign w:val="center"/>
          </w:tcPr>
          <w:p w14:paraId="0D0AE30D" w14:textId="77777777" w:rsidR="00D06D89" w:rsidRPr="00404D18" w:rsidRDefault="00D06D89" w:rsidP="00404D18">
            <w:pPr>
              <w:rPr>
                <w:rFonts w:cs="Times New Roman"/>
                <w:highlight w:val="cyan"/>
                <w:lang w:val="lt-LT"/>
              </w:rPr>
            </w:pPr>
          </w:p>
          <w:p w14:paraId="75B5240D" w14:textId="63EF2158" w:rsidR="00D06D89" w:rsidRPr="00EF6FEB" w:rsidRDefault="004A625B" w:rsidP="0091743D">
            <w:pPr>
              <w:rPr>
                <w:rFonts w:cs="Times New Roman"/>
                <w:color w:val="000000" w:themeColor="text1"/>
                <w:lang w:val="lt-LT"/>
              </w:rPr>
            </w:pPr>
            <w:r w:rsidRPr="00F80769">
              <w:rPr>
                <w:rFonts w:cs="Times New Roman"/>
                <w:lang w:val="lt-LT"/>
              </w:rPr>
              <w:t xml:space="preserve">Ne mažiau </w:t>
            </w:r>
            <w:r w:rsidR="00D06D89" w:rsidRPr="00F80769">
              <w:rPr>
                <w:rFonts w:cs="Times New Roman"/>
                <w:lang w:val="lt-LT"/>
              </w:rPr>
              <w:t>1</w:t>
            </w:r>
            <w:r w:rsidR="006E6A93" w:rsidRPr="00F80769">
              <w:rPr>
                <w:rFonts w:cs="Times New Roman"/>
                <w:lang w:val="lt-LT"/>
              </w:rPr>
              <w:t>80</w:t>
            </w:r>
            <w:r w:rsidRPr="00F80769">
              <w:rPr>
                <w:rFonts w:cs="Times New Roman"/>
                <w:lang w:val="lt-LT"/>
              </w:rPr>
              <w:t xml:space="preserve"> </w:t>
            </w:r>
            <w:r w:rsidR="00D06D89" w:rsidRPr="00F80769">
              <w:rPr>
                <w:rFonts w:cs="Times New Roman"/>
                <w:lang w:val="lt-LT"/>
              </w:rPr>
              <w:t xml:space="preserve">per </w:t>
            </w:r>
            <w:r w:rsidR="00D06D89" w:rsidRPr="00EF6FEB">
              <w:rPr>
                <w:rFonts w:cs="Times New Roman"/>
                <w:lang w:val="lt-LT"/>
              </w:rPr>
              <w:t xml:space="preserve">valandą (be ISE elektrolitų tyrimų) </w:t>
            </w:r>
          </w:p>
        </w:tc>
      </w:tr>
      <w:tr w:rsidR="00D06D89" w:rsidRPr="002D0D4D" w14:paraId="629BBF81" w14:textId="77777777" w:rsidTr="00F80769">
        <w:trPr>
          <w:trHeight w:val="315"/>
        </w:trPr>
        <w:tc>
          <w:tcPr>
            <w:tcW w:w="988" w:type="dxa"/>
            <w:vAlign w:val="center"/>
          </w:tcPr>
          <w:p w14:paraId="29CEF9F4" w14:textId="77777777" w:rsidR="00D06D89" w:rsidRPr="00BB1B84" w:rsidRDefault="00D06D89" w:rsidP="00404D18">
            <w:pPr>
              <w:widowControl/>
              <w:suppressAutoHyphens w:val="0"/>
              <w:autoSpaceDN/>
              <w:ind w:left="360"/>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5</w:t>
            </w:r>
            <w:r w:rsidRPr="00BB1B84">
              <w:rPr>
                <w:rFonts w:eastAsia="Times New Roman" w:cs="Times New Roman"/>
                <w:color w:val="000000" w:themeColor="text1"/>
                <w:kern w:val="0"/>
                <w:lang w:val="lt-LT" w:eastAsia="lt-LT" w:bidi="ar-SA"/>
              </w:rPr>
              <w:t>.</w:t>
            </w:r>
          </w:p>
        </w:tc>
        <w:tc>
          <w:tcPr>
            <w:tcW w:w="2368" w:type="dxa"/>
            <w:vAlign w:val="center"/>
          </w:tcPr>
          <w:p w14:paraId="0457C017"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Mėginių/reagentų adatos funkcijos</w:t>
            </w:r>
          </w:p>
        </w:tc>
        <w:tc>
          <w:tcPr>
            <w:tcW w:w="6420" w:type="dxa"/>
            <w:vAlign w:val="center"/>
          </w:tcPr>
          <w:p w14:paraId="3570D98B" w14:textId="77777777" w:rsidR="00D06D89" w:rsidRPr="00F80769" w:rsidRDefault="00D06D89" w:rsidP="00404D18">
            <w:pPr>
              <w:pStyle w:val="ListParagraph"/>
              <w:ind w:left="0" w:right="752"/>
              <w:rPr>
                <w:rFonts w:cs="Times New Roman"/>
                <w:lang w:val="lt-LT"/>
              </w:rPr>
            </w:pPr>
            <w:r w:rsidRPr="00F80769">
              <w:rPr>
                <w:rFonts w:cs="Times New Roman"/>
                <w:lang w:val="lt-LT"/>
              </w:rPr>
              <w:t>1. Skysčio lygio nustatymas.</w:t>
            </w:r>
          </w:p>
          <w:p w14:paraId="45568343" w14:textId="77777777" w:rsidR="00D06D89" w:rsidRPr="00F80769" w:rsidRDefault="00D06D89" w:rsidP="00404D18">
            <w:pPr>
              <w:pStyle w:val="ListParagraph"/>
              <w:ind w:left="0" w:right="752"/>
              <w:rPr>
                <w:rFonts w:cs="Times New Roman"/>
                <w:lang w:val="lt-LT"/>
              </w:rPr>
            </w:pPr>
            <w:r w:rsidRPr="00F80769">
              <w:rPr>
                <w:rFonts w:cs="Times New Roman"/>
                <w:lang w:val="lt-LT"/>
              </w:rPr>
              <w:t>2. Apsauga nuo susidūrimų.</w:t>
            </w:r>
          </w:p>
          <w:p w14:paraId="22F66C0C" w14:textId="0E4218B8" w:rsidR="00D06D89" w:rsidRPr="00F80769" w:rsidRDefault="00D06D89" w:rsidP="00486363">
            <w:pPr>
              <w:pStyle w:val="ListParagraph"/>
              <w:ind w:left="0" w:right="752"/>
              <w:rPr>
                <w:rFonts w:cs="Times New Roman"/>
                <w:lang w:val="lt-LT"/>
              </w:rPr>
            </w:pPr>
            <w:r w:rsidRPr="00F80769">
              <w:rPr>
                <w:rFonts w:cs="Times New Roman"/>
                <w:lang w:val="lt-LT"/>
              </w:rPr>
              <w:t>3. Fibrino aptikimas</w:t>
            </w:r>
            <w:r w:rsidR="00E12FEF" w:rsidRPr="00F80769">
              <w:rPr>
                <w:rFonts w:cs="Times New Roman"/>
                <w:lang w:val="lt-LT"/>
              </w:rPr>
              <w:t>,</w:t>
            </w:r>
            <w:r w:rsidR="00486363" w:rsidRPr="00F80769">
              <w:rPr>
                <w:rFonts w:cs="Times New Roman"/>
                <w:lang w:val="lt-LT"/>
              </w:rPr>
              <w:t xml:space="preserve"> pageidautina</w:t>
            </w:r>
            <w:r w:rsidRPr="00F80769">
              <w:rPr>
                <w:rFonts w:cs="Times New Roman"/>
                <w:lang w:val="lt-LT"/>
              </w:rPr>
              <w:t xml:space="preserve">. </w:t>
            </w:r>
          </w:p>
        </w:tc>
      </w:tr>
      <w:tr w:rsidR="00D06D89" w:rsidRPr="00AD6E51" w14:paraId="41745677" w14:textId="77777777" w:rsidTr="00F80769">
        <w:trPr>
          <w:trHeight w:val="315"/>
        </w:trPr>
        <w:tc>
          <w:tcPr>
            <w:tcW w:w="988" w:type="dxa"/>
            <w:vAlign w:val="center"/>
          </w:tcPr>
          <w:p w14:paraId="02CD07B7" w14:textId="77777777" w:rsidR="00D06D89" w:rsidRPr="00BB1B84" w:rsidRDefault="00D06D89" w:rsidP="00404D18">
            <w:pPr>
              <w:widowControl/>
              <w:suppressAutoHyphens w:val="0"/>
              <w:autoSpaceDN/>
              <w:ind w:left="360"/>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7</w:t>
            </w:r>
            <w:r w:rsidRPr="00BB1B84">
              <w:rPr>
                <w:rFonts w:eastAsia="Times New Roman" w:cs="Times New Roman"/>
                <w:color w:val="000000" w:themeColor="text1"/>
                <w:kern w:val="0"/>
                <w:lang w:val="lt-LT" w:eastAsia="lt-LT" w:bidi="ar-SA"/>
              </w:rPr>
              <w:t>.</w:t>
            </w:r>
          </w:p>
        </w:tc>
        <w:tc>
          <w:tcPr>
            <w:tcW w:w="2368" w:type="dxa"/>
            <w:vAlign w:val="center"/>
          </w:tcPr>
          <w:p w14:paraId="0EADB932"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STAT mėginiai</w:t>
            </w:r>
          </w:p>
        </w:tc>
        <w:tc>
          <w:tcPr>
            <w:tcW w:w="6420" w:type="dxa"/>
            <w:noWrap/>
            <w:vAlign w:val="center"/>
          </w:tcPr>
          <w:p w14:paraId="39A6721B" w14:textId="08982D37" w:rsidR="00D06D89" w:rsidRPr="00EF6FEB" w:rsidRDefault="00D06D89" w:rsidP="0091743D">
            <w:pPr>
              <w:rPr>
                <w:rFonts w:cs="Times New Roman"/>
                <w:color w:val="000000" w:themeColor="text1"/>
                <w:highlight w:val="lightGray"/>
                <w:lang w:val="lt-LT"/>
              </w:rPr>
            </w:pPr>
            <w:r w:rsidRPr="00EF6FEB">
              <w:rPr>
                <w:rFonts w:cs="Times New Roman"/>
                <w:color w:val="000000" w:themeColor="text1"/>
                <w:lang w:val="lt-LT"/>
              </w:rPr>
              <w:t xml:space="preserve">Turi būti galimybė atlikti STAT mėginius. </w:t>
            </w:r>
          </w:p>
        </w:tc>
      </w:tr>
      <w:tr w:rsidR="00D06D89" w:rsidRPr="00AD6E51" w14:paraId="0F41ADE1" w14:textId="77777777" w:rsidTr="00F80769">
        <w:trPr>
          <w:trHeight w:val="315"/>
        </w:trPr>
        <w:tc>
          <w:tcPr>
            <w:tcW w:w="988" w:type="dxa"/>
            <w:vAlign w:val="center"/>
          </w:tcPr>
          <w:p w14:paraId="2725F936" w14:textId="77777777" w:rsidR="00D06D89" w:rsidRPr="00EF6FEB" w:rsidRDefault="00D06D89" w:rsidP="00404D18">
            <w:pPr>
              <w:widowControl/>
              <w:suppressAutoHyphens w:val="0"/>
              <w:autoSpaceDN/>
              <w:ind w:left="360"/>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8.</w:t>
            </w:r>
          </w:p>
        </w:tc>
        <w:tc>
          <w:tcPr>
            <w:tcW w:w="2368" w:type="dxa"/>
            <w:vAlign w:val="center"/>
          </w:tcPr>
          <w:p w14:paraId="76D64842"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Automatinis reagento monitoringas</w:t>
            </w:r>
          </w:p>
        </w:tc>
        <w:tc>
          <w:tcPr>
            <w:tcW w:w="6420" w:type="dxa"/>
            <w:noWrap/>
            <w:vAlign w:val="center"/>
          </w:tcPr>
          <w:p w14:paraId="159EFC4C"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Būtina.</w:t>
            </w:r>
          </w:p>
        </w:tc>
      </w:tr>
      <w:tr w:rsidR="00D06D89" w:rsidRPr="00AD6E51" w14:paraId="595DBAE6" w14:textId="77777777" w:rsidTr="00F80769">
        <w:trPr>
          <w:trHeight w:val="315"/>
        </w:trPr>
        <w:tc>
          <w:tcPr>
            <w:tcW w:w="988" w:type="dxa"/>
            <w:vAlign w:val="center"/>
          </w:tcPr>
          <w:p w14:paraId="65B8420A" w14:textId="77777777" w:rsidR="00D06D89" w:rsidRDefault="00D06D89"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9.</w:t>
            </w:r>
          </w:p>
        </w:tc>
        <w:tc>
          <w:tcPr>
            <w:tcW w:w="2368" w:type="dxa"/>
            <w:vAlign w:val="center"/>
          </w:tcPr>
          <w:p w14:paraId="68CA6767"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Reakcijų diskas</w:t>
            </w:r>
          </w:p>
        </w:tc>
        <w:tc>
          <w:tcPr>
            <w:tcW w:w="6420" w:type="dxa"/>
            <w:noWrap/>
            <w:vAlign w:val="center"/>
          </w:tcPr>
          <w:p w14:paraId="35C172CC" w14:textId="510B4510" w:rsidR="00D06D89" w:rsidRPr="00F31575" w:rsidRDefault="006E6A93" w:rsidP="0091743D">
            <w:pPr>
              <w:rPr>
                <w:rFonts w:cs="Times New Roman"/>
                <w:color w:val="000000" w:themeColor="text1"/>
                <w:lang w:val="lt-LT"/>
              </w:rPr>
            </w:pPr>
            <w:r>
              <w:rPr>
                <w:rFonts w:cs="Times New Roman"/>
                <w:color w:val="000000" w:themeColor="text1"/>
                <w:lang w:val="lt-LT"/>
              </w:rPr>
              <w:t>Reakcijos matavimai vyksta</w:t>
            </w:r>
            <w:r w:rsidRPr="00F80769">
              <w:rPr>
                <w:rFonts w:cs="Times New Roman"/>
                <w:lang w:val="lt-LT"/>
              </w:rPr>
              <w:t xml:space="preserve"> </w:t>
            </w:r>
            <w:r w:rsidR="004A625B" w:rsidRPr="00F80769">
              <w:rPr>
                <w:rFonts w:cs="Times New Roman"/>
                <w:lang w:val="lt-LT"/>
              </w:rPr>
              <w:t>daugkartinio</w:t>
            </w:r>
            <w:r w:rsidRPr="00F80769">
              <w:rPr>
                <w:rFonts w:cs="Times New Roman"/>
                <w:lang w:val="lt-LT"/>
              </w:rPr>
              <w:t xml:space="preserve"> </w:t>
            </w:r>
            <w:r>
              <w:rPr>
                <w:rFonts w:cs="Times New Roman"/>
                <w:color w:val="000000" w:themeColor="text1"/>
                <w:lang w:val="lt-LT"/>
              </w:rPr>
              <w:t xml:space="preserve">naudojimo </w:t>
            </w:r>
            <w:proofErr w:type="spellStart"/>
            <w:r>
              <w:rPr>
                <w:rFonts w:cs="Times New Roman"/>
                <w:color w:val="000000" w:themeColor="text1"/>
                <w:lang w:val="lt-LT"/>
              </w:rPr>
              <w:t>kiuvetėse</w:t>
            </w:r>
            <w:proofErr w:type="spellEnd"/>
            <w:r>
              <w:rPr>
                <w:rFonts w:cs="Times New Roman"/>
                <w:color w:val="000000" w:themeColor="text1"/>
                <w:lang w:val="lt-LT"/>
              </w:rPr>
              <w:t>.</w:t>
            </w:r>
          </w:p>
        </w:tc>
      </w:tr>
      <w:tr w:rsidR="00D06D89" w:rsidRPr="00EF6FEB" w14:paraId="7E150AE0" w14:textId="77777777" w:rsidTr="00F80769">
        <w:trPr>
          <w:trHeight w:val="847"/>
        </w:trPr>
        <w:tc>
          <w:tcPr>
            <w:tcW w:w="988" w:type="dxa"/>
            <w:vAlign w:val="center"/>
          </w:tcPr>
          <w:p w14:paraId="7BD7EBA2" w14:textId="77777777" w:rsidR="00D06D89" w:rsidRPr="00EF6FEB" w:rsidRDefault="00D06D89"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1</w:t>
            </w:r>
            <w:r>
              <w:rPr>
                <w:rFonts w:eastAsia="Times New Roman" w:cs="Times New Roman"/>
                <w:color w:val="000000" w:themeColor="text1"/>
                <w:kern w:val="0"/>
                <w:lang w:val="lt-LT" w:eastAsia="lt-LT" w:bidi="ar-SA"/>
              </w:rPr>
              <w:t>0</w:t>
            </w:r>
            <w:r w:rsidRPr="00EF6FEB">
              <w:rPr>
                <w:rFonts w:eastAsia="Times New Roman" w:cs="Times New Roman"/>
                <w:color w:val="000000" w:themeColor="text1"/>
                <w:kern w:val="0"/>
                <w:lang w:val="lt-LT" w:eastAsia="lt-LT" w:bidi="ar-SA"/>
              </w:rPr>
              <w:t>.</w:t>
            </w:r>
          </w:p>
        </w:tc>
        <w:tc>
          <w:tcPr>
            <w:tcW w:w="2368" w:type="dxa"/>
            <w:vAlign w:val="center"/>
          </w:tcPr>
          <w:p w14:paraId="25779D24"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 xml:space="preserve">Reagentų/mėginių disko temperatūra </w:t>
            </w:r>
          </w:p>
        </w:tc>
        <w:tc>
          <w:tcPr>
            <w:tcW w:w="6420" w:type="dxa"/>
            <w:shd w:val="clear" w:color="auto" w:fill="auto"/>
            <w:vAlign w:val="center"/>
          </w:tcPr>
          <w:p w14:paraId="78D42825" w14:textId="77777777" w:rsidR="00D06D89" w:rsidRPr="00EF6FEB" w:rsidRDefault="00D06D89" w:rsidP="00404D18">
            <w:pPr>
              <w:rPr>
                <w:rFonts w:cs="Times New Roman"/>
                <w:color w:val="000000" w:themeColor="text1"/>
                <w:highlight w:val="lightGray"/>
                <w:lang w:val="lt-LT"/>
              </w:rPr>
            </w:pPr>
            <w:r w:rsidRPr="00EF6FEB">
              <w:rPr>
                <w:rFonts w:cs="Times New Roman"/>
                <w:color w:val="000000" w:themeColor="text1"/>
                <w:lang w:val="lt-LT"/>
              </w:rPr>
              <w:t xml:space="preserve">Šaldomas diskas su pastoviu temperatūros palaikymu </w:t>
            </w:r>
          </w:p>
        </w:tc>
      </w:tr>
      <w:tr w:rsidR="00D06D89" w:rsidRPr="00EF6FEB" w14:paraId="36ED5788" w14:textId="77777777" w:rsidTr="00F80769">
        <w:trPr>
          <w:trHeight w:val="543"/>
        </w:trPr>
        <w:tc>
          <w:tcPr>
            <w:tcW w:w="988" w:type="dxa"/>
            <w:vAlign w:val="center"/>
          </w:tcPr>
          <w:p w14:paraId="084F21E6" w14:textId="77777777" w:rsidR="00D06D89" w:rsidRPr="00EF6FEB" w:rsidRDefault="00D06D89"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1</w:t>
            </w:r>
            <w:r>
              <w:rPr>
                <w:rFonts w:eastAsia="Times New Roman" w:cs="Times New Roman"/>
                <w:color w:val="000000" w:themeColor="text1"/>
                <w:kern w:val="0"/>
                <w:lang w:val="lt-LT" w:eastAsia="lt-LT" w:bidi="ar-SA"/>
              </w:rPr>
              <w:t>1</w:t>
            </w:r>
            <w:r w:rsidRPr="00EF6FEB">
              <w:rPr>
                <w:rFonts w:eastAsia="Times New Roman" w:cs="Times New Roman"/>
                <w:color w:val="000000" w:themeColor="text1"/>
                <w:kern w:val="0"/>
                <w:lang w:val="lt-LT" w:eastAsia="lt-LT" w:bidi="ar-SA"/>
              </w:rPr>
              <w:t>.</w:t>
            </w:r>
          </w:p>
        </w:tc>
        <w:tc>
          <w:tcPr>
            <w:tcW w:w="2368" w:type="dxa"/>
            <w:vAlign w:val="center"/>
          </w:tcPr>
          <w:p w14:paraId="5ED42508"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 xml:space="preserve">Reakcijų disko temperatūra </w:t>
            </w:r>
          </w:p>
        </w:tc>
        <w:tc>
          <w:tcPr>
            <w:tcW w:w="6420" w:type="dxa"/>
            <w:vAlign w:val="center"/>
          </w:tcPr>
          <w:p w14:paraId="0B9D91C1" w14:textId="5BA318EB" w:rsidR="00D06D89" w:rsidRPr="00EF6FEB" w:rsidRDefault="00D06D89" w:rsidP="00F80769">
            <w:pPr>
              <w:rPr>
                <w:rFonts w:cs="Times New Roman"/>
                <w:color w:val="000000" w:themeColor="text1"/>
                <w:lang w:val="lt-LT"/>
              </w:rPr>
            </w:pPr>
            <w:r w:rsidRPr="00EF6FEB">
              <w:rPr>
                <w:rFonts w:cs="Times New Roman"/>
                <w:color w:val="000000" w:themeColor="text1"/>
                <w:lang w:val="lt-LT"/>
              </w:rPr>
              <w:t>Turi būti palaikoma pastovi 37°C ±0.3°C temperatūra</w:t>
            </w:r>
          </w:p>
        </w:tc>
      </w:tr>
      <w:tr w:rsidR="00D06D89" w:rsidRPr="00EF6FEB" w14:paraId="2B3EE924" w14:textId="77777777" w:rsidTr="00F80769">
        <w:trPr>
          <w:trHeight w:val="416"/>
        </w:trPr>
        <w:tc>
          <w:tcPr>
            <w:tcW w:w="988" w:type="dxa"/>
            <w:vAlign w:val="center"/>
          </w:tcPr>
          <w:p w14:paraId="4A43BBA5" w14:textId="77777777" w:rsidR="00D06D89" w:rsidRPr="00EF6FEB" w:rsidRDefault="00D06D89"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1</w:t>
            </w:r>
            <w:r>
              <w:rPr>
                <w:rFonts w:eastAsia="Times New Roman" w:cs="Times New Roman"/>
                <w:color w:val="000000" w:themeColor="text1"/>
                <w:kern w:val="0"/>
                <w:lang w:val="lt-LT" w:eastAsia="lt-LT" w:bidi="ar-SA"/>
              </w:rPr>
              <w:t>2</w:t>
            </w:r>
            <w:r w:rsidRPr="00EF6FEB">
              <w:rPr>
                <w:rFonts w:eastAsia="Times New Roman" w:cs="Times New Roman"/>
                <w:color w:val="000000" w:themeColor="text1"/>
                <w:kern w:val="0"/>
                <w:lang w:val="lt-LT" w:eastAsia="lt-LT" w:bidi="ar-SA"/>
              </w:rPr>
              <w:t>.</w:t>
            </w:r>
          </w:p>
        </w:tc>
        <w:tc>
          <w:tcPr>
            <w:tcW w:w="2368" w:type="dxa"/>
            <w:vAlign w:val="center"/>
          </w:tcPr>
          <w:p w14:paraId="23828E79" w14:textId="77777777" w:rsidR="00D06D89" w:rsidRPr="00EF6FEB" w:rsidRDefault="00D06D89" w:rsidP="00404D18">
            <w:pPr>
              <w:rPr>
                <w:rFonts w:cs="Times New Roman"/>
                <w:lang w:val="lt-LT"/>
              </w:rPr>
            </w:pPr>
            <w:proofErr w:type="spellStart"/>
            <w:r w:rsidRPr="00EF6FEB">
              <w:rPr>
                <w:rFonts w:cs="Times New Roman"/>
                <w:lang w:val="lt-LT"/>
              </w:rPr>
              <w:t>Ėminio</w:t>
            </w:r>
            <w:proofErr w:type="spellEnd"/>
            <w:r w:rsidRPr="00EF6FEB">
              <w:rPr>
                <w:rFonts w:cs="Times New Roman"/>
                <w:lang w:val="lt-LT"/>
              </w:rPr>
              <w:t>/mėginio paėmimo būdas</w:t>
            </w:r>
          </w:p>
        </w:tc>
        <w:tc>
          <w:tcPr>
            <w:tcW w:w="6420" w:type="dxa"/>
            <w:vAlign w:val="center"/>
          </w:tcPr>
          <w:p w14:paraId="62A07027" w14:textId="1AFFD580" w:rsidR="00D06D89" w:rsidRPr="00F80769" w:rsidRDefault="00D06D89" w:rsidP="00404D18">
            <w:pPr>
              <w:rPr>
                <w:rFonts w:cs="Times New Roman"/>
                <w:lang w:val="lt-LT"/>
              </w:rPr>
            </w:pPr>
            <w:r w:rsidRPr="00F80769">
              <w:rPr>
                <w:rFonts w:cs="Times New Roman"/>
                <w:lang w:val="lt-LT"/>
              </w:rPr>
              <w:t xml:space="preserve">Iš </w:t>
            </w:r>
            <w:r w:rsidR="00486363" w:rsidRPr="00F80769">
              <w:rPr>
                <w:rFonts w:cs="Times New Roman"/>
                <w:lang w:val="lt-LT"/>
              </w:rPr>
              <w:t xml:space="preserve">vakuuminio </w:t>
            </w:r>
            <w:r w:rsidR="004A625B" w:rsidRPr="00F80769">
              <w:rPr>
                <w:rFonts w:cs="Times New Roman"/>
                <w:lang w:val="lt-LT"/>
              </w:rPr>
              <w:t>plazmai arba serumui surinkti</w:t>
            </w:r>
            <w:r w:rsidR="00486363" w:rsidRPr="00F80769">
              <w:rPr>
                <w:rFonts w:cs="Times New Roman"/>
                <w:lang w:val="lt-LT"/>
              </w:rPr>
              <w:t xml:space="preserve"> mėgintuvėlio, </w:t>
            </w:r>
            <w:r w:rsidR="00F80769" w:rsidRPr="00F80769">
              <w:rPr>
                <w:rFonts w:cs="Times New Roman"/>
                <w:lang w:val="lt-LT"/>
              </w:rPr>
              <w:t>į diską turi tilpti</w:t>
            </w:r>
            <w:r w:rsidR="00C061BC" w:rsidRPr="00F80769">
              <w:rPr>
                <w:rFonts w:cs="Times New Roman"/>
                <w:lang w:val="lt-LT"/>
              </w:rPr>
              <w:t xml:space="preserve"> </w:t>
            </w:r>
            <w:r w:rsidR="00486363" w:rsidRPr="00F80769">
              <w:rPr>
                <w:rFonts w:cs="Times New Roman"/>
                <w:lang w:val="lt-LT"/>
              </w:rPr>
              <w:t>13</w:t>
            </w:r>
            <w:r w:rsidR="00F80769" w:rsidRPr="00F80769">
              <w:rPr>
                <w:rFonts w:cs="Times New Roman"/>
                <w:lang w:val="lt-LT"/>
              </w:rPr>
              <w:t>x75</w:t>
            </w:r>
            <w:r w:rsidR="00486363" w:rsidRPr="00F80769">
              <w:rPr>
                <w:rFonts w:cs="Times New Roman"/>
                <w:lang w:val="lt-LT"/>
              </w:rPr>
              <w:t xml:space="preserve"> mm</w:t>
            </w:r>
            <w:r w:rsidR="00F80769" w:rsidRPr="00F80769">
              <w:rPr>
                <w:rFonts w:cs="Times New Roman"/>
                <w:lang w:val="lt-LT"/>
              </w:rPr>
              <w:t xml:space="preserve"> vakuuminiai mėgintuvėliai</w:t>
            </w:r>
          </w:p>
          <w:p w14:paraId="3FFB6AD9" w14:textId="796498A5" w:rsidR="00D06D89" w:rsidRPr="00EF6FEB" w:rsidRDefault="00D06D89" w:rsidP="0091743D">
            <w:pPr>
              <w:rPr>
                <w:rFonts w:cs="Times New Roman"/>
                <w:lang w:val="lt-LT"/>
              </w:rPr>
            </w:pPr>
            <w:r w:rsidRPr="00EF6FEB">
              <w:rPr>
                <w:rFonts w:cs="Times New Roman"/>
                <w:lang w:val="lt-LT"/>
              </w:rPr>
              <w:t xml:space="preserve"> </w:t>
            </w:r>
          </w:p>
        </w:tc>
      </w:tr>
      <w:tr w:rsidR="00D06D89" w:rsidRPr="00EF6FEB" w14:paraId="699BCCAB" w14:textId="77777777" w:rsidTr="00F80769">
        <w:trPr>
          <w:trHeight w:val="416"/>
        </w:trPr>
        <w:tc>
          <w:tcPr>
            <w:tcW w:w="988" w:type="dxa"/>
            <w:vAlign w:val="center"/>
          </w:tcPr>
          <w:p w14:paraId="2782C98B" w14:textId="77777777" w:rsidR="00D06D89" w:rsidRPr="00EF6FEB" w:rsidRDefault="00D06D89" w:rsidP="00404D18">
            <w:pPr>
              <w:widowControl/>
              <w:suppressAutoHyphens w:val="0"/>
              <w:autoSpaceDN/>
              <w:ind w:left="360"/>
              <w:jc w:val="both"/>
              <w:textAlignment w:val="auto"/>
              <w:rPr>
                <w:rFonts w:eastAsia="Times New Roman" w:cs="Times New Roman"/>
                <w:kern w:val="0"/>
                <w:lang w:val="lt-LT" w:eastAsia="lt-LT" w:bidi="ar-SA"/>
              </w:rPr>
            </w:pPr>
            <w:r w:rsidRPr="00EF6FEB">
              <w:rPr>
                <w:rFonts w:eastAsia="Times New Roman" w:cs="Times New Roman"/>
                <w:kern w:val="0"/>
                <w:lang w:val="lt-LT" w:eastAsia="lt-LT" w:bidi="ar-SA"/>
              </w:rPr>
              <w:t>1</w:t>
            </w:r>
            <w:r>
              <w:rPr>
                <w:rFonts w:eastAsia="Times New Roman" w:cs="Times New Roman"/>
                <w:kern w:val="0"/>
                <w:lang w:val="lt-LT" w:eastAsia="lt-LT" w:bidi="ar-SA"/>
              </w:rPr>
              <w:t>3</w:t>
            </w:r>
            <w:r w:rsidRPr="00EF6FEB">
              <w:rPr>
                <w:rFonts w:eastAsia="Times New Roman" w:cs="Times New Roman"/>
                <w:kern w:val="0"/>
                <w:lang w:val="lt-LT" w:eastAsia="lt-LT" w:bidi="ar-SA"/>
              </w:rPr>
              <w:t>.</w:t>
            </w:r>
          </w:p>
        </w:tc>
        <w:tc>
          <w:tcPr>
            <w:tcW w:w="2368" w:type="dxa"/>
            <w:vAlign w:val="center"/>
          </w:tcPr>
          <w:p w14:paraId="5F7AAD90" w14:textId="77777777" w:rsidR="00D06D89" w:rsidRPr="00EF6FEB" w:rsidRDefault="00D06D89" w:rsidP="00404D18">
            <w:pPr>
              <w:rPr>
                <w:rFonts w:cs="Times New Roman"/>
                <w:lang w:val="lt-LT"/>
              </w:rPr>
            </w:pPr>
            <w:r w:rsidRPr="00EF6FEB">
              <w:rPr>
                <w:rFonts w:cs="Times New Roman"/>
                <w:lang w:val="lt-LT"/>
              </w:rPr>
              <w:t>Reagentų rinkiniai</w:t>
            </w:r>
          </w:p>
        </w:tc>
        <w:tc>
          <w:tcPr>
            <w:tcW w:w="6420" w:type="dxa"/>
            <w:vAlign w:val="center"/>
          </w:tcPr>
          <w:p w14:paraId="006165E0" w14:textId="77777777" w:rsidR="00D06D89" w:rsidRDefault="00D06D89" w:rsidP="00404D18">
            <w:pPr>
              <w:rPr>
                <w:rFonts w:cs="Times New Roman"/>
                <w:lang w:val="lt-LT"/>
              </w:rPr>
            </w:pPr>
            <w:r w:rsidRPr="00EF6FEB">
              <w:rPr>
                <w:rFonts w:cs="Times New Roman"/>
                <w:lang w:val="lt-LT"/>
              </w:rPr>
              <w:t xml:space="preserve">Paruošti naudoti. </w:t>
            </w:r>
          </w:p>
          <w:p w14:paraId="338DFFD1" w14:textId="2340FE0F" w:rsidR="00D06D89" w:rsidRPr="00EF6FEB" w:rsidRDefault="00D06D89" w:rsidP="00404D18">
            <w:pPr>
              <w:rPr>
                <w:rFonts w:cs="Times New Roman"/>
                <w:color w:val="FF0000"/>
                <w:lang w:val="lt-LT"/>
              </w:rPr>
            </w:pPr>
          </w:p>
        </w:tc>
      </w:tr>
      <w:tr w:rsidR="00D06D89" w:rsidRPr="00EF6FEB" w14:paraId="62DD9150" w14:textId="77777777" w:rsidTr="00F80769">
        <w:trPr>
          <w:trHeight w:val="543"/>
        </w:trPr>
        <w:tc>
          <w:tcPr>
            <w:tcW w:w="988" w:type="dxa"/>
            <w:vAlign w:val="center"/>
          </w:tcPr>
          <w:p w14:paraId="190798E3" w14:textId="77777777" w:rsidR="00D06D89" w:rsidRPr="00EF6FEB" w:rsidRDefault="00D06D89"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1</w:t>
            </w:r>
            <w:r>
              <w:rPr>
                <w:rFonts w:eastAsia="Times New Roman" w:cs="Times New Roman"/>
                <w:color w:val="000000" w:themeColor="text1"/>
                <w:kern w:val="0"/>
                <w:lang w:val="lt-LT" w:eastAsia="lt-LT" w:bidi="ar-SA"/>
              </w:rPr>
              <w:t>4</w:t>
            </w:r>
            <w:r w:rsidRPr="00EF6FEB">
              <w:rPr>
                <w:rFonts w:eastAsia="Times New Roman" w:cs="Times New Roman"/>
                <w:color w:val="000000" w:themeColor="text1"/>
                <w:kern w:val="0"/>
                <w:lang w:val="lt-LT" w:eastAsia="lt-LT" w:bidi="ar-SA"/>
              </w:rPr>
              <w:t>.</w:t>
            </w:r>
          </w:p>
        </w:tc>
        <w:tc>
          <w:tcPr>
            <w:tcW w:w="2368" w:type="dxa"/>
            <w:vAlign w:val="center"/>
          </w:tcPr>
          <w:p w14:paraId="5380EAFF"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Plovimo sistema</w:t>
            </w:r>
          </w:p>
        </w:tc>
        <w:tc>
          <w:tcPr>
            <w:tcW w:w="6420" w:type="dxa"/>
            <w:vAlign w:val="center"/>
          </w:tcPr>
          <w:p w14:paraId="13C40AC3"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 xml:space="preserve">Būtina automatinė </w:t>
            </w:r>
            <w:proofErr w:type="spellStart"/>
            <w:r w:rsidRPr="00EF6FEB">
              <w:rPr>
                <w:rFonts w:cs="Times New Roman"/>
                <w:color w:val="000000" w:themeColor="text1"/>
                <w:lang w:val="lt-LT"/>
              </w:rPr>
              <w:t>kiuvečių</w:t>
            </w:r>
            <w:proofErr w:type="spellEnd"/>
            <w:r w:rsidRPr="00EF6FEB">
              <w:rPr>
                <w:rFonts w:cs="Times New Roman"/>
                <w:color w:val="000000" w:themeColor="text1"/>
                <w:lang w:val="lt-LT"/>
              </w:rPr>
              <w:t xml:space="preserve"> valymo sistema, plaunanti </w:t>
            </w:r>
            <w:r w:rsidRPr="00404D18">
              <w:rPr>
                <w:rFonts w:cs="Times New Roman"/>
                <w:color w:val="000000" w:themeColor="text1"/>
                <w:lang w:val="lt-LT"/>
              </w:rPr>
              <w:t>reakcijos</w:t>
            </w:r>
            <w:r>
              <w:rPr>
                <w:rFonts w:cs="Times New Roman"/>
                <w:color w:val="000000" w:themeColor="text1"/>
                <w:lang w:val="lt-LT"/>
              </w:rPr>
              <w:t xml:space="preserve"> </w:t>
            </w:r>
            <w:proofErr w:type="spellStart"/>
            <w:r w:rsidRPr="00EF6FEB">
              <w:rPr>
                <w:rFonts w:cs="Times New Roman"/>
                <w:color w:val="000000" w:themeColor="text1"/>
                <w:lang w:val="lt-LT"/>
              </w:rPr>
              <w:t>kiuvetes</w:t>
            </w:r>
            <w:proofErr w:type="spellEnd"/>
            <w:r w:rsidRPr="00EF6FEB">
              <w:rPr>
                <w:rFonts w:cs="Times New Roman"/>
                <w:color w:val="000000" w:themeColor="text1"/>
                <w:lang w:val="lt-LT"/>
              </w:rPr>
              <w:t xml:space="preserve"> su plovimo tirpalu ir vandeniu.</w:t>
            </w:r>
          </w:p>
        </w:tc>
      </w:tr>
      <w:tr w:rsidR="00D06D89" w:rsidRPr="00EF6FEB" w14:paraId="266ED57C" w14:textId="77777777" w:rsidTr="00F80769">
        <w:trPr>
          <w:trHeight w:val="430"/>
        </w:trPr>
        <w:tc>
          <w:tcPr>
            <w:tcW w:w="988" w:type="dxa"/>
            <w:vAlign w:val="center"/>
          </w:tcPr>
          <w:p w14:paraId="3504A654" w14:textId="4F4BA230" w:rsidR="00D06D89" w:rsidRPr="00EF6FEB" w:rsidRDefault="00D06D89"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1</w:t>
            </w:r>
            <w:r w:rsidR="000D53F6">
              <w:rPr>
                <w:rFonts w:eastAsia="Times New Roman" w:cs="Times New Roman"/>
                <w:color w:val="000000" w:themeColor="text1"/>
                <w:kern w:val="0"/>
                <w:lang w:val="lt-LT" w:eastAsia="lt-LT" w:bidi="ar-SA"/>
              </w:rPr>
              <w:t>5</w:t>
            </w:r>
            <w:r w:rsidRPr="00EF6FEB">
              <w:rPr>
                <w:rFonts w:eastAsia="Times New Roman" w:cs="Times New Roman"/>
                <w:color w:val="000000" w:themeColor="text1"/>
                <w:kern w:val="0"/>
                <w:lang w:val="lt-LT" w:eastAsia="lt-LT" w:bidi="ar-SA"/>
              </w:rPr>
              <w:t>.</w:t>
            </w:r>
          </w:p>
        </w:tc>
        <w:tc>
          <w:tcPr>
            <w:tcW w:w="2368" w:type="dxa"/>
            <w:vAlign w:val="center"/>
          </w:tcPr>
          <w:p w14:paraId="0E6DA435"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Tiriamojo mišinio maišymo sistema</w:t>
            </w:r>
          </w:p>
        </w:tc>
        <w:tc>
          <w:tcPr>
            <w:tcW w:w="6420" w:type="dxa"/>
            <w:shd w:val="clear" w:color="auto" w:fill="auto"/>
            <w:vAlign w:val="center"/>
          </w:tcPr>
          <w:p w14:paraId="1F4147DE" w14:textId="77777777" w:rsidR="00D06D89" w:rsidRPr="00EF6FEB" w:rsidRDefault="00D06D89" w:rsidP="00404D18">
            <w:pPr>
              <w:rPr>
                <w:rFonts w:cs="Times New Roman"/>
                <w:color w:val="000000" w:themeColor="text1"/>
                <w:lang w:val="lt-LT"/>
              </w:rPr>
            </w:pPr>
            <w:r w:rsidRPr="00EF6FEB">
              <w:rPr>
                <w:rFonts w:cs="Times New Roman"/>
                <w:lang w:val="lt-LT"/>
              </w:rPr>
              <w:t xml:space="preserve">Automatizuota. </w:t>
            </w:r>
            <w:r w:rsidRPr="00EF6FEB">
              <w:rPr>
                <w:rFonts w:cs="Times New Roman"/>
                <w:color w:val="000000" w:themeColor="text1"/>
                <w:lang w:val="lt-LT"/>
              </w:rPr>
              <w:t xml:space="preserve">(Išskyrus </w:t>
            </w:r>
            <w:proofErr w:type="spellStart"/>
            <w:r w:rsidRPr="00EF6FEB">
              <w:rPr>
                <w:rFonts w:cs="Times New Roman"/>
                <w:color w:val="000000" w:themeColor="text1"/>
                <w:lang w:val="lt-LT"/>
              </w:rPr>
              <w:t>glikozilinto</w:t>
            </w:r>
            <w:proofErr w:type="spellEnd"/>
            <w:r w:rsidRPr="00EF6FEB">
              <w:rPr>
                <w:rFonts w:cs="Times New Roman"/>
                <w:color w:val="000000" w:themeColor="text1"/>
                <w:lang w:val="lt-LT"/>
              </w:rPr>
              <w:t xml:space="preserve"> hemoglobino tyrimus).</w:t>
            </w:r>
          </w:p>
        </w:tc>
      </w:tr>
      <w:tr w:rsidR="00D06D89" w:rsidRPr="00EF6FEB" w14:paraId="5D31993A" w14:textId="77777777" w:rsidTr="00F80769">
        <w:trPr>
          <w:trHeight w:val="543"/>
        </w:trPr>
        <w:tc>
          <w:tcPr>
            <w:tcW w:w="988" w:type="dxa"/>
            <w:vAlign w:val="center"/>
          </w:tcPr>
          <w:p w14:paraId="0500B49E" w14:textId="76815E5E" w:rsidR="00D06D89" w:rsidRPr="00EF6FEB" w:rsidRDefault="000D53F6"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16</w:t>
            </w:r>
            <w:r w:rsidR="00D06D89" w:rsidRPr="00EF6FEB">
              <w:rPr>
                <w:rFonts w:eastAsia="Times New Roman" w:cs="Times New Roman"/>
                <w:color w:val="000000" w:themeColor="text1"/>
                <w:kern w:val="0"/>
                <w:lang w:val="lt-LT" w:eastAsia="lt-LT" w:bidi="ar-SA"/>
              </w:rPr>
              <w:t>.</w:t>
            </w:r>
          </w:p>
        </w:tc>
        <w:tc>
          <w:tcPr>
            <w:tcW w:w="2368" w:type="dxa"/>
            <w:vAlign w:val="center"/>
          </w:tcPr>
          <w:p w14:paraId="071DB837"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Kokybės kontrolė</w:t>
            </w:r>
          </w:p>
        </w:tc>
        <w:tc>
          <w:tcPr>
            <w:tcW w:w="6420" w:type="dxa"/>
            <w:vAlign w:val="center"/>
          </w:tcPr>
          <w:p w14:paraId="1A30CCE8"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 xml:space="preserve">Būtina kokybės kontrolė pagal </w:t>
            </w:r>
            <w:proofErr w:type="spellStart"/>
            <w:r w:rsidRPr="00EF6FEB">
              <w:rPr>
                <w:rFonts w:cs="Times New Roman"/>
                <w:color w:val="000000" w:themeColor="text1"/>
                <w:lang w:val="lt-LT"/>
              </w:rPr>
              <w:t>Westgard</w:t>
            </w:r>
            <w:proofErr w:type="spellEnd"/>
            <w:r w:rsidRPr="00EF6FEB">
              <w:rPr>
                <w:rFonts w:cs="Times New Roman"/>
                <w:color w:val="000000" w:themeColor="text1"/>
                <w:lang w:val="lt-LT"/>
              </w:rPr>
              <w:t xml:space="preserve"> taisykles ar </w:t>
            </w:r>
            <w:proofErr w:type="spellStart"/>
            <w:r w:rsidRPr="00EF6FEB">
              <w:rPr>
                <w:rFonts w:cs="Times New Roman"/>
                <w:color w:val="000000" w:themeColor="text1"/>
                <w:lang w:val="lt-LT"/>
              </w:rPr>
              <w:t>Levey-Jenings</w:t>
            </w:r>
            <w:proofErr w:type="spellEnd"/>
            <w:r w:rsidRPr="00EF6FEB">
              <w:rPr>
                <w:rFonts w:cs="Times New Roman"/>
                <w:color w:val="000000" w:themeColor="text1"/>
                <w:lang w:val="lt-LT"/>
              </w:rPr>
              <w:t xml:space="preserve"> kreives.</w:t>
            </w:r>
          </w:p>
        </w:tc>
      </w:tr>
      <w:tr w:rsidR="00D06D89" w:rsidRPr="00EF6FEB" w14:paraId="155E6805" w14:textId="77777777" w:rsidTr="00F80769">
        <w:trPr>
          <w:trHeight w:val="434"/>
        </w:trPr>
        <w:tc>
          <w:tcPr>
            <w:tcW w:w="988" w:type="dxa"/>
          </w:tcPr>
          <w:p w14:paraId="52D021B5" w14:textId="2E132D3C" w:rsidR="00D06D89" w:rsidRPr="00EF6FEB" w:rsidRDefault="000D53F6"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17</w:t>
            </w:r>
            <w:r w:rsidR="00D06D89" w:rsidRPr="00EF6FEB">
              <w:rPr>
                <w:rFonts w:eastAsia="Times New Roman" w:cs="Times New Roman"/>
                <w:color w:val="000000" w:themeColor="text1"/>
                <w:kern w:val="0"/>
                <w:lang w:val="lt-LT" w:eastAsia="lt-LT" w:bidi="ar-SA"/>
              </w:rPr>
              <w:t>.</w:t>
            </w:r>
          </w:p>
        </w:tc>
        <w:tc>
          <w:tcPr>
            <w:tcW w:w="2368" w:type="dxa"/>
            <w:vAlign w:val="center"/>
          </w:tcPr>
          <w:p w14:paraId="15A9FC37" w14:textId="72847033" w:rsidR="00D06D89" w:rsidRPr="00EF6FEB" w:rsidRDefault="00385CDD" w:rsidP="00404D18">
            <w:pPr>
              <w:rPr>
                <w:rFonts w:cs="Times New Roman"/>
                <w:color w:val="000000" w:themeColor="text1"/>
                <w:lang w:val="lt-LT"/>
              </w:rPr>
            </w:pPr>
            <w:r>
              <w:rPr>
                <w:rFonts w:cs="Times New Roman"/>
                <w:color w:val="000000" w:themeColor="text1"/>
                <w:lang w:val="lt-LT"/>
              </w:rPr>
              <w:t>Atitikimas 2017/746</w:t>
            </w:r>
            <w:r w:rsidR="00D06D89" w:rsidRPr="00EF6FEB">
              <w:rPr>
                <w:rFonts w:cs="Times New Roman"/>
                <w:color w:val="000000" w:themeColor="text1"/>
                <w:lang w:val="lt-LT"/>
              </w:rPr>
              <w:t xml:space="preserve"> dėl </w:t>
            </w:r>
            <w:proofErr w:type="spellStart"/>
            <w:r w:rsidR="00D06D89" w:rsidRPr="00EF6FEB">
              <w:rPr>
                <w:rFonts w:cs="Times New Roman"/>
                <w:i/>
                <w:color w:val="000000" w:themeColor="text1"/>
                <w:lang w:val="lt-LT"/>
              </w:rPr>
              <w:t>in</w:t>
            </w:r>
            <w:proofErr w:type="spellEnd"/>
            <w:r w:rsidR="00D06D89" w:rsidRPr="00EF6FEB">
              <w:rPr>
                <w:rFonts w:cs="Times New Roman"/>
                <w:i/>
                <w:color w:val="000000" w:themeColor="text1"/>
                <w:lang w:val="lt-LT"/>
              </w:rPr>
              <w:t xml:space="preserve"> </w:t>
            </w:r>
            <w:proofErr w:type="spellStart"/>
            <w:r w:rsidR="00D06D89" w:rsidRPr="00EF6FEB">
              <w:rPr>
                <w:rFonts w:cs="Times New Roman"/>
                <w:i/>
                <w:color w:val="000000" w:themeColor="text1"/>
                <w:lang w:val="lt-LT"/>
              </w:rPr>
              <w:t>vitro</w:t>
            </w:r>
            <w:proofErr w:type="spellEnd"/>
            <w:r w:rsidR="00D06D89" w:rsidRPr="00EF6FEB">
              <w:rPr>
                <w:rFonts w:cs="Times New Roman"/>
                <w:color w:val="000000" w:themeColor="text1"/>
                <w:lang w:val="lt-LT"/>
              </w:rPr>
              <w:t xml:space="preserve"> </w:t>
            </w:r>
            <w:r w:rsidR="00D06D89" w:rsidRPr="00EF6FEB">
              <w:rPr>
                <w:rFonts w:cs="Times New Roman"/>
                <w:lang w:val="lt-LT"/>
              </w:rPr>
              <w:t xml:space="preserve"> diagnostikos medicinos prietaisų reikalavimų</w:t>
            </w:r>
          </w:p>
        </w:tc>
        <w:tc>
          <w:tcPr>
            <w:tcW w:w="6420" w:type="dxa"/>
            <w:vAlign w:val="center"/>
          </w:tcPr>
          <w:p w14:paraId="353D8D31"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Būtina.</w:t>
            </w:r>
          </w:p>
        </w:tc>
      </w:tr>
      <w:tr w:rsidR="00D06D89" w:rsidRPr="00EF6FEB" w14:paraId="2DD3E8AD" w14:textId="77777777" w:rsidTr="00F80769">
        <w:trPr>
          <w:trHeight w:val="510"/>
        </w:trPr>
        <w:tc>
          <w:tcPr>
            <w:tcW w:w="988" w:type="dxa"/>
          </w:tcPr>
          <w:p w14:paraId="61C94BC6" w14:textId="7428814F" w:rsidR="00D06D89" w:rsidRPr="00EF6FEB" w:rsidRDefault="000D53F6"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18</w:t>
            </w:r>
            <w:r w:rsidR="00D06D89" w:rsidRPr="00EF6FEB">
              <w:rPr>
                <w:rFonts w:eastAsia="Times New Roman" w:cs="Times New Roman"/>
                <w:color w:val="000000" w:themeColor="text1"/>
                <w:kern w:val="0"/>
                <w:lang w:val="lt-LT" w:eastAsia="lt-LT" w:bidi="ar-SA"/>
              </w:rPr>
              <w:t>.</w:t>
            </w:r>
          </w:p>
        </w:tc>
        <w:tc>
          <w:tcPr>
            <w:tcW w:w="2368" w:type="dxa"/>
          </w:tcPr>
          <w:p w14:paraId="026CE178" w14:textId="77777777" w:rsidR="00D06D89" w:rsidRPr="00EF6FEB" w:rsidRDefault="00D06D89" w:rsidP="00404D18">
            <w:pPr>
              <w:widowControl/>
              <w:suppressAutoHyphens w:val="0"/>
              <w:autoSpaceDN/>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Instrukcijos</w:t>
            </w:r>
          </w:p>
        </w:tc>
        <w:tc>
          <w:tcPr>
            <w:tcW w:w="6420" w:type="dxa"/>
          </w:tcPr>
          <w:p w14:paraId="261279B5" w14:textId="77777777" w:rsidR="00D06D89" w:rsidRPr="00EF6FEB" w:rsidRDefault="00D06D89" w:rsidP="00404D18">
            <w:pPr>
              <w:widowControl/>
              <w:suppressAutoHyphens w:val="0"/>
              <w:autoSpaceDN/>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Originali analizatoriaus gamintojo vartotojo instrukcija turi būti pateikiama anglų ir jos vertimas lietuvių kalbomis.</w:t>
            </w:r>
          </w:p>
        </w:tc>
      </w:tr>
    </w:tbl>
    <w:p w14:paraId="3592101C" w14:textId="77777777" w:rsidR="00D06D89" w:rsidRPr="00EF6FEB" w:rsidRDefault="00D06D89" w:rsidP="00D06D89">
      <w:pPr>
        <w:jc w:val="both"/>
        <w:rPr>
          <w:lang w:val="lt-LT"/>
        </w:rPr>
      </w:pPr>
    </w:p>
    <w:p w14:paraId="173AF8E5" w14:textId="77777777" w:rsidR="00054CC2" w:rsidRDefault="00054CC2" w:rsidP="00E76B5F">
      <w:pPr>
        <w:pStyle w:val="ListParagraph"/>
        <w:numPr>
          <w:ilvl w:val="0"/>
          <w:numId w:val="10"/>
        </w:numPr>
        <w:jc w:val="both"/>
      </w:pPr>
      <w:proofErr w:type="spellStart"/>
      <w:r w:rsidRPr="00721251">
        <w:t>Jeigu</w:t>
      </w:r>
      <w:proofErr w:type="spellEnd"/>
      <w:r w:rsidRPr="00721251">
        <w:t xml:space="preserve"> </w:t>
      </w:r>
      <w:proofErr w:type="spellStart"/>
      <w:r w:rsidRPr="00721251">
        <w:t>tiekėjo</w:t>
      </w:r>
      <w:proofErr w:type="spellEnd"/>
      <w:r w:rsidRPr="0036455D">
        <w:t xml:space="preserve"> </w:t>
      </w:r>
      <w:proofErr w:type="spellStart"/>
      <w:r w:rsidRPr="0036455D">
        <w:t>apskaičiuotų</w:t>
      </w:r>
      <w:proofErr w:type="spellEnd"/>
      <w:r w:rsidRPr="0036455D">
        <w:t xml:space="preserve"> </w:t>
      </w:r>
      <w:proofErr w:type="spellStart"/>
      <w:r w:rsidRPr="0036455D">
        <w:t>l</w:t>
      </w:r>
      <w:r>
        <w:t>aboratorinių</w:t>
      </w:r>
      <w:proofErr w:type="spellEnd"/>
      <w:r>
        <w:t xml:space="preserve"> </w:t>
      </w:r>
      <w:proofErr w:type="spellStart"/>
      <w:r>
        <w:t>reagentų</w:t>
      </w:r>
      <w:proofErr w:type="spellEnd"/>
      <w:r>
        <w:t xml:space="preserve"> </w:t>
      </w:r>
      <w:proofErr w:type="spellStart"/>
      <w:r>
        <w:t>rinkinių</w:t>
      </w:r>
      <w:proofErr w:type="spellEnd"/>
      <w:r>
        <w:t xml:space="preserve"> </w:t>
      </w:r>
      <w:proofErr w:type="spellStart"/>
      <w:r w:rsidRPr="0036455D">
        <w:t>neužtenka</w:t>
      </w:r>
      <w:proofErr w:type="spellEnd"/>
      <w:r w:rsidRPr="0036455D">
        <w:t xml:space="preserve"> </w:t>
      </w:r>
      <w:proofErr w:type="spellStart"/>
      <w:r w:rsidRPr="0036455D">
        <w:t>nu</w:t>
      </w:r>
      <w:r>
        <w:t>rodytam</w:t>
      </w:r>
      <w:proofErr w:type="spellEnd"/>
      <w:r>
        <w:t xml:space="preserve"> </w:t>
      </w:r>
      <w:proofErr w:type="spellStart"/>
      <w:r>
        <w:t>tyrimų</w:t>
      </w:r>
      <w:proofErr w:type="spellEnd"/>
      <w:r>
        <w:t xml:space="preserve"> </w:t>
      </w:r>
      <w:proofErr w:type="spellStart"/>
      <w:r>
        <w:t>skaičiui</w:t>
      </w:r>
      <w:proofErr w:type="spellEnd"/>
      <w:r>
        <w:t xml:space="preserve"> </w:t>
      </w:r>
      <w:proofErr w:type="spellStart"/>
      <w:r>
        <w:t>atlikti</w:t>
      </w:r>
      <w:proofErr w:type="spellEnd"/>
      <w:r>
        <w:t>.</w:t>
      </w:r>
      <w:r w:rsidRPr="0036455D">
        <w:t xml:space="preserve"> </w:t>
      </w:r>
      <w:proofErr w:type="spellStart"/>
      <w:r w:rsidRPr="0036455D">
        <w:t>Tiekėjas</w:t>
      </w:r>
      <w:proofErr w:type="spellEnd"/>
      <w:r w:rsidRPr="0036455D">
        <w:t xml:space="preserve"> </w:t>
      </w:r>
      <w:proofErr w:type="spellStart"/>
      <w:r w:rsidRPr="0036455D">
        <w:t>įsipareigoja</w:t>
      </w:r>
      <w:proofErr w:type="spellEnd"/>
      <w:r w:rsidRPr="0036455D">
        <w:t xml:space="preserve"> </w:t>
      </w:r>
      <w:proofErr w:type="spellStart"/>
      <w:r w:rsidRPr="0036455D">
        <w:t>savo</w:t>
      </w:r>
      <w:proofErr w:type="spellEnd"/>
      <w:r w:rsidRPr="0036455D">
        <w:t xml:space="preserve"> </w:t>
      </w:r>
      <w:proofErr w:type="spellStart"/>
      <w:r w:rsidRPr="0036455D">
        <w:t>lėšomis</w:t>
      </w:r>
      <w:proofErr w:type="spellEnd"/>
      <w:r w:rsidRPr="0036455D">
        <w:t xml:space="preserve"> </w:t>
      </w:r>
      <w:proofErr w:type="spellStart"/>
      <w:r w:rsidRPr="0036455D">
        <w:t>tiekti</w:t>
      </w:r>
      <w:proofErr w:type="spellEnd"/>
      <w:r w:rsidRPr="0036455D">
        <w:t xml:space="preserve"> </w:t>
      </w:r>
      <w:proofErr w:type="spellStart"/>
      <w:r w:rsidRPr="0036455D">
        <w:t>trūkstamus</w:t>
      </w:r>
      <w:proofErr w:type="spellEnd"/>
      <w:r w:rsidRPr="0036455D">
        <w:t xml:space="preserve"> </w:t>
      </w:r>
      <w:proofErr w:type="spellStart"/>
      <w:r w:rsidRPr="0036455D">
        <w:t>reagentus</w:t>
      </w:r>
      <w:proofErr w:type="spellEnd"/>
      <w:r w:rsidRPr="0036455D">
        <w:t xml:space="preserve"> ir </w:t>
      </w:r>
      <w:proofErr w:type="spellStart"/>
      <w:r w:rsidRPr="0036455D">
        <w:t>papildomas</w:t>
      </w:r>
      <w:proofErr w:type="spellEnd"/>
      <w:r w:rsidRPr="0036455D">
        <w:t xml:space="preserve"> </w:t>
      </w:r>
      <w:proofErr w:type="spellStart"/>
      <w:r w:rsidRPr="0036455D">
        <w:t>priemones</w:t>
      </w:r>
      <w:proofErr w:type="spellEnd"/>
      <w:r w:rsidRPr="0036455D">
        <w:t>.</w:t>
      </w:r>
    </w:p>
    <w:p w14:paraId="4C6B1865" w14:textId="77777777" w:rsidR="00054CC2" w:rsidRPr="00B50099" w:rsidRDefault="00054CC2" w:rsidP="00E76B5F">
      <w:pPr>
        <w:pStyle w:val="ListParagraph"/>
        <w:numPr>
          <w:ilvl w:val="0"/>
          <w:numId w:val="10"/>
        </w:numPr>
        <w:jc w:val="both"/>
        <w:rPr>
          <w:color w:val="000000" w:themeColor="text1"/>
          <w:lang w:val="lt-LT"/>
        </w:rPr>
      </w:pPr>
      <w:r w:rsidRPr="004E497D">
        <w:rPr>
          <w:color w:val="000000" w:themeColor="text1"/>
          <w:lang w:val="lt-LT"/>
        </w:rPr>
        <w:t>Reagentai ir papildomos priemonės turi būti paženklinti CE ir</w:t>
      </w:r>
      <w:r w:rsidR="004D57AB">
        <w:rPr>
          <w:lang w:val="lt-LT"/>
        </w:rPr>
        <w:t xml:space="preserve"> IVD.</w:t>
      </w:r>
    </w:p>
    <w:p w14:paraId="4393C52A" w14:textId="7155D786" w:rsidR="00054CC2" w:rsidRPr="00C25324" w:rsidRDefault="00054CC2" w:rsidP="00E76B5F">
      <w:pPr>
        <w:pStyle w:val="Standard"/>
        <w:numPr>
          <w:ilvl w:val="0"/>
          <w:numId w:val="10"/>
        </w:numPr>
        <w:jc w:val="both"/>
        <w:rPr>
          <w:color w:val="000000" w:themeColor="text1"/>
          <w:lang w:val="lt-LT"/>
        </w:rPr>
      </w:pPr>
      <w:r w:rsidRPr="00A5793E">
        <w:rPr>
          <w:color w:val="000000" w:themeColor="text1"/>
          <w:lang w:val="lt-LT"/>
        </w:rPr>
        <w:t xml:space="preserve">Kartu su reagentais ir papildomomis priemonėmis turi būti pateikiamos naudojimo instrukcijos </w:t>
      </w:r>
      <w:r>
        <w:rPr>
          <w:color w:val="000000" w:themeColor="text1"/>
          <w:lang w:val="lt-LT"/>
        </w:rPr>
        <w:t xml:space="preserve">ir saugos dokumentų lapai </w:t>
      </w:r>
      <w:r w:rsidRPr="00A5793E">
        <w:rPr>
          <w:color w:val="000000" w:themeColor="text1"/>
          <w:lang w:val="lt-LT"/>
        </w:rPr>
        <w:t>anglų ir lietuvių kalba</w:t>
      </w:r>
      <w:r w:rsidR="00721251">
        <w:rPr>
          <w:b/>
          <w:lang w:val="lt-LT"/>
        </w:rPr>
        <w:t>.</w:t>
      </w:r>
    </w:p>
    <w:p w14:paraId="053A2060" w14:textId="79BA58E5" w:rsidR="00C25324" w:rsidRPr="00C25324" w:rsidRDefault="00C25324" w:rsidP="00E76B5F">
      <w:pPr>
        <w:pStyle w:val="Standard"/>
        <w:numPr>
          <w:ilvl w:val="0"/>
          <w:numId w:val="10"/>
        </w:numPr>
        <w:jc w:val="both"/>
        <w:rPr>
          <w:color w:val="000000" w:themeColor="text1"/>
          <w:lang w:val="lt-LT"/>
        </w:rPr>
      </w:pPr>
      <w:r w:rsidRPr="00C25324">
        <w:rPr>
          <w:lang w:val="lt-LT"/>
        </w:rPr>
        <w:t xml:space="preserve">Reagentų, kontrolių ir </w:t>
      </w:r>
      <w:proofErr w:type="spellStart"/>
      <w:r w:rsidRPr="00C25324">
        <w:rPr>
          <w:lang w:val="lt-LT"/>
        </w:rPr>
        <w:t>kalibratorių</w:t>
      </w:r>
      <w:proofErr w:type="spellEnd"/>
      <w:r w:rsidRPr="00C25324">
        <w:rPr>
          <w:lang w:val="lt-LT"/>
        </w:rPr>
        <w:t xml:space="preserve"> naudojimo instrukcijose turi būti nurodytas </w:t>
      </w:r>
      <w:r>
        <w:rPr>
          <w:lang w:val="lt-LT"/>
        </w:rPr>
        <w:t>jų galiojimo laikas po pakuotės atidarymo.</w:t>
      </w:r>
      <w:bookmarkStart w:id="0" w:name="_GoBack"/>
      <w:bookmarkEnd w:id="0"/>
    </w:p>
    <w:p w14:paraId="16FFBA5F" w14:textId="77777777" w:rsidR="004D57AB" w:rsidRPr="004D57AB" w:rsidRDefault="004D57AB" w:rsidP="00E76B5F">
      <w:pPr>
        <w:pStyle w:val="ListParagraph"/>
        <w:numPr>
          <w:ilvl w:val="0"/>
          <w:numId w:val="10"/>
        </w:numPr>
        <w:autoSpaceDE w:val="0"/>
        <w:adjustRightInd w:val="0"/>
        <w:jc w:val="both"/>
        <w:rPr>
          <w:bCs/>
          <w:lang w:val="lt-LT"/>
        </w:rPr>
      </w:pPr>
      <w:r w:rsidRPr="004E497D">
        <w:rPr>
          <w:color w:val="000000" w:themeColor="text1"/>
          <w:lang w:val="lt-LT"/>
        </w:rPr>
        <w:t>Tiekėjas privalo pateikti gamintojo išduotą dokumentą, patvirtinantį tiekėjo atstovavimo teisę gamintojui arba bendradarbiavimo sutartį su ūkio subjektu, turinčiu atstovavimo teisę gamintojui</w:t>
      </w:r>
      <w:r>
        <w:rPr>
          <w:color w:val="000000" w:themeColor="text1"/>
          <w:lang w:val="lt-LT"/>
        </w:rPr>
        <w:t>.</w:t>
      </w:r>
    </w:p>
    <w:p w14:paraId="6B9D8761" w14:textId="355758C0" w:rsidR="004D57AB" w:rsidRDefault="004D57AB" w:rsidP="00E76B5F">
      <w:pPr>
        <w:pStyle w:val="Standard"/>
        <w:numPr>
          <w:ilvl w:val="0"/>
          <w:numId w:val="10"/>
        </w:numPr>
        <w:jc w:val="both"/>
        <w:rPr>
          <w:color w:val="000000" w:themeColor="text1"/>
        </w:rPr>
      </w:pPr>
      <w:r w:rsidRPr="00E06209">
        <w:rPr>
          <w:color w:val="000000" w:themeColor="text1"/>
        </w:rPr>
        <w:t xml:space="preserve">Su </w:t>
      </w:r>
      <w:proofErr w:type="spellStart"/>
      <w:r w:rsidRPr="00E06209">
        <w:rPr>
          <w:color w:val="000000" w:themeColor="text1"/>
        </w:rPr>
        <w:t>analizatoriaus</w:t>
      </w:r>
      <w:proofErr w:type="spellEnd"/>
      <w:r w:rsidRPr="00E06209">
        <w:rPr>
          <w:color w:val="000000" w:themeColor="text1"/>
        </w:rPr>
        <w:t xml:space="preserve"> </w:t>
      </w:r>
      <w:proofErr w:type="spellStart"/>
      <w:r w:rsidRPr="00E06209">
        <w:rPr>
          <w:color w:val="000000" w:themeColor="text1"/>
        </w:rPr>
        <w:t>pristatymu</w:t>
      </w:r>
      <w:proofErr w:type="spellEnd"/>
      <w:r w:rsidRPr="00E06209">
        <w:rPr>
          <w:color w:val="000000" w:themeColor="text1"/>
        </w:rPr>
        <w:t xml:space="preserve"> </w:t>
      </w:r>
      <w:proofErr w:type="spellStart"/>
      <w:r w:rsidRPr="00E06209">
        <w:rPr>
          <w:color w:val="000000" w:themeColor="text1"/>
        </w:rPr>
        <w:t>teiktinų</w:t>
      </w:r>
      <w:proofErr w:type="spellEnd"/>
      <w:r w:rsidRPr="00E06209">
        <w:rPr>
          <w:color w:val="000000" w:themeColor="text1"/>
        </w:rPr>
        <w:t xml:space="preserve"> </w:t>
      </w:r>
      <w:proofErr w:type="spellStart"/>
      <w:r w:rsidRPr="00E06209">
        <w:rPr>
          <w:color w:val="000000" w:themeColor="text1"/>
        </w:rPr>
        <w:t>paslaugų</w:t>
      </w:r>
      <w:proofErr w:type="spellEnd"/>
      <w:r w:rsidRPr="00E06209">
        <w:rPr>
          <w:color w:val="000000" w:themeColor="text1"/>
        </w:rPr>
        <w:t xml:space="preserve"> </w:t>
      </w:r>
      <w:proofErr w:type="spellStart"/>
      <w:r w:rsidRPr="00E06209">
        <w:rPr>
          <w:color w:val="000000" w:themeColor="text1"/>
        </w:rPr>
        <w:t>pobūdis</w:t>
      </w:r>
      <w:proofErr w:type="spellEnd"/>
      <w:r w:rsidRPr="00E06209">
        <w:rPr>
          <w:color w:val="000000" w:themeColor="text1"/>
        </w:rPr>
        <w:t xml:space="preserve">: </w:t>
      </w:r>
      <w:proofErr w:type="spellStart"/>
      <w:r w:rsidRPr="00E06209">
        <w:rPr>
          <w:color w:val="000000" w:themeColor="text1"/>
        </w:rPr>
        <w:t>transportavimas</w:t>
      </w:r>
      <w:proofErr w:type="spellEnd"/>
      <w:r w:rsidRPr="00E06209">
        <w:rPr>
          <w:color w:val="000000" w:themeColor="text1"/>
        </w:rPr>
        <w:t xml:space="preserve">, </w:t>
      </w:r>
      <w:proofErr w:type="spellStart"/>
      <w:r w:rsidRPr="00E06209">
        <w:rPr>
          <w:color w:val="000000" w:themeColor="text1"/>
        </w:rPr>
        <w:t>pakavimas</w:t>
      </w:r>
      <w:proofErr w:type="spellEnd"/>
      <w:r w:rsidRPr="00E06209">
        <w:rPr>
          <w:color w:val="000000" w:themeColor="text1"/>
        </w:rPr>
        <w:t xml:space="preserve">, </w:t>
      </w:r>
      <w:proofErr w:type="spellStart"/>
      <w:r w:rsidRPr="00E06209">
        <w:rPr>
          <w:color w:val="000000" w:themeColor="text1"/>
        </w:rPr>
        <w:t>pakrovimas</w:t>
      </w:r>
      <w:proofErr w:type="spellEnd"/>
      <w:r w:rsidRPr="00E06209">
        <w:rPr>
          <w:color w:val="000000" w:themeColor="text1"/>
        </w:rPr>
        <w:t xml:space="preserve">, </w:t>
      </w:r>
      <w:proofErr w:type="spellStart"/>
      <w:r w:rsidRPr="00E06209">
        <w:rPr>
          <w:color w:val="000000" w:themeColor="text1"/>
        </w:rPr>
        <w:t>tranzitas</w:t>
      </w:r>
      <w:proofErr w:type="spellEnd"/>
      <w:r w:rsidRPr="00E06209">
        <w:rPr>
          <w:color w:val="000000" w:themeColor="text1"/>
        </w:rPr>
        <w:t xml:space="preserve">, </w:t>
      </w:r>
      <w:proofErr w:type="spellStart"/>
      <w:r w:rsidRPr="00E06209">
        <w:rPr>
          <w:color w:val="000000" w:themeColor="text1"/>
        </w:rPr>
        <w:t>iškrovimas</w:t>
      </w:r>
      <w:proofErr w:type="spellEnd"/>
      <w:r w:rsidRPr="00E06209">
        <w:rPr>
          <w:color w:val="000000" w:themeColor="text1"/>
        </w:rPr>
        <w:t xml:space="preserve">, </w:t>
      </w:r>
      <w:proofErr w:type="spellStart"/>
      <w:r w:rsidRPr="00E06209">
        <w:rPr>
          <w:color w:val="000000" w:themeColor="text1"/>
        </w:rPr>
        <w:t>išpakavimas</w:t>
      </w:r>
      <w:proofErr w:type="spellEnd"/>
      <w:r w:rsidRPr="00E06209">
        <w:rPr>
          <w:color w:val="000000" w:themeColor="text1"/>
        </w:rPr>
        <w:t xml:space="preserve">, </w:t>
      </w:r>
      <w:proofErr w:type="spellStart"/>
      <w:r w:rsidRPr="00E06209">
        <w:rPr>
          <w:color w:val="000000" w:themeColor="text1"/>
        </w:rPr>
        <w:t>tikrin</w:t>
      </w:r>
      <w:r w:rsidR="0062535D">
        <w:rPr>
          <w:color w:val="000000" w:themeColor="text1"/>
        </w:rPr>
        <w:t>imas</w:t>
      </w:r>
      <w:proofErr w:type="spellEnd"/>
      <w:r w:rsidR="0062535D">
        <w:rPr>
          <w:color w:val="000000" w:themeColor="text1"/>
        </w:rPr>
        <w:t xml:space="preserve">, </w:t>
      </w:r>
      <w:proofErr w:type="spellStart"/>
      <w:r w:rsidR="0062535D">
        <w:rPr>
          <w:color w:val="000000" w:themeColor="text1"/>
        </w:rPr>
        <w:t>pristatyto</w:t>
      </w:r>
      <w:proofErr w:type="spellEnd"/>
      <w:r w:rsidR="0062535D">
        <w:rPr>
          <w:color w:val="000000" w:themeColor="text1"/>
        </w:rPr>
        <w:t xml:space="preserve"> </w:t>
      </w:r>
      <w:proofErr w:type="spellStart"/>
      <w:r w:rsidR="0062535D">
        <w:rPr>
          <w:color w:val="000000" w:themeColor="text1"/>
        </w:rPr>
        <w:t>analizatoriaus</w:t>
      </w:r>
      <w:proofErr w:type="spellEnd"/>
      <w:r w:rsidRPr="00E06209">
        <w:rPr>
          <w:color w:val="000000" w:themeColor="text1"/>
        </w:rPr>
        <w:t xml:space="preserve"> </w:t>
      </w:r>
      <w:proofErr w:type="spellStart"/>
      <w:r w:rsidRPr="00E06209">
        <w:rPr>
          <w:color w:val="000000" w:themeColor="text1"/>
        </w:rPr>
        <w:t>sumontavimas</w:t>
      </w:r>
      <w:proofErr w:type="spellEnd"/>
      <w:r w:rsidRPr="00E06209">
        <w:rPr>
          <w:color w:val="000000" w:themeColor="text1"/>
        </w:rPr>
        <w:t>/</w:t>
      </w:r>
      <w:proofErr w:type="spellStart"/>
      <w:r w:rsidRPr="00E06209">
        <w:rPr>
          <w:color w:val="000000" w:themeColor="text1"/>
        </w:rPr>
        <w:t>instaliavimas</w:t>
      </w:r>
      <w:proofErr w:type="spellEnd"/>
      <w:r w:rsidR="007948F7" w:rsidRPr="007948F7">
        <w:rPr>
          <w:color w:val="000000" w:themeColor="text1"/>
        </w:rPr>
        <w:t xml:space="preserve"> </w:t>
      </w:r>
      <w:proofErr w:type="spellStart"/>
      <w:r w:rsidRPr="00E06209">
        <w:rPr>
          <w:color w:val="000000" w:themeColor="text1"/>
        </w:rPr>
        <w:t>perkančiosios</w:t>
      </w:r>
      <w:proofErr w:type="spellEnd"/>
      <w:r w:rsidRPr="00E06209">
        <w:rPr>
          <w:color w:val="000000" w:themeColor="text1"/>
        </w:rPr>
        <w:t xml:space="preserve"> </w:t>
      </w:r>
      <w:proofErr w:type="spellStart"/>
      <w:r w:rsidRPr="00E06209">
        <w:rPr>
          <w:color w:val="000000" w:themeColor="text1"/>
        </w:rPr>
        <w:t>organizacijos</w:t>
      </w:r>
      <w:proofErr w:type="spellEnd"/>
      <w:r w:rsidRPr="00E06209">
        <w:rPr>
          <w:color w:val="000000" w:themeColor="text1"/>
        </w:rPr>
        <w:t xml:space="preserve"> </w:t>
      </w:r>
      <w:proofErr w:type="spellStart"/>
      <w:r w:rsidRPr="00E06209">
        <w:rPr>
          <w:color w:val="000000" w:themeColor="text1"/>
        </w:rPr>
        <w:t>nurodytu</w:t>
      </w:r>
      <w:proofErr w:type="spellEnd"/>
      <w:r w:rsidRPr="00E06209">
        <w:rPr>
          <w:color w:val="000000" w:themeColor="text1"/>
        </w:rPr>
        <w:t xml:space="preserve"> </w:t>
      </w:r>
      <w:proofErr w:type="spellStart"/>
      <w:r w:rsidRPr="00E06209">
        <w:rPr>
          <w:color w:val="000000" w:themeColor="text1"/>
        </w:rPr>
        <w:t>adresu</w:t>
      </w:r>
      <w:proofErr w:type="spellEnd"/>
      <w:r w:rsidRPr="00E06209">
        <w:rPr>
          <w:color w:val="000000" w:themeColor="text1"/>
        </w:rPr>
        <w:t xml:space="preserve">, </w:t>
      </w:r>
      <w:proofErr w:type="spellStart"/>
      <w:r w:rsidRPr="00E06209">
        <w:rPr>
          <w:color w:val="000000" w:themeColor="text1"/>
        </w:rPr>
        <w:t>analizatoriaus</w:t>
      </w:r>
      <w:proofErr w:type="spellEnd"/>
      <w:r w:rsidRPr="00E06209">
        <w:rPr>
          <w:color w:val="000000" w:themeColor="text1"/>
        </w:rPr>
        <w:t xml:space="preserve"> </w:t>
      </w:r>
      <w:proofErr w:type="spellStart"/>
      <w:r w:rsidRPr="00E06209">
        <w:rPr>
          <w:color w:val="000000" w:themeColor="text1"/>
        </w:rPr>
        <w:t>tvarkyklės</w:t>
      </w:r>
      <w:proofErr w:type="spellEnd"/>
      <w:r w:rsidRPr="00E06209">
        <w:rPr>
          <w:color w:val="000000" w:themeColor="text1"/>
        </w:rPr>
        <w:t xml:space="preserve"> </w:t>
      </w:r>
      <w:proofErr w:type="spellStart"/>
      <w:r w:rsidRPr="00E06209">
        <w:rPr>
          <w:color w:val="000000" w:themeColor="text1"/>
        </w:rPr>
        <w:t>pateikimas</w:t>
      </w:r>
      <w:proofErr w:type="spellEnd"/>
      <w:r w:rsidRPr="00E06209">
        <w:rPr>
          <w:color w:val="000000" w:themeColor="text1"/>
        </w:rPr>
        <w:t xml:space="preserve">, </w:t>
      </w:r>
      <w:proofErr w:type="spellStart"/>
      <w:r w:rsidRPr="00E06209">
        <w:rPr>
          <w:color w:val="000000" w:themeColor="text1"/>
        </w:rPr>
        <w:t>analizatoriaus</w:t>
      </w:r>
      <w:proofErr w:type="spellEnd"/>
      <w:r w:rsidRPr="00E06209">
        <w:rPr>
          <w:color w:val="000000" w:themeColor="text1"/>
        </w:rPr>
        <w:t xml:space="preserve"> </w:t>
      </w:r>
      <w:proofErr w:type="spellStart"/>
      <w:r w:rsidRPr="00E06209">
        <w:rPr>
          <w:color w:val="000000" w:themeColor="text1"/>
        </w:rPr>
        <w:t>paruošimas</w:t>
      </w:r>
      <w:proofErr w:type="spellEnd"/>
      <w:r w:rsidRPr="00E06209">
        <w:rPr>
          <w:color w:val="000000" w:themeColor="text1"/>
        </w:rPr>
        <w:t xml:space="preserve"> </w:t>
      </w:r>
      <w:proofErr w:type="spellStart"/>
      <w:r w:rsidRPr="00E06209">
        <w:rPr>
          <w:color w:val="000000" w:themeColor="text1"/>
        </w:rPr>
        <w:t>darbui</w:t>
      </w:r>
      <w:proofErr w:type="spellEnd"/>
      <w:r w:rsidRPr="00E06209">
        <w:rPr>
          <w:color w:val="000000" w:themeColor="text1"/>
        </w:rPr>
        <w:t xml:space="preserve"> ir </w:t>
      </w:r>
      <w:proofErr w:type="spellStart"/>
      <w:r w:rsidRPr="00E06209">
        <w:rPr>
          <w:color w:val="000000" w:themeColor="text1"/>
        </w:rPr>
        <w:t>suderinimas</w:t>
      </w:r>
      <w:proofErr w:type="spellEnd"/>
      <w:r w:rsidRPr="00E06209">
        <w:rPr>
          <w:color w:val="000000" w:themeColor="text1"/>
        </w:rPr>
        <w:t>/</w:t>
      </w:r>
      <w:proofErr w:type="spellStart"/>
      <w:r w:rsidRPr="00E06209">
        <w:rPr>
          <w:color w:val="000000" w:themeColor="text1"/>
        </w:rPr>
        <w:t>išbandymas</w:t>
      </w:r>
      <w:proofErr w:type="spellEnd"/>
      <w:r w:rsidRPr="00E06209">
        <w:rPr>
          <w:color w:val="000000" w:themeColor="text1"/>
        </w:rPr>
        <w:t xml:space="preserve">, </w:t>
      </w:r>
      <w:proofErr w:type="spellStart"/>
      <w:r w:rsidRPr="00E06209">
        <w:rPr>
          <w:color w:val="000000" w:themeColor="text1"/>
        </w:rPr>
        <w:t>medicinos</w:t>
      </w:r>
      <w:proofErr w:type="spellEnd"/>
      <w:r w:rsidRPr="00E06209">
        <w:rPr>
          <w:color w:val="000000" w:themeColor="text1"/>
        </w:rPr>
        <w:t xml:space="preserve"> </w:t>
      </w:r>
      <w:proofErr w:type="spellStart"/>
      <w:r w:rsidRPr="00E06209">
        <w:rPr>
          <w:color w:val="000000" w:themeColor="text1"/>
        </w:rPr>
        <w:t>prietaiso</w:t>
      </w:r>
      <w:proofErr w:type="spellEnd"/>
      <w:r w:rsidRPr="00E06209">
        <w:rPr>
          <w:color w:val="000000" w:themeColor="text1"/>
        </w:rPr>
        <w:t xml:space="preserve"> </w:t>
      </w:r>
      <w:proofErr w:type="spellStart"/>
      <w:r w:rsidRPr="00E06209">
        <w:rPr>
          <w:color w:val="000000" w:themeColor="text1"/>
        </w:rPr>
        <w:t>paso</w:t>
      </w:r>
      <w:proofErr w:type="spellEnd"/>
      <w:r w:rsidRPr="00E06209">
        <w:rPr>
          <w:color w:val="000000" w:themeColor="text1"/>
        </w:rPr>
        <w:t xml:space="preserve"> </w:t>
      </w:r>
      <w:proofErr w:type="spellStart"/>
      <w:r w:rsidRPr="00E06209">
        <w:rPr>
          <w:color w:val="000000" w:themeColor="text1"/>
        </w:rPr>
        <w:t>užpildymas</w:t>
      </w:r>
      <w:proofErr w:type="spellEnd"/>
      <w:r w:rsidRPr="00E06209">
        <w:rPr>
          <w:color w:val="000000" w:themeColor="text1"/>
        </w:rPr>
        <w:t xml:space="preserve">, </w:t>
      </w:r>
      <w:proofErr w:type="spellStart"/>
      <w:r w:rsidRPr="00E06209">
        <w:rPr>
          <w:color w:val="000000" w:themeColor="text1"/>
        </w:rPr>
        <w:t>perkančiosios</w:t>
      </w:r>
      <w:proofErr w:type="spellEnd"/>
      <w:r w:rsidRPr="00E06209">
        <w:rPr>
          <w:color w:val="000000" w:themeColor="text1"/>
        </w:rPr>
        <w:t xml:space="preserve"> </w:t>
      </w:r>
      <w:proofErr w:type="spellStart"/>
      <w:r w:rsidRPr="00E06209">
        <w:rPr>
          <w:color w:val="000000" w:themeColor="text1"/>
        </w:rPr>
        <w:t>organizacijos</w:t>
      </w:r>
      <w:proofErr w:type="spellEnd"/>
      <w:r w:rsidRPr="00E06209">
        <w:rPr>
          <w:color w:val="000000" w:themeColor="text1"/>
        </w:rPr>
        <w:t xml:space="preserve"> </w:t>
      </w:r>
      <w:proofErr w:type="spellStart"/>
      <w:r w:rsidRPr="00E06209">
        <w:rPr>
          <w:color w:val="000000" w:themeColor="text1"/>
        </w:rPr>
        <w:t>personalo</w:t>
      </w:r>
      <w:proofErr w:type="spellEnd"/>
      <w:r w:rsidRPr="00E06209">
        <w:rPr>
          <w:color w:val="000000" w:themeColor="text1"/>
        </w:rPr>
        <w:t xml:space="preserve"> </w:t>
      </w:r>
      <w:proofErr w:type="spellStart"/>
      <w:r w:rsidRPr="00E06209">
        <w:rPr>
          <w:color w:val="000000" w:themeColor="text1"/>
        </w:rPr>
        <w:t>apmokymas</w:t>
      </w:r>
      <w:proofErr w:type="spellEnd"/>
      <w:r w:rsidRPr="00E06209">
        <w:rPr>
          <w:color w:val="000000" w:themeColor="text1"/>
        </w:rPr>
        <w:t xml:space="preserve"> </w:t>
      </w:r>
      <w:proofErr w:type="spellStart"/>
      <w:r w:rsidRPr="00E06209">
        <w:rPr>
          <w:color w:val="000000" w:themeColor="text1"/>
        </w:rPr>
        <w:t>dirbti</w:t>
      </w:r>
      <w:proofErr w:type="spellEnd"/>
      <w:r w:rsidRPr="00E06209">
        <w:rPr>
          <w:color w:val="000000" w:themeColor="text1"/>
        </w:rPr>
        <w:t xml:space="preserve"> </w:t>
      </w:r>
      <w:proofErr w:type="spellStart"/>
      <w:r w:rsidRPr="00E06209">
        <w:rPr>
          <w:color w:val="000000" w:themeColor="text1"/>
        </w:rPr>
        <w:t>su</w:t>
      </w:r>
      <w:proofErr w:type="spellEnd"/>
      <w:r w:rsidRPr="00E06209">
        <w:rPr>
          <w:color w:val="000000" w:themeColor="text1"/>
        </w:rPr>
        <w:t xml:space="preserve"> </w:t>
      </w:r>
      <w:proofErr w:type="spellStart"/>
      <w:r w:rsidRPr="00E06209">
        <w:rPr>
          <w:color w:val="000000" w:themeColor="text1"/>
        </w:rPr>
        <w:t>analizatoriumi</w:t>
      </w:r>
      <w:proofErr w:type="spellEnd"/>
      <w:r w:rsidRPr="00E06209">
        <w:rPr>
          <w:color w:val="000000" w:themeColor="text1"/>
        </w:rPr>
        <w:t xml:space="preserve">, </w:t>
      </w:r>
      <w:proofErr w:type="spellStart"/>
      <w:r w:rsidRPr="00E06209">
        <w:rPr>
          <w:color w:val="000000" w:themeColor="text1"/>
        </w:rPr>
        <w:t>konsultacijų</w:t>
      </w:r>
      <w:proofErr w:type="spellEnd"/>
      <w:r w:rsidRPr="00E06209">
        <w:rPr>
          <w:color w:val="000000" w:themeColor="text1"/>
        </w:rPr>
        <w:t xml:space="preserve">, </w:t>
      </w:r>
      <w:proofErr w:type="spellStart"/>
      <w:r w:rsidRPr="00E06209">
        <w:rPr>
          <w:color w:val="000000" w:themeColor="text1"/>
        </w:rPr>
        <w:t>susijusių</w:t>
      </w:r>
      <w:proofErr w:type="spellEnd"/>
      <w:r w:rsidRPr="00E06209">
        <w:rPr>
          <w:color w:val="000000" w:themeColor="text1"/>
        </w:rPr>
        <w:t xml:space="preserve"> </w:t>
      </w:r>
      <w:proofErr w:type="spellStart"/>
      <w:r w:rsidRPr="00E06209">
        <w:rPr>
          <w:color w:val="000000" w:themeColor="text1"/>
        </w:rPr>
        <w:t>su</w:t>
      </w:r>
      <w:proofErr w:type="spellEnd"/>
      <w:r w:rsidRPr="00E06209">
        <w:rPr>
          <w:color w:val="000000" w:themeColor="text1"/>
        </w:rPr>
        <w:t xml:space="preserve"> </w:t>
      </w:r>
      <w:proofErr w:type="spellStart"/>
      <w:r w:rsidRPr="00E06209">
        <w:rPr>
          <w:color w:val="000000" w:themeColor="text1"/>
        </w:rPr>
        <w:t>prekių</w:t>
      </w:r>
      <w:proofErr w:type="spellEnd"/>
      <w:r w:rsidRPr="00E06209">
        <w:rPr>
          <w:color w:val="000000" w:themeColor="text1"/>
        </w:rPr>
        <w:t xml:space="preserve"> </w:t>
      </w:r>
      <w:proofErr w:type="spellStart"/>
      <w:r w:rsidRPr="00E06209">
        <w:rPr>
          <w:color w:val="000000" w:themeColor="text1"/>
        </w:rPr>
        <w:t>naudojimu</w:t>
      </w:r>
      <w:proofErr w:type="spellEnd"/>
      <w:r w:rsidRPr="00E06209">
        <w:rPr>
          <w:color w:val="000000" w:themeColor="text1"/>
        </w:rPr>
        <w:t xml:space="preserve"> </w:t>
      </w:r>
      <w:proofErr w:type="spellStart"/>
      <w:r w:rsidRPr="00E06209">
        <w:rPr>
          <w:color w:val="000000" w:themeColor="text1"/>
        </w:rPr>
        <w:t>teikimas</w:t>
      </w:r>
      <w:proofErr w:type="spellEnd"/>
      <w:r>
        <w:rPr>
          <w:color w:val="000000" w:themeColor="text1"/>
        </w:rPr>
        <w:t>.</w:t>
      </w:r>
    </w:p>
    <w:p w14:paraId="4955A0C3" w14:textId="77777777" w:rsidR="009F04FE" w:rsidRPr="0036455D" w:rsidRDefault="009F04FE" w:rsidP="00E76B5F">
      <w:pPr>
        <w:pStyle w:val="Standard"/>
        <w:numPr>
          <w:ilvl w:val="0"/>
          <w:numId w:val="10"/>
        </w:numPr>
        <w:jc w:val="both"/>
        <w:rPr>
          <w:lang w:val="lt-LT"/>
        </w:rPr>
      </w:pPr>
      <w:r w:rsidRPr="0036455D">
        <w:rPr>
          <w:lang w:val="lt-LT"/>
        </w:rPr>
        <w:t>Pateikti reikalingą siūlomų reagentų rinkinių kiekį, kurio turi pakakti numatytam preliminariam tyrim</w:t>
      </w:r>
      <w:r>
        <w:rPr>
          <w:lang w:val="lt-LT"/>
        </w:rPr>
        <w:t>ų kiekiui atlikti per 48 mėnesius</w:t>
      </w:r>
      <w:r w:rsidRPr="0036455D">
        <w:rPr>
          <w:lang w:val="lt-LT"/>
        </w:rPr>
        <w:t>, atsižvelgiant į tyrimų skaičių ir reagentų rinkinių bendrą galiojimo trukmę atidarius pakuotę.</w:t>
      </w:r>
    </w:p>
    <w:p w14:paraId="7505263D" w14:textId="77777777" w:rsidR="009F04FE" w:rsidRPr="0036455D" w:rsidRDefault="009F04FE" w:rsidP="00E76B5F">
      <w:pPr>
        <w:pStyle w:val="Standard"/>
        <w:numPr>
          <w:ilvl w:val="0"/>
          <w:numId w:val="10"/>
        </w:numPr>
        <w:jc w:val="both"/>
        <w:rPr>
          <w:lang w:val="lt-LT"/>
        </w:rPr>
      </w:pPr>
      <w:r w:rsidRPr="0036455D">
        <w:rPr>
          <w:lang w:val="lt-LT"/>
        </w:rPr>
        <w:t>Reagentų rinkinius tiksliniam tyrimui atlikti tiekėjai privalo nurodyti patys užpildydami specifikacijoje pateiktas lenteles, nebūtinai vadovaujantis tuo, kas dalinai nurodyta specifikacijoje, tačiau būtina nurodyti visą spektrą priemonių, užtikrinančių kokybišką tyrimo atlikimą</w:t>
      </w:r>
      <w:r w:rsidRPr="0036455D">
        <w:rPr>
          <w:sz w:val="20"/>
          <w:lang w:val="lt-LT"/>
        </w:rPr>
        <w:t>.</w:t>
      </w:r>
    </w:p>
    <w:p w14:paraId="6198E459" w14:textId="77777777" w:rsidR="009F04FE" w:rsidRDefault="009F04FE" w:rsidP="00E76B5F">
      <w:pPr>
        <w:pStyle w:val="ListParagraph"/>
        <w:numPr>
          <w:ilvl w:val="0"/>
          <w:numId w:val="10"/>
        </w:numPr>
        <w:jc w:val="both"/>
      </w:pPr>
      <w:proofErr w:type="spellStart"/>
      <w:r w:rsidRPr="0036455D">
        <w:t>Jeigu</w:t>
      </w:r>
      <w:proofErr w:type="spellEnd"/>
      <w:r w:rsidRPr="0036455D">
        <w:t xml:space="preserve"> </w:t>
      </w:r>
      <w:proofErr w:type="spellStart"/>
      <w:r w:rsidRPr="0036455D">
        <w:t>tiekėjo</w:t>
      </w:r>
      <w:proofErr w:type="spellEnd"/>
      <w:r w:rsidRPr="0036455D">
        <w:t xml:space="preserve"> </w:t>
      </w:r>
      <w:proofErr w:type="spellStart"/>
      <w:r w:rsidRPr="0036455D">
        <w:t>apskaičiuotų</w:t>
      </w:r>
      <w:proofErr w:type="spellEnd"/>
      <w:r w:rsidRPr="0036455D">
        <w:t xml:space="preserve"> </w:t>
      </w:r>
      <w:proofErr w:type="spellStart"/>
      <w:r w:rsidRPr="0036455D">
        <w:t>l</w:t>
      </w:r>
      <w:r>
        <w:t>aboratorinių</w:t>
      </w:r>
      <w:proofErr w:type="spellEnd"/>
      <w:r>
        <w:t xml:space="preserve"> </w:t>
      </w:r>
      <w:proofErr w:type="spellStart"/>
      <w:r>
        <w:t>reagentų</w:t>
      </w:r>
      <w:proofErr w:type="spellEnd"/>
      <w:r>
        <w:t xml:space="preserve"> </w:t>
      </w:r>
      <w:proofErr w:type="spellStart"/>
      <w:r>
        <w:t>rinkinių</w:t>
      </w:r>
      <w:proofErr w:type="spellEnd"/>
      <w:r>
        <w:t xml:space="preserve"> </w:t>
      </w:r>
      <w:proofErr w:type="spellStart"/>
      <w:r w:rsidRPr="0036455D">
        <w:t>neužtenka</w:t>
      </w:r>
      <w:proofErr w:type="spellEnd"/>
      <w:r w:rsidRPr="0036455D">
        <w:t xml:space="preserve"> </w:t>
      </w:r>
      <w:proofErr w:type="spellStart"/>
      <w:r w:rsidRPr="0036455D">
        <w:t>nu</w:t>
      </w:r>
      <w:r>
        <w:t>rodytam</w:t>
      </w:r>
      <w:proofErr w:type="spellEnd"/>
      <w:r>
        <w:t xml:space="preserve"> </w:t>
      </w:r>
      <w:proofErr w:type="spellStart"/>
      <w:r>
        <w:t>tyrimų</w:t>
      </w:r>
      <w:proofErr w:type="spellEnd"/>
      <w:r>
        <w:t xml:space="preserve"> </w:t>
      </w:r>
      <w:proofErr w:type="spellStart"/>
      <w:r>
        <w:t>skaičiui</w:t>
      </w:r>
      <w:proofErr w:type="spellEnd"/>
      <w:r>
        <w:t xml:space="preserve"> </w:t>
      </w:r>
      <w:proofErr w:type="spellStart"/>
      <w:r>
        <w:t>atlikti</w:t>
      </w:r>
      <w:proofErr w:type="spellEnd"/>
      <w:r>
        <w:t>.</w:t>
      </w:r>
      <w:r w:rsidRPr="0036455D">
        <w:t xml:space="preserve"> </w:t>
      </w:r>
      <w:proofErr w:type="spellStart"/>
      <w:r w:rsidRPr="0036455D">
        <w:t>Tiekėjas</w:t>
      </w:r>
      <w:proofErr w:type="spellEnd"/>
      <w:r w:rsidRPr="0036455D">
        <w:t xml:space="preserve"> </w:t>
      </w:r>
      <w:proofErr w:type="spellStart"/>
      <w:r w:rsidRPr="0036455D">
        <w:t>įsipareigoja</w:t>
      </w:r>
      <w:proofErr w:type="spellEnd"/>
      <w:r w:rsidRPr="0036455D">
        <w:t xml:space="preserve"> </w:t>
      </w:r>
      <w:proofErr w:type="spellStart"/>
      <w:r w:rsidRPr="0036455D">
        <w:t>savo</w:t>
      </w:r>
      <w:proofErr w:type="spellEnd"/>
      <w:r w:rsidRPr="0036455D">
        <w:t xml:space="preserve"> </w:t>
      </w:r>
      <w:proofErr w:type="spellStart"/>
      <w:r w:rsidRPr="0036455D">
        <w:t>lėšomis</w:t>
      </w:r>
      <w:proofErr w:type="spellEnd"/>
      <w:r w:rsidRPr="0036455D">
        <w:t xml:space="preserve"> </w:t>
      </w:r>
      <w:proofErr w:type="spellStart"/>
      <w:r w:rsidRPr="0036455D">
        <w:t>tiekti</w:t>
      </w:r>
      <w:proofErr w:type="spellEnd"/>
      <w:r w:rsidRPr="0036455D">
        <w:t xml:space="preserve"> </w:t>
      </w:r>
      <w:proofErr w:type="spellStart"/>
      <w:r w:rsidRPr="0036455D">
        <w:t>trūkstamus</w:t>
      </w:r>
      <w:proofErr w:type="spellEnd"/>
      <w:r w:rsidRPr="0036455D">
        <w:t xml:space="preserve"> </w:t>
      </w:r>
      <w:proofErr w:type="spellStart"/>
      <w:r w:rsidRPr="0036455D">
        <w:t>reagentus</w:t>
      </w:r>
      <w:proofErr w:type="spellEnd"/>
      <w:r w:rsidRPr="0036455D">
        <w:t xml:space="preserve"> ir </w:t>
      </w:r>
      <w:proofErr w:type="spellStart"/>
      <w:r w:rsidRPr="0036455D">
        <w:t>papildomas</w:t>
      </w:r>
      <w:proofErr w:type="spellEnd"/>
      <w:r w:rsidRPr="0036455D">
        <w:t xml:space="preserve"> </w:t>
      </w:r>
      <w:proofErr w:type="spellStart"/>
      <w:r w:rsidRPr="0036455D">
        <w:t>priemones</w:t>
      </w:r>
      <w:proofErr w:type="spellEnd"/>
      <w:r w:rsidRPr="0036455D">
        <w:t>.</w:t>
      </w:r>
    </w:p>
    <w:p w14:paraId="417D23A4" w14:textId="77777777" w:rsidR="009F04FE" w:rsidRPr="004E497D" w:rsidRDefault="009F04FE" w:rsidP="00E76B5F">
      <w:pPr>
        <w:pStyle w:val="ListParagraph"/>
        <w:numPr>
          <w:ilvl w:val="0"/>
          <w:numId w:val="10"/>
        </w:numPr>
        <w:jc w:val="both"/>
        <w:rPr>
          <w:color w:val="000000" w:themeColor="text1"/>
          <w:lang w:val="lt-LT"/>
        </w:rPr>
      </w:pPr>
      <w:r w:rsidRPr="004E497D">
        <w:rPr>
          <w:color w:val="000000" w:themeColor="text1"/>
          <w:lang w:val="lt-LT"/>
        </w:rPr>
        <w:t>Reagentai ir papildomos priemonės turi būti paženklinti CE ir</w:t>
      </w:r>
      <w:r w:rsidRPr="004E497D">
        <w:rPr>
          <w:lang w:val="lt-LT"/>
        </w:rPr>
        <w:t xml:space="preserve"> IVD</w:t>
      </w:r>
      <w:r>
        <w:rPr>
          <w:lang w:val="lt-LT"/>
        </w:rPr>
        <w:t>.</w:t>
      </w:r>
      <w:r w:rsidRPr="004E497D">
        <w:rPr>
          <w:color w:val="000000" w:themeColor="text1"/>
          <w:lang w:val="lt-LT"/>
        </w:rPr>
        <w:t xml:space="preserve"> </w:t>
      </w:r>
    </w:p>
    <w:p w14:paraId="78CD2756" w14:textId="77777777" w:rsidR="009F04FE" w:rsidRPr="009F04FE" w:rsidRDefault="009F04FE" w:rsidP="00E76B5F">
      <w:pPr>
        <w:pStyle w:val="Standard"/>
        <w:numPr>
          <w:ilvl w:val="0"/>
          <w:numId w:val="10"/>
        </w:numPr>
        <w:jc w:val="both"/>
        <w:rPr>
          <w:color w:val="000000" w:themeColor="text1"/>
          <w:lang w:val="lt-LT"/>
        </w:rPr>
      </w:pPr>
      <w:r w:rsidRPr="00A5793E">
        <w:rPr>
          <w:color w:val="000000" w:themeColor="text1"/>
          <w:lang w:val="lt-LT"/>
        </w:rPr>
        <w:t xml:space="preserve">Kartu su reagentais ir papildomomis priemonėmis turi būti pateikiamos naudojimo instrukcijos </w:t>
      </w:r>
      <w:r>
        <w:rPr>
          <w:color w:val="000000" w:themeColor="text1"/>
          <w:lang w:val="lt-LT"/>
        </w:rPr>
        <w:t xml:space="preserve">ir saugos dokumentų lapai </w:t>
      </w:r>
      <w:r w:rsidRPr="00A5793E">
        <w:rPr>
          <w:color w:val="000000" w:themeColor="text1"/>
          <w:lang w:val="lt-LT"/>
        </w:rPr>
        <w:t>anglų ir lietuvių kalba</w:t>
      </w:r>
      <w:r>
        <w:rPr>
          <w:b/>
          <w:lang w:val="lt-LT"/>
        </w:rPr>
        <w:t>.</w:t>
      </w:r>
    </w:p>
    <w:p w14:paraId="716B097F" w14:textId="77777777" w:rsidR="009F04FE" w:rsidRDefault="009F04FE" w:rsidP="00E76B5F">
      <w:pPr>
        <w:pStyle w:val="Standard"/>
        <w:numPr>
          <w:ilvl w:val="0"/>
          <w:numId w:val="10"/>
        </w:numPr>
        <w:jc w:val="both"/>
        <w:rPr>
          <w:color w:val="000000" w:themeColor="text1"/>
          <w:lang w:val="lt-LT"/>
        </w:rPr>
      </w:pPr>
      <w:r>
        <w:rPr>
          <w:color w:val="000000" w:themeColor="text1"/>
          <w:lang w:val="lt-LT"/>
        </w:rPr>
        <w:t xml:space="preserve">Perkančiosios organizacijos laboratorijoje tyrimai neatliekami periodiškai kiekvieną dieną, atliekami tik esant poreikiui. </w:t>
      </w:r>
    </w:p>
    <w:p w14:paraId="7F76A18A" w14:textId="77777777" w:rsidR="00C029CA" w:rsidRDefault="00C029CA" w:rsidP="00054CC2">
      <w:pPr>
        <w:autoSpaceDE w:val="0"/>
        <w:adjustRightInd w:val="0"/>
        <w:rPr>
          <w:bCs/>
          <w:lang w:val="lt-LT"/>
        </w:rPr>
      </w:pPr>
    </w:p>
    <w:p w14:paraId="05203036" w14:textId="0E898BAF" w:rsidR="00C029CA" w:rsidRPr="00054CC2" w:rsidRDefault="00E76B5F" w:rsidP="00E76B5F">
      <w:pPr>
        <w:autoSpaceDE w:val="0"/>
        <w:adjustRightInd w:val="0"/>
        <w:ind w:left="3600" w:firstLine="720"/>
        <w:jc w:val="right"/>
        <w:rPr>
          <w:bCs/>
          <w:lang w:val="lt-LT"/>
        </w:rPr>
      </w:pPr>
      <w:r>
        <w:rPr>
          <w:bCs/>
          <w:lang w:val="lt-LT"/>
        </w:rPr>
        <w:t xml:space="preserve">                                             </w:t>
      </w:r>
      <w:r w:rsidR="00144755">
        <w:rPr>
          <w:bCs/>
          <w:lang w:val="lt-LT"/>
        </w:rPr>
        <w:t xml:space="preserve">                          </w:t>
      </w:r>
      <w:r w:rsidR="009F04FE">
        <w:rPr>
          <w:bCs/>
          <w:lang w:val="lt-LT"/>
        </w:rPr>
        <w:tab/>
      </w:r>
      <w:r w:rsidR="009F04FE">
        <w:rPr>
          <w:bCs/>
          <w:lang w:val="lt-LT"/>
        </w:rPr>
        <w:tab/>
      </w:r>
    </w:p>
    <w:p w14:paraId="186E1A3F" w14:textId="77777777" w:rsidR="00DF43A9" w:rsidRPr="00B04942" w:rsidRDefault="00DF43A9" w:rsidP="004331DE">
      <w:pPr>
        <w:pStyle w:val="ListParagraph"/>
        <w:numPr>
          <w:ilvl w:val="0"/>
          <w:numId w:val="11"/>
        </w:numPr>
        <w:ind w:right="-172"/>
        <w:jc w:val="center"/>
        <w:rPr>
          <w:lang w:val="lt-LT"/>
        </w:rPr>
      </w:pPr>
      <w:r w:rsidRPr="00B04942">
        <w:rPr>
          <w:lang w:val="lt-LT"/>
        </w:rPr>
        <w:t>ŽENKLINIMAS, PAKAVIMAS IR PRIĖMIMAS</w:t>
      </w:r>
    </w:p>
    <w:p w14:paraId="52F1A9FE" w14:textId="77777777" w:rsidR="00DF43A9" w:rsidRPr="00B04942" w:rsidRDefault="00DF43A9" w:rsidP="00DF43A9">
      <w:pPr>
        <w:ind w:right="-172"/>
        <w:contextualSpacing/>
        <w:jc w:val="center"/>
        <w:rPr>
          <w:lang w:val="lt-LT"/>
        </w:rPr>
      </w:pPr>
    </w:p>
    <w:p w14:paraId="1C135D93" w14:textId="7013124F" w:rsidR="00DF43A9" w:rsidRPr="00E76B5F" w:rsidRDefault="00DF43A9" w:rsidP="00E76B5F">
      <w:pPr>
        <w:pStyle w:val="ListParagraph"/>
        <w:numPr>
          <w:ilvl w:val="0"/>
          <w:numId w:val="10"/>
        </w:numPr>
        <w:jc w:val="both"/>
        <w:rPr>
          <w:rFonts w:cs="Times New Roman"/>
          <w:lang w:val="lt-LT"/>
        </w:rPr>
      </w:pPr>
      <w:r w:rsidRPr="00E76B5F">
        <w:rPr>
          <w:rFonts w:cs="Times New Roman"/>
          <w:lang w:val="lt-LT"/>
        </w:rPr>
        <w:t>Reagentai privalo atitikti Europos Parlament</w:t>
      </w:r>
      <w:r w:rsidR="008E460C">
        <w:rPr>
          <w:rFonts w:cs="Times New Roman"/>
          <w:lang w:val="lt-LT"/>
        </w:rPr>
        <w:t>o ir Tarybos direktyvos 2017/746</w:t>
      </w:r>
      <w:r w:rsidRPr="00E76B5F">
        <w:rPr>
          <w:rFonts w:cs="Times New Roman"/>
          <w:lang w:val="lt-LT"/>
        </w:rPr>
        <w:t xml:space="preserve"> dėl </w:t>
      </w:r>
      <w:proofErr w:type="spellStart"/>
      <w:r w:rsidRPr="00E76B5F">
        <w:rPr>
          <w:rFonts w:cs="Times New Roman"/>
          <w:i/>
          <w:lang w:val="lt-LT"/>
        </w:rPr>
        <w:t>in</w:t>
      </w:r>
      <w:proofErr w:type="spellEnd"/>
      <w:r w:rsidRPr="00E76B5F">
        <w:rPr>
          <w:rFonts w:cs="Times New Roman"/>
          <w:i/>
          <w:lang w:val="lt-LT"/>
        </w:rPr>
        <w:t xml:space="preserve"> </w:t>
      </w:r>
      <w:proofErr w:type="spellStart"/>
      <w:r w:rsidRPr="00E76B5F">
        <w:rPr>
          <w:rFonts w:cs="Times New Roman"/>
          <w:i/>
          <w:lang w:val="lt-LT"/>
        </w:rPr>
        <w:t>vitro</w:t>
      </w:r>
      <w:proofErr w:type="spellEnd"/>
      <w:r w:rsidRPr="00E76B5F">
        <w:rPr>
          <w:rFonts w:cs="Times New Roman"/>
          <w:lang w:val="lt-LT"/>
        </w:rPr>
        <w:t xml:space="preserve"> diagnostikos medicinos prietaisų reikalavimus bei Lietuvos Respublikos Sveikatos apsaugos ministerijos patvirtintame </w:t>
      </w:r>
      <w:proofErr w:type="spellStart"/>
      <w:r w:rsidRPr="00E76B5F">
        <w:rPr>
          <w:rFonts w:cs="Times New Roman"/>
          <w:i/>
          <w:lang w:val="lt-LT"/>
        </w:rPr>
        <w:t>in</w:t>
      </w:r>
      <w:proofErr w:type="spellEnd"/>
      <w:r w:rsidRPr="00E76B5F">
        <w:rPr>
          <w:rFonts w:cs="Times New Roman"/>
          <w:i/>
          <w:lang w:val="lt-LT"/>
        </w:rPr>
        <w:t xml:space="preserve"> </w:t>
      </w:r>
      <w:proofErr w:type="spellStart"/>
      <w:r w:rsidRPr="00E76B5F">
        <w:rPr>
          <w:rFonts w:cs="Times New Roman"/>
          <w:i/>
          <w:lang w:val="lt-LT"/>
        </w:rPr>
        <w:t>vitro</w:t>
      </w:r>
      <w:proofErr w:type="spellEnd"/>
      <w:r w:rsidRPr="00E76B5F">
        <w:rPr>
          <w:rFonts w:cs="Times New Roman"/>
          <w:lang w:val="lt-LT"/>
        </w:rPr>
        <w:t xml:space="preserve"> diagnostikos medicinos priemonių (prietaisų) saugos techniniame reglamente nustatytus reikalavimus ir šioje techninėje specifikacijoje nurodytus reikalavimus. </w:t>
      </w:r>
    </w:p>
    <w:p w14:paraId="2DF9A440" w14:textId="6E2D5E51" w:rsidR="00DF43A9" w:rsidRPr="00B04942" w:rsidRDefault="00DF43A9" w:rsidP="00E76B5F">
      <w:pPr>
        <w:pStyle w:val="ListParagraph"/>
        <w:widowControl/>
        <w:numPr>
          <w:ilvl w:val="0"/>
          <w:numId w:val="10"/>
        </w:numPr>
        <w:tabs>
          <w:tab w:val="left" w:pos="1418"/>
        </w:tabs>
        <w:suppressAutoHyphens w:val="0"/>
        <w:autoSpaceDN/>
        <w:jc w:val="both"/>
        <w:textAlignment w:val="auto"/>
        <w:rPr>
          <w:rFonts w:cs="Times New Roman"/>
          <w:lang w:val="lt-LT"/>
        </w:rPr>
      </w:pPr>
      <w:r w:rsidRPr="00B04942">
        <w:rPr>
          <w:lang w:val="lt-LT"/>
        </w:rPr>
        <w:t>Siūlomi analizatoriai panaudai privalo atitikti Europos Parlame</w:t>
      </w:r>
      <w:r w:rsidR="00C6006A">
        <w:rPr>
          <w:lang w:val="lt-LT"/>
        </w:rPr>
        <w:t>nto ir Tarybos direktyvos 2017/746</w:t>
      </w:r>
      <w:r w:rsidRPr="00B04942">
        <w:rPr>
          <w:lang w:val="lt-LT"/>
        </w:rPr>
        <w:t xml:space="preserve"> </w:t>
      </w:r>
      <w:proofErr w:type="spellStart"/>
      <w:r w:rsidRPr="00B04942">
        <w:rPr>
          <w:i/>
          <w:lang w:val="lt-LT"/>
        </w:rPr>
        <w:t>in</w:t>
      </w:r>
      <w:proofErr w:type="spellEnd"/>
      <w:r w:rsidRPr="00B04942">
        <w:rPr>
          <w:i/>
          <w:lang w:val="lt-LT"/>
        </w:rPr>
        <w:t xml:space="preserve"> </w:t>
      </w:r>
      <w:proofErr w:type="spellStart"/>
      <w:r w:rsidRPr="00B04942">
        <w:rPr>
          <w:i/>
          <w:lang w:val="lt-LT"/>
        </w:rPr>
        <w:t>vitro</w:t>
      </w:r>
      <w:proofErr w:type="spellEnd"/>
      <w:r w:rsidRPr="00B04942">
        <w:rPr>
          <w:lang w:val="lt-LT"/>
        </w:rPr>
        <w:t xml:space="preserve"> medicinos prietaisų reikalavimus </w:t>
      </w:r>
      <w:r w:rsidRPr="00B04942">
        <w:rPr>
          <w:rFonts w:cs="Times New Roman"/>
          <w:lang w:val="lt-LT"/>
        </w:rPr>
        <w:t xml:space="preserve">bei Lietuvos Respublikos Sveikatos apsaugos ministerijos patvirtintame </w:t>
      </w:r>
      <w:proofErr w:type="spellStart"/>
      <w:r w:rsidRPr="00B04942">
        <w:rPr>
          <w:rFonts w:cs="Times New Roman"/>
          <w:i/>
          <w:lang w:val="lt-LT"/>
        </w:rPr>
        <w:t>in</w:t>
      </w:r>
      <w:proofErr w:type="spellEnd"/>
      <w:r w:rsidRPr="00B04942">
        <w:rPr>
          <w:rFonts w:cs="Times New Roman"/>
          <w:i/>
          <w:lang w:val="lt-LT"/>
        </w:rPr>
        <w:t xml:space="preserve"> </w:t>
      </w:r>
      <w:proofErr w:type="spellStart"/>
      <w:r w:rsidRPr="00B04942">
        <w:rPr>
          <w:rFonts w:cs="Times New Roman"/>
          <w:i/>
          <w:lang w:val="lt-LT"/>
        </w:rPr>
        <w:t>vitro</w:t>
      </w:r>
      <w:proofErr w:type="spellEnd"/>
      <w:r w:rsidRPr="00B04942">
        <w:rPr>
          <w:rFonts w:cs="Times New Roman"/>
          <w:lang w:val="lt-LT"/>
        </w:rPr>
        <w:t xml:space="preserve"> diagnostikos medicinos priemonių (prietaisų) saugos techniniame reglamente nustatytus reikalavimus ir šioje techninėje specifik</w:t>
      </w:r>
      <w:r w:rsidR="009F2718">
        <w:rPr>
          <w:rFonts w:cs="Times New Roman"/>
          <w:lang w:val="lt-LT"/>
        </w:rPr>
        <w:t>acijoje nurodytus reikalavimus.</w:t>
      </w:r>
    </w:p>
    <w:p w14:paraId="5D1EE88A" w14:textId="77777777" w:rsidR="00721251" w:rsidRPr="0054174E" w:rsidRDefault="00721251" w:rsidP="00E76B5F">
      <w:pPr>
        <w:pStyle w:val="ListParagraph"/>
        <w:widowControl/>
        <w:numPr>
          <w:ilvl w:val="0"/>
          <w:numId w:val="10"/>
        </w:numPr>
        <w:tabs>
          <w:tab w:val="left" w:pos="1418"/>
        </w:tabs>
        <w:suppressAutoHyphens w:val="0"/>
        <w:autoSpaceDN/>
        <w:jc w:val="both"/>
        <w:textAlignment w:val="auto"/>
        <w:rPr>
          <w:lang w:val="lt-LT"/>
        </w:rPr>
      </w:pPr>
      <w:r w:rsidRPr="00721251">
        <w:rPr>
          <w:color w:val="000000" w:themeColor="text1"/>
          <w:lang w:val="lt-LT"/>
        </w:rPr>
        <w:t>Reagentai ir papildomos priemonės pristatomos į sandėlį, kai jų galiojimo laikas ne trumpesnis nei 60 proc. viso reagento ar papildomos priemonės galiojimo laiko arba ne trumpesnis kaip 6 mėnesiai iki galiojimo termino pabaigos.</w:t>
      </w:r>
    </w:p>
    <w:p w14:paraId="05CBE64E" w14:textId="77777777" w:rsidR="00DF43A9" w:rsidRPr="00B04942" w:rsidRDefault="00DF43A9" w:rsidP="00E76B5F">
      <w:pPr>
        <w:pStyle w:val="ListParagraph"/>
        <w:widowControl/>
        <w:numPr>
          <w:ilvl w:val="0"/>
          <w:numId w:val="10"/>
        </w:numPr>
        <w:tabs>
          <w:tab w:val="left" w:pos="1418"/>
        </w:tabs>
        <w:suppressAutoHyphens w:val="0"/>
        <w:autoSpaceDN/>
        <w:jc w:val="both"/>
        <w:textAlignment w:val="auto"/>
        <w:rPr>
          <w:bCs/>
          <w:lang w:val="lt-LT"/>
        </w:rPr>
      </w:pPr>
      <w:r w:rsidRPr="00B04942">
        <w:rPr>
          <w:rFonts w:cs="Times New Roman"/>
          <w:lang w:val="lt-LT"/>
        </w:rPr>
        <w:t>Prekės priimamos vadovaujantis pirkimo-pardavimo sutartyje nustatytais reikalavimais.</w:t>
      </w:r>
    </w:p>
    <w:p w14:paraId="7A4EEE96" w14:textId="77777777" w:rsidR="00DF43A9" w:rsidRDefault="00DF43A9" w:rsidP="00E76B5F">
      <w:pPr>
        <w:ind w:right="-462"/>
        <w:jc w:val="both"/>
      </w:pPr>
    </w:p>
    <w:p w14:paraId="4123EFCC" w14:textId="77777777" w:rsidR="00E76B5F" w:rsidRDefault="00E76B5F" w:rsidP="00E76B5F">
      <w:pPr>
        <w:ind w:right="-462"/>
        <w:jc w:val="both"/>
      </w:pPr>
    </w:p>
    <w:p w14:paraId="7D363648" w14:textId="77777777" w:rsidR="00E76B5F" w:rsidRPr="00B04942" w:rsidRDefault="00E76B5F" w:rsidP="00E76B5F">
      <w:pPr>
        <w:pStyle w:val="BodyText"/>
        <w:tabs>
          <w:tab w:val="left" w:pos="993"/>
        </w:tabs>
        <w:ind w:firstLine="426"/>
      </w:pPr>
    </w:p>
    <w:p w14:paraId="23CD6AAF" w14:textId="77777777" w:rsidR="00E76B5F" w:rsidRPr="00B04942" w:rsidRDefault="00E76B5F" w:rsidP="00E76B5F">
      <w:pPr>
        <w:pStyle w:val="BodyText"/>
        <w:tabs>
          <w:tab w:val="left" w:pos="993"/>
        </w:tabs>
        <w:ind w:firstLine="426"/>
      </w:pPr>
    </w:p>
    <w:p w14:paraId="1A827F3D" w14:textId="77777777" w:rsidR="00E76B5F" w:rsidRDefault="00E76B5F" w:rsidP="00E76B5F">
      <w:pPr>
        <w:ind w:right="-462"/>
        <w:jc w:val="both"/>
      </w:pPr>
    </w:p>
    <w:sectPr w:rsidR="00E76B5F" w:rsidSect="00F5755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ndale Sans UI">
    <w:altName w:val="Century Gothic"/>
    <w:charset w:val="00"/>
    <w:family w:val="auto"/>
    <w:pitch w:val="default"/>
    <w:sig w:usb0="00000000" w:usb1="00000000" w:usb2="00000000" w:usb3="00000000" w:csb0="00040001"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88C"/>
    <w:multiLevelType w:val="hybridMultilevel"/>
    <w:tmpl w:val="8226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DF58AE"/>
    <w:multiLevelType w:val="multilevel"/>
    <w:tmpl w:val="DB10ADFC"/>
    <w:lvl w:ilvl="0">
      <w:start w:val="1"/>
      <w:numFmt w:val="decimal"/>
      <w:lvlText w:val="%1."/>
      <w:lvlJc w:val="left"/>
      <w:pPr>
        <w:tabs>
          <w:tab w:val="num" w:pos="1131"/>
        </w:tabs>
        <w:ind w:left="1131" w:hanging="705"/>
      </w:pPr>
      <w:rPr>
        <w:rFonts w:hint="default"/>
      </w:rPr>
    </w:lvl>
    <w:lvl w:ilvl="1">
      <w:start w:val="1"/>
      <w:numFmt w:val="decimal"/>
      <w:lvlText w:val="%2."/>
      <w:lvlJc w:val="left"/>
      <w:pPr>
        <w:tabs>
          <w:tab w:val="num" w:pos="705"/>
        </w:tabs>
        <w:ind w:left="0" w:firstLine="0"/>
      </w:pPr>
      <w:rPr>
        <w:rFonts w:ascii="Times New Roman" w:eastAsia="Andale Sans UI" w:hAnsi="Times New Roman" w:cs="Times New Roman"/>
      </w:rPr>
    </w:lvl>
    <w:lvl w:ilvl="2">
      <w:start w:val="1"/>
      <w:numFmt w:val="decimal"/>
      <w:lvlText w:val="%1.%2.%3."/>
      <w:lvlJc w:val="left"/>
      <w:pPr>
        <w:tabs>
          <w:tab w:val="num" w:pos="5983"/>
        </w:tabs>
        <w:ind w:left="600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A2E68"/>
    <w:multiLevelType w:val="hybridMultilevel"/>
    <w:tmpl w:val="75C8F534"/>
    <w:lvl w:ilvl="0" w:tplc="B65C9EF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EF258B6"/>
    <w:multiLevelType w:val="hybridMultilevel"/>
    <w:tmpl w:val="43B286B2"/>
    <w:lvl w:ilvl="0" w:tplc="F4B6926A">
      <w:start w:val="1"/>
      <w:numFmt w:val="decimal"/>
      <w:lvlText w:val="%1."/>
      <w:lvlJc w:val="left"/>
      <w:pPr>
        <w:ind w:left="720" w:hanging="360"/>
      </w:pPr>
      <w:rPr>
        <w:rFonts w:ascii="Times New Roman" w:eastAsia="Andale Sans UI" w:hAnsi="Times New Roman" w:cs="Tahoma"/>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01568C"/>
    <w:multiLevelType w:val="hybridMultilevel"/>
    <w:tmpl w:val="E51E2AC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540474"/>
    <w:multiLevelType w:val="hybridMultilevel"/>
    <w:tmpl w:val="3460D1FA"/>
    <w:lvl w:ilvl="0" w:tplc="8D243A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973287"/>
    <w:multiLevelType w:val="hybridMultilevel"/>
    <w:tmpl w:val="24F401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43075A"/>
    <w:multiLevelType w:val="multilevel"/>
    <w:tmpl w:val="DB10ADFC"/>
    <w:lvl w:ilvl="0">
      <w:start w:val="1"/>
      <w:numFmt w:val="decimal"/>
      <w:lvlText w:val="%1."/>
      <w:lvlJc w:val="left"/>
      <w:pPr>
        <w:tabs>
          <w:tab w:val="num" w:pos="1131"/>
        </w:tabs>
        <w:ind w:left="1131" w:hanging="705"/>
      </w:pPr>
      <w:rPr>
        <w:rFonts w:hint="default"/>
      </w:rPr>
    </w:lvl>
    <w:lvl w:ilvl="1">
      <w:start w:val="1"/>
      <w:numFmt w:val="decimal"/>
      <w:lvlText w:val="%2."/>
      <w:lvlJc w:val="left"/>
      <w:pPr>
        <w:tabs>
          <w:tab w:val="num" w:pos="705"/>
        </w:tabs>
        <w:ind w:left="0" w:firstLine="0"/>
      </w:pPr>
      <w:rPr>
        <w:rFonts w:ascii="Times New Roman" w:eastAsia="Andale Sans UI" w:hAnsi="Times New Roman" w:cs="Times New Roman"/>
      </w:rPr>
    </w:lvl>
    <w:lvl w:ilvl="2">
      <w:start w:val="1"/>
      <w:numFmt w:val="decimal"/>
      <w:lvlText w:val="%1.%2.%3."/>
      <w:lvlJc w:val="left"/>
      <w:pPr>
        <w:tabs>
          <w:tab w:val="num" w:pos="5983"/>
        </w:tabs>
        <w:ind w:left="600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F56346A"/>
    <w:multiLevelType w:val="multilevel"/>
    <w:tmpl w:val="DB10ADFC"/>
    <w:lvl w:ilvl="0">
      <w:start w:val="1"/>
      <w:numFmt w:val="decimal"/>
      <w:lvlText w:val="%1."/>
      <w:lvlJc w:val="left"/>
      <w:pPr>
        <w:tabs>
          <w:tab w:val="num" w:pos="1131"/>
        </w:tabs>
        <w:ind w:left="1131" w:hanging="705"/>
      </w:pPr>
      <w:rPr>
        <w:rFonts w:hint="default"/>
      </w:rPr>
    </w:lvl>
    <w:lvl w:ilvl="1">
      <w:start w:val="1"/>
      <w:numFmt w:val="decimal"/>
      <w:lvlText w:val="%2."/>
      <w:lvlJc w:val="left"/>
      <w:pPr>
        <w:tabs>
          <w:tab w:val="num" w:pos="705"/>
        </w:tabs>
        <w:ind w:left="0" w:firstLine="0"/>
      </w:pPr>
      <w:rPr>
        <w:rFonts w:ascii="Times New Roman" w:eastAsia="Andale Sans UI" w:hAnsi="Times New Roman" w:cs="Times New Roman"/>
      </w:rPr>
    </w:lvl>
    <w:lvl w:ilvl="2">
      <w:start w:val="1"/>
      <w:numFmt w:val="decimal"/>
      <w:lvlText w:val="%1.%2.%3."/>
      <w:lvlJc w:val="left"/>
      <w:pPr>
        <w:tabs>
          <w:tab w:val="num" w:pos="5983"/>
        </w:tabs>
        <w:ind w:left="600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5ED57B6"/>
    <w:multiLevelType w:val="hybridMultilevel"/>
    <w:tmpl w:val="971EF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C65F0B"/>
    <w:multiLevelType w:val="hybridMultilevel"/>
    <w:tmpl w:val="A086DAE4"/>
    <w:lvl w:ilvl="0" w:tplc="734206B4">
      <w:numFmt w:val="bullet"/>
      <w:lvlText w:val=""/>
      <w:lvlJc w:val="left"/>
      <w:pPr>
        <w:ind w:left="720" w:hanging="360"/>
      </w:pPr>
      <w:rPr>
        <w:rFonts w:ascii="Symbol" w:eastAsia="Andale Sans U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9"/>
  </w:num>
  <w:num w:numId="5">
    <w:abstractNumId w:val="0"/>
  </w:num>
  <w:num w:numId="6">
    <w:abstractNumId w:val="4"/>
  </w:num>
  <w:num w:numId="7">
    <w:abstractNumId w:val="2"/>
  </w:num>
  <w:num w:numId="8">
    <w:abstractNumId w:val="1"/>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2B"/>
    <w:rsid w:val="000000EE"/>
    <w:rsid w:val="00007380"/>
    <w:rsid w:val="000225E0"/>
    <w:rsid w:val="00024A2F"/>
    <w:rsid w:val="00037C8A"/>
    <w:rsid w:val="00054CC2"/>
    <w:rsid w:val="000705E6"/>
    <w:rsid w:val="000C4A7D"/>
    <w:rsid w:val="000D53F6"/>
    <w:rsid w:val="00144755"/>
    <w:rsid w:val="00154C6D"/>
    <w:rsid w:val="00154DE0"/>
    <w:rsid w:val="00190D8A"/>
    <w:rsid w:val="001966D8"/>
    <w:rsid w:val="001E57F1"/>
    <w:rsid w:val="00203BFA"/>
    <w:rsid w:val="0024160B"/>
    <w:rsid w:val="00286DB4"/>
    <w:rsid w:val="002D0B7D"/>
    <w:rsid w:val="00310C16"/>
    <w:rsid w:val="00385CDD"/>
    <w:rsid w:val="0038725B"/>
    <w:rsid w:val="00402709"/>
    <w:rsid w:val="004331DE"/>
    <w:rsid w:val="00486363"/>
    <w:rsid w:val="0049114D"/>
    <w:rsid w:val="004A625B"/>
    <w:rsid w:val="004D57AB"/>
    <w:rsid w:val="00573753"/>
    <w:rsid w:val="005E056E"/>
    <w:rsid w:val="00604898"/>
    <w:rsid w:val="0062535D"/>
    <w:rsid w:val="006B29FA"/>
    <w:rsid w:val="006E6A93"/>
    <w:rsid w:val="007030C6"/>
    <w:rsid w:val="00721251"/>
    <w:rsid w:val="00741188"/>
    <w:rsid w:val="00742FF3"/>
    <w:rsid w:val="007948F7"/>
    <w:rsid w:val="007D01CE"/>
    <w:rsid w:val="00842B57"/>
    <w:rsid w:val="008C1FC8"/>
    <w:rsid w:val="008E460C"/>
    <w:rsid w:val="00914A4F"/>
    <w:rsid w:val="0091743D"/>
    <w:rsid w:val="00935EA2"/>
    <w:rsid w:val="00974A87"/>
    <w:rsid w:val="00984A89"/>
    <w:rsid w:val="00985996"/>
    <w:rsid w:val="00991EE3"/>
    <w:rsid w:val="009A0FAD"/>
    <w:rsid w:val="009A77C0"/>
    <w:rsid w:val="009D297A"/>
    <w:rsid w:val="009F04FE"/>
    <w:rsid w:val="009F2718"/>
    <w:rsid w:val="00A3230B"/>
    <w:rsid w:val="00AE753B"/>
    <w:rsid w:val="00AF2350"/>
    <w:rsid w:val="00B01B2B"/>
    <w:rsid w:val="00B406DA"/>
    <w:rsid w:val="00BC6F52"/>
    <w:rsid w:val="00C029CA"/>
    <w:rsid w:val="00C061BC"/>
    <w:rsid w:val="00C074A7"/>
    <w:rsid w:val="00C12AAB"/>
    <w:rsid w:val="00C25324"/>
    <w:rsid w:val="00C325E5"/>
    <w:rsid w:val="00C6006A"/>
    <w:rsid w:val="00CC02D1"/>
    <w:rsid w:val="00CE6A11"/>
    <w:rsid w:val="00D06D89"/>
    <w:rsid w:val="00D104AA"/>
    <w:rsid w:val="00D36D71"/>
    <w:rsid w:val="00D60662"/>
    <w:rsid w:val="00D702D4"/>
    <w:rsid w:val="00DF43A9"/>
    <w:rsid w:val="00DF589C"/>
    <w:rsid w:val="00E12FEF"/>
    <w:rsid w:val="00E14CEF"/>
    <w:rsid w:val="00E747FD"/>
    <w:rsid w:val="00E76B5F"/>
    <w:rsid w:val="00EA0AEA"/>
    <w:rsid w:val="00EC66E7"/>
    <w:rsid w:val="00F26C0C"/>
    <w:rsid w:val="00F46570"/>
    <w:rsid w:val="00F57553"/>
    <w:rsid w:val="00F8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C3D6"/>
  <w15:chartTrackingRefBased/>
  <w15:docId w15:val="{FEA3AD5E-4E2A-4052-B8BC-25EC2D53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05E6"/>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705E6"/>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paragraph" w:styleId="ListParagraph">
    <w:name w:val="List Paragraph"/>
    <w:aliases w:val="List Paragraph Red"/>
    <w:basedOn w:val="Normal"/>
    <w:link w:val="ListParagraphChar"/>
    <w:uiPriority w:val="34"/>
    <w:qFormat/>
    <w:rsid w:val="000705E6"/>
    <w:pPr>
      <w:ind w:left="720"/>
      <w:contextualSpacing/>
    </w:pPr>
  </w:style>
  <w:style w:type="paragraph" w:customStyle="1" w:styleId="TableContents">
    <w:name w:val="Table Contents"/>
    <w:basedOn w:val="Standard"/>
    <w:rsid w:val="000705E6"/>
    <w:pPr>
      <w:suppressLineNumbers/>
    </w:pPr>
  </w:style>
  <w:style w:type="character" w:customStyle="1" w:styleId="ListParagraphChar">
    <w:name w:val="List Paragraph Char"/>
    <w:aliases w:val="List Paragraph Red Char"/>
    <w:link w:val="ListParagraph"/>
    <w:uiPriority w:val="34"/>
    <w:locked/>
    <w:rsid w:val="000705E6"/>
    <w:rPr>
      <w:rFonts w:ascii="Times New Roman" w:eastAsia="Andale Sans UI" w:hAnsi="Times New Roman" w:cs="Tahoma"/>
      <w:kern w:val="3"/>
      <w:sz w:val="24"/>
      <w:szCs w:val="24"/>
      <w:lang w:bidi="en-US"/>
    </w:rPr>
  </w:style>
  <w:style w:type="table" w:styleId="TableGrid">
    <w:name w:val="Table Grid"/>
    <w:basedOn w:val="TableNormal"/>
    <w:uiPriority w:val="59"/>
    <w:rsid w:val="001E57F1"/>
    <w:pPr>
      <w:widowControl w:val="0"/>
      <w:autoSpaceDN w:val="0"/>
      <w:spacing w:after="0" w:line="240" w:lineRule="auto"/>
      <w:textAlignment w:val="baseline"/>
    </w:pPr>
    <w:rPr>
      <w:rFonts w:ascii="Times New Roman" w:eastAsia="Andale Sans UI" w:hAnsi="Times New Roman"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6B5F"/>
    <w:pPr>
      <w:widowControl/>
      <w:suppressAutoHyphens w:val="0"/>
      <w:jc w:val="both"/>
      <w:textAlignment w:val="auto"/>
    </w:pPr>
    <w:rPr>
      <w:rFonts w:eastAsia="Times New Roman" w:cs="Times New Roman"/>
      <w:kern w:val="0"/>
      <w:lang w:val="lt-LT" w:bidi="ar-SA"/>
    </w:rPr>
  </w:style>
  <w:style w:type="character" w:customStyle="1" w:styleId="BodyTextChar">
    <w:name w:val="Body Text Char"/>
    <w:basedOn w:val="DefaultParagraphFont"/>
    <w:link w:val="BodyText"/>
    <w:rsid w:val="00E76B5F"/>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154DE0"/>
    <w:rPr>
      <w:sz w:val="16"/>
      <w:szCs w:val="16"/>
    </w:rPr>
  </w:style>
  <w:style w:type="paragraph" w:styleId="CommentText">
    <w:name w:val="annotation text"/>
    <w:basedOn w:val="Normal"/>
    <w:link w:val="CommentTextChar"/>
    <w:uiPriority w:val="99"/>
    <w:unhideWhenUsed/>
    <w:rsid w:val="00154DE0"/>
    <w:rPr>
      <w:sz w:val="20"/>
      <w:szCs w:val="20"/>
    </w:rPr>
  </w:style>
  <w:style w:type="character" w:customStyle="1" w:styleId="CommentTextChar">
    <w:name w:val="Comment Text Char"/>
    <w:basedOn w:val="DefaultParagraphFont"/>
    <w:link w:val="CommentText"/>
    <w:uiPriority w:val="99"/>
    <w:rsid w:val="00154DE0"/>
    <w:rPr>
      <w:rFonts w:ascii="Times New Roman" w:eastAsia="Andale Sans UI" w:hAnsi="Times New Roman" w:cs="Tahoma"/>
      <w:kern w:val="3"/>
      <w:sz w:val="20"/>
      <w:szCs w:val="20"/>
      <w:lang w:bidi="en-US"/>
    </w:rPr>
  </w:style>
  <w:style w:type="paragraph" w:styleId="CommentSubject">
    <w:name w:val="annotation subject"/>
    <w:basedOn w:val="CommentText"/>
    <w:next w:val="CommentText"/>
    <w:link w:val="CommentSubjectChar"/>
    <w:uiPriority w:val="99"/>
    <w:semiHidden/>
    <w:unhideWhenUsed/>
    <w:rsid w:val="00154DE0"/>
    <w:rPr>
      <w:b/>
      <w:bCs/>
    </w:rPr>
  </w:style>
  <w:style w:type="character" w:customStyle="1" w:styleId="CommentSubjectChar">
    <w:name w:val="Comment Subject Char"/>
    <w:basedOn w:val="CommentTextChar"/>
    <w:link w:val="CommentSubject"/>
    <w:uiPriority w:val="99"/>
    <w:semiHidden/>
    <w:rsid w:val="00154DE0"/>
    <w:rPr>
      <w:rFonts w:ascii="Times New Roman" w:eastAsia="Andale Sans UI" w:hAnsi="Times New Roman" w:cs="Tahoma"/>
      <w:b/>
      <w:bCs/>
      <w:kern w:val="3"/>
      <w:sz w:val="20"/>
      <w:szCs w:val="20"/>
      <w:lang w:bidi="en-US"/>
    </w:rPr>
  </w:style>
  <w:style w:type="paragraph" w:styleId="BalloonText">
    <w:name w:val="Balloon Text"/>
    <w:basedOn w:val="Normal"/>
    <w:link w:val="BalloonTextChar"/>
    <w:uiPriority w:val="99"/>
    <w:semiHidden/>
    <w:unhideWhenUsed/>
    <w:rsid w:val="00154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DE0"/>
    <w:rPr>
      <w:rFonts w:ascii="Segoe UI" w:eastAsia="Andale Sans UI" w:hAnsi="Segoe UI" w:cs="Segoe UI"/>
      <w:kern w:val="3"/>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101197">
      <w:bodyDiv w:val="1"/>
      <w:marLeft w:val="0"/>
      <w:marRight w:val="0"/>
      <w:marTop w:val="0"/>
      <w:marBottom w:val="0"/>
      <w:divBdr>
        <w:top w:val="none" w:sz="0" w:space="0" w:color="auto"/>
        <w:left w:val="none" w:sz="0" w:space="0" w:color="auto"/>
        <w:bottom w:val="none" w:sz="0" w:space="0" w:color="auto"/>
        <w:right w:val="none" w:sz="0" w:space="0" w:color="auto"/>
      </w:divBdr>
    </w:div>
    <w:div w:id="12526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AF29A-181A-4F4F-931D-6E6807E6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Palukaitytė</dc:creator>
  <cp:lastModifiedBy>Aistė Palukaitytė</cp:lastModifiedBy>
  <cp:revision>8</cp:revision>
  <cp:lastPrinted>2024-12-05T06:37:00Z</cp:lastPrinted>
  <dcterms:created xsi:type="dcterms:W3CDTF">2020-12-07T08:52:00Z</dcterms:created>
  <dcterms:modified xsi:type="dcterms:W3CDTF">2024-12-05T13:05:00Z</dcterms:modified>
</cp:coreProperties>
</file>