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1D4528A" w14:textId="77777777" w:rsidR="002D0800" w:rsidRPr="008F0B3F" w:rsidRDefault="002D0800" w:rsidP="002D0800">
      <w:pPr>
        <w:spacing w:after="120"/>
        <w:ind w:left="567"/>
        <w:contextualSpacing/>
        <w:jc w:val="center"/>
        <w:rPr>
          <w:rFonts w:ascii="Times New Roman" w:hAnsi="Times New Roman" w:cs="Times New Roman"/>
        </w:rPr>
      </w:pPr>
    </w:p>
    <w:p w14:paraId="0DE62FD8" w14:textId="77777777" w:rsidR="005640A8" w:rsidRPr="008F0B3F" w:rsidRDefault="005640A8" w:rsidP="002D0800">
      <w:pPr>
        <w:spacing w:after="120" w:line="240" w:lineRule="auto"/>
        <w:ind w:left="567"/>
        <w:contextualSpacing/>
        <w:jc w:val="center"/>
        <w:rPr>
          <w:rFonts w:ascii="Times New Roman" w:hAnsi="Times New Roman" w:cs="Times New Roman"/>
          <w:b/>
          <w:bCs/>
          <w:sz w:val="28"/>
          <w:szCs w:val="28"/>
        </w:rPr>
      </w:pPr>
    </w:p>
    <w:p w14:paraId="396F592A" w14:textId="7EC60622"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 xml:space="preserve">MAŽOS VERTĖS VIEŠOJO PIRKIMO </w:t>
      </w:r>
    </w:p>
    <w:p w14:paraId="21E8B081" w14:textId="77777777" w:rsidR="00401BEB" w:rsidRDefault="00401BEB" w:rsidP="002D0800">
      <w:pPr>
        <w:spacing w:after="120" w:line="240" w:lineRule="auto"/>
        <w:ind w:left="567"/>
        <w:contextualSpacing/>
        <w:jc w:val="center"/>
        <w:rPr>
          <w:rFonts w:ascii="Times New Roman" w:hAnsi="Times New Roman" w:cs="Times New Roman"/>
          <w:b/>
          <w:bCs/>
          <w:sz w:val="28"/>
          <w:szCs w:val="28"/>
        </w:rPr>
      </w:pPr>
    </w:p>
    <w:p w14:paraId="315B7003" w14:textId="2DB148FE" w:rsidR="00F40A17" w:rsidRDefault="00401BEB" w:rsidP="002D0800">
      <w:pPr>
        <w:spacing w:after="120" w:line="240" w:lineRule="auto"/>
        <w:ind w:left="567"/>
        <w:contextualSpacing/>
        <w:jc w:val="center"/>
        <w:rPr>
          <w:rFonts w:ascii="Times New Roman" w:hAnsi="Times New Roman" w:cs="Times New Roman"/>
          <w:b/>
          <w:bCs/>
          <w:sz w:val="28"/>
          <w:szCs w:val="28"/>
        </w:rPr>
      </w:pPr>
      <w:r w:rsidRPr="00401BEB">
        <w:rPr>
          <w:rFonts w:ascii="Times New Roman" w:hAnsi="Times New Roman" w:cs="Times New Roman"/>
          <w:b/>
          <w:bCs/>
          <w:sz w:val="28"/>
          <w:szCs w:val="28"/>
        </w:rPr>
        <w:t xml:space="preserve">Savanorių 231 Katilinės vamzdžių keitimo </w:t>
      </w:r>
      <w:r w:rsidR="00687A9D">
        <w:rPr>
          <w:rFonts w:ascii="Times New Roman" w:hAnsi="Times New Roman" w:cs="Times New Roman"/>
          <w:b/>
          <w:bCs/>
          <w:sz w:val="28"/>
          <w:szCs w:val="28"/>
        </w:rPr>
        <w:t xml:space="preserve"> darbai</w:t>
      </w:r>
    </w:p>
    <w:p w14:paraId="4531AD5E" w14:textId="77777777" w:rsidR="00401BEB" w:rsidRDefault="00401BEB" w:rsidP="002D0800">
      <w:pPr>
        <w:spacing w:after="120" w:line="240" w:lineRule="auto"/>
        <w:ind w:left="567"/>
        <w:contextualSpacing/>
        <w:jc w:val="center"/>
        <w:rPr>
          <w:rFonts w:ascii="Times New Roman" w:hAnsi="Times New Roman" w:cs="Times New Roman"/>
          <w:b/>
          <w:bCs/>
          <w:sz w:val="28"/>
          <w:szCs w:val="28"/>
        </w:rPr>
      </w:pPr>
    </w:p>
    <w:p w14:paraId="67087F0B" w14:textId="55AEE386"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05C32B37"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w:t>
      </w:r>
      <w:r w:rsidR="007774D1">
        <w:rPr>
          <w:b w:val="0"/>
          <w:bCs w:val="0"/>
          <w:sz w:val="20"/>
          <w:szCs w:val="20"/>
        </w:rPr>
        <w:t xml:space="preserve"> </w:t>
      </w:r>
      <w:r w:rsidR="005C01A9" w:rsidRPr="008F0B3F">
        <w:rPr>
          <w:b w:val="0"/>
          <w:bCs w:val="0"/>
          <w:sz w:val="20"/>
          <w:szCs w:val="20"/>
        </w:rPr>
        <w:t>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4DA0AB2B" w:rsidR="003D38CE"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649E46C1"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 xml:space="preserve">Prie šio aprašomojo dokumento </w:t>
      </w:r>
      <w:r w:rsidRPr="00DC3484">
        <w:rPr>
          <w:rFonts w:ascii="Times New Roman" w:hAnsi="Times New Roman" w:cs="Times New Roman"/>
          <w:bCs/>
          <w:sz w:val="20"/>
          <w:szCs w:val="20"/>
        </w:rPr>
        <w:t xml:space="preserve">pridedamas </w:t>
      </w:r>
      <w:r w:rsidR="002D0800" w:rsidRPr="00DC3484">
        <w:rPr>
          <w:rFonts w:ascii="Times New Roman" w:hAnsi="Times New Roman" w:cs="Times New Roman"/>
          <w:bCs/>
          <w:sz w:val="20"/>
          <w:szCs w:val="20"/>
        </w:rPr>
        <w:t>1 priedas</w:t>
      </w:r>
      <w:r w:rsidR="00794036" w:rsidRPr="00DC3484">
        <w:rPr>
          <w:rFonts w:ascii="Times New Roman" w:hAnsi="Times New Roman" w:cs="Times New Roman"/>
          <w:bCs/>
          <w:sz w:val="20"/>
          <w:szCs w:val="20"/>
        </w:rPr>
        <w:t xml:space="preserve">: </w:t>
      </w:r>
      <w:r w:rsidR="002D0800" w:rsidRPr="00DC3484">
        <w:rPr>
          <w:rFonts w:ascii="Times New Roman" w:hAnsi="Times New Roman" w:cs="Times New Roman"/>
          <w:bCs/>
          <w:sz w:val="20"/>
          <w:szCs w:val="20"/>
        </w:rPr>
        <w:t>Pasiūlymo</w:t>
      </w:r>
      <w:r w:rsidR="002D0800" w:rsidRPr="008F0B3F">
        <w:rPr>
          <w:rFonts w:ascii="Times New Roman" w:hAnsi="Times New Roman" w:cs="Times New Roman"/>
          <w:bCs/>
          <w:sz w:val="20"/>
          <w:szCs w:val="20"/>
        </w:rPr>
        <w:t xml:space="preserve"> forma, </w:t>
      </w:r>
      <w:r w:rsidR="00632157">
        <w:rPr>
          <w:rFonts w:ascii="Times New Roman" w:hAnsi="Times New Roman" w:cs="Times New Roman"/>
          <w:bCs/>
          <w:sz w:val="20"/>
          <w:szCs w:val="20"/>
        </w:rPr>
        <w:t>T</w:t>
      </w:r>
      <w:r w:rsidR="002D0800" w:rsidRPr="008F0B3F">
        <w:rPr>
          <w:rFonts w:ascii="Times New Roman" w:hAnsi="Times New Roman" w:cs="Times New Roman"/>
          <w:bCs/>
          <w:sz w:val="20"/>
          <w:szCs w:val="20"/>
        </w:rPr>
        <w:t>echninė specifikacija</w:t>
      </w:r>
      <w:r w:rsidR="00DC3484">
        <w:rPr>
          <w:rFonts w:ascii="Times New Roman" w:hAnsi="Times New Roman" w:cs="Times New Roman"/>
          <w:bCs/>
          <w:sz w:val="20"/>
          <w:szCs w:val="20"/>
        </w:rPr>
        <w:t>,</w:t>
      </w:r>
      <w:r w:rsidR="002D0800" w:rsidRPr="008F0B3F">
        <w:rPr>
          <w:rFonts w:ascii="Times New Roman" w:hAnsi="Times New Roman" w:cs="Times New Roman"/>
          <w:bCs/>
          <w:sz w:val="20"/>
          <w:szCs w:val="20"/>
        </w:rPr>
        <w:t xml:space="preserve"> </w:t>
      </w:r>
      <w:r w:rsidR="00632157">
        <w:rPr>
          <w:rFonts w:ascii="Times New Roman" w:hAnsi="Times New Roman" w:cs="Times New Roman"/>
          <w:bCs/>
          <w:sz w:val="20"/>
          <w:szCs w:val="20"/>
        </w:rPr>
        <w:t>P</w:t>
      </w:r>
      <w:r w:rsidR="00731308">
        <w:rPr>
          <w:rFonts w:ascii="Times New Roman" w:hAnsi="Times New Roman" w:cs="Times New Roman"/>
          <w:bCs/>
          <w:sz w:val="20"/>
          <w:szCs w:val="20"/>
        </w:rPr>
        <w:t xml:space="preserve">ašalinimo pagrindai, </w:t>
      </w:r>
      <w:r w:rsidR="00632157">
        <w:rPr>
          <w:rFonts w:ascii="Times New Roman" w:hAnsi="Times New Roman" w:cs="Times New Roman"/>
          <w:bCs/>
          <w:sz w:val="20"/>
          <w:szCs w:val="20"/>
        </w:rPr>
        <w:t>S</w:t>
      </w:r>
      <w:r w:rsidR="002D0800" w:rsidRPr="008F0B3F">
        <w:rPr>
          <w:rFonts w:ascii="Times New Roman" w:hAnsi="Times New Roman" w:cs="Times New Roman"/>
          <w:bCs/>
          <w:sz w:val="20"/>
          <w:szCs w:val="20"/>
        </w:rPr>
        <w:t>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165CABF6" w14:textId="77777777" w:rsidR="007774D1" w:rsidRPr="007774D1"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w:t>
      </w:r>
      <w:r w:rsidR="007774D1">
        <w:rPr>
          <w:sz w:val="20"/>
          <w:szCs w:val="20"/>
        </w:rPr>
        <w:t>:</w:t>
      </w:r>
    </w:p>
    <w:p w14:paraId="76659122" w14:textId="4C3694B7" w:rsidR="007774D1" w:rsidRPr="007774D1" w:rsidRDefault="007774D1" w:rsidP="00F40A17">
      <w:pPr>
        <w:spacing w:after="0" w:line="240" w:lineRule="auto"/>
        <w:ind w:left="567"/>
        <w:jc w:val="both"/>
        <w:rPr>
          <w:rFonts w:ascii="Times New Roman" w:hAnsi="Times New Roman" w:cs="Times New Roman"/>
          <w:sz w:val="20"/>
          <w:szCs w:val="20"/>
        </w:rPr>
      </w:pPr>
      <w:r w:rsidRPr="007774D1">
        <w:rPr>
          <w:rFonts w:ascii="Times New Roman" w:hAnsi="Times New Roman" w:cs="Times New Roman"/>
          <w:sz w:val="20"/>
          <w:szCs w:val="20"/>
        </w:rPr>
        <w:t>2.1. T</w:t>
      </w:r>
      <w:r w:rsidR="005C01A9" w:rsidRPr="007774D1">
        <w:rPr>
          <w:rFonts w:ascii="Times New Roman" w:hAnsi="Times New Roman" w:cs="Times New Roman"/>
          <w:sz w:val="20"/>
          <w:szCs w:val="20"/>
        </w:rPr>
        <w:t>iekėjo pasiūlymas, 1 pried</w:t>
      </w:r>
      <w:r w:rsidRPr="007774D1">
        <w:rPr>
          <w:rFonts w:ascii="Times New Roman" w:hAnsi="Times New Roman" w:cs="Times New Roman"/>
          <w:sz w:val="20"/>
          <w:szCs w:val="20"/>
        </w:rPr>
        <w:t>as</w:t>
      </w:r>
      <w:r w:rsidR="00632157">
        <w:rPr>
          <w:rFonts w:ascii="Times New Roman" w:hAnsi="Times New Roman" w:cs="Times New Roman"/>
          <w:sz w:val="20"/>
          <w:szCs w:val="20"/>
        </w:rPr>
        <w:t>.</w:t>
      </w:r>
    </w:p>
    <w:p w14:paraId="612C8A81" w14:textId="7D21DAC0" w:rsidR="005C01A9" w:rsidRDefault="007774D1" w:rsidP="00F40A17">
      <w:pPr>
        <w:spacing w:after="0" w:line="240" w:lineRule="auto"/>
        <w:ind w:left="567"/>
        <w:jc w:val="both"/>
        <w:rPr>
          <w:rFonts w:ascii="Times New Roman" w:hAnsi="Times New Roman" w:cs="Times New Roman"/>
          <w:sz w:val="20"/>
          <w:szCs w:val="20"/>
        </w:rPr>
      </w:pPr>
      <w:r w:rsidRPr="007774D1">
        <w:rPr>
          <w:rFonts w:ascii="Times New Roman" w:hAnsi="Times New Roman" w:cs="Times New Roman"/>
          <w:sz w:val="20"/>
          <w:szCs w:val="20"/>
        </w:rPr>
        <w:t>2.2.</w:t>
      </w:r>
      <w:r w:rsidR="003C6129">
        <w:rPr>
          <w:rFonts w:ascii="Times New Roman" w:hAnsi="Times New Roman" w:cs="Times New Roman"/>
          <w:sz w:val="20"/>
          <w:szCs w:val="20"/>
        </w:rPr>
        <w:t xml:space="preserve"> </w:t>
      </w:r>
      <w:r w:rsidR="00F40A17">
        <w:rPr>
          <w:rFonts w:ascii="Times New Roman" w:hAnsi="Times New Roman" w:cs="Times New Roman"/>
          <w:sz w:val="20"/>
          <w:szCs w:val="20"/>
        </w:rPr>
        <w:t>Tiekėjo pasiūlymas. Kaina</w:t>
      </w:r>
      <w:r w:rsidRPr="007774D1">
        <w:rPr>
          <w:rFonts w:ascii="Times New Roman" w:hAnsi="Times New Roman" w:cs="Times New Roman"/>
          <w:sz w:val="20"/>
          <w:szCs w:val="20"/>
        </w:rPr>
        <w:t>, 2 priedas</w:t>
      </w:r>
      <w:r w:rsidR="005C01A9" w:rsidRPr="007774D1">
        <w:rPr>
          <w:rFonts w:ascii="Times New Roman" w:hAnsi="Times New Roman" w:cs="Times New Roman"/>
          <w:sz w:val="20"/>
          <w:szCs w:val="20"/>
        </w:rPr>
        <w:t>.</w:t>
      </w:r>
    </w:p>
    <w:p w14:paraId="44C069F7" w14:textId="77777777" w:rsidR="00F40A17" w:rsidRDefault="00F40A17" w:rsidP="00F40A17">
      <w:pPr>
        <w:spacing w:after="0" w:line="240" w:lineRule="auto"/>
        <w:ind w:left="567"/>
        <w:jc w:val="both"/>
        <w:rPr>
          <w:rFonts w:ascii="Times New Roman" w:hAnsi="Times New Roman" w:cs="Times New Roman"/>
          <w:sz w:val="20"/>
          <w:szCs w:val="20"/>
        </w:rPr>
      </w:pP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574EF9CA" w14:textId="32146CAD" w:rsidR="000F7D28" w:rsidRPr="00F40A17" w:rsidRDefault="002D0800" w:rsidP="00F40A17">
      <w:pPr>
        <w:jc w:val="right"/>
        <w:rPr>
          <w:rFonts w:ascii="Times New Roman" w:hAnsi="Times New Roman" w:cs="Times New Roman"/>
          <w:sz w:val="20"/>
          <w:szCs w:val="20"/>
        </w:rPr>
      </w:pPr>
      <w:r w:rsidRPr="008F0B3F">
        <w:rPr>
          <w:rFonts w:ascii="Times New Roman" w:hAnsi="Times New Roman" w:cs="Times New Roman"/>
          <w:lang w:eastAsia="zh-CN"/>
        </w:rPr>
        <w:br w:type="page"/>
      </w:r>
      <w:r w:rsidR="000F7D28" w:rsidRPr="00F40A17">
        <w:rPr>
          <w:rFonts w:ascii="Times New Roman" w:hAnsi="Times New Roman" w:cs="Times New Roman"/>
          <w:sz w:val="20"/>
          <w:szCs w:val="20"/>
        </w:rPr>
        <w:lastRenderedPageBreak/>
        <w:t>1 priedas</w:t>
      </w:r>
    </w:p>
    <w:p w14:paraId="608C1C15" w14:textId="03FC11FC"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i/>
          <w:iCs/>
          <w:sz w:val="20"/>
          <w:szCs w:val="20"/>
        </w:rPr>
        <w:t>:</w:t>
      </w:r>
      <w:r w:rsidR="00632849">
        <w:rPr>
          <w:rFonts w:ascii="Times New Roman" w:hAnsi="Times New Roman" w:cs="Times New Roman"/>
          <w:sz w:val="20"/>
          <w:szCs w:val="20"/>
        </w:rPr>
        <w:t xml:space="preserve"> </w:t>
      </w:r>
      <w:r w:rsidRPr="008F0B3F">
        <w:rPr>
          <w:rFonts w:ascii="Times New Roman" w:hAnsi="Times New Roman" w:cs="Times New Roman"/>
          <w:sz w:val="20"/>
          <w:szCs w:val="20"/>
        </w:rPr>
        <w:t>VMTI Fizinių ir technologijos mokslų centras</w:t>
      </w:r>
    </w:p>
    <w:p w14:paraId="641E595B" w14:textId="77777777" w:rsidR="00632849" w:rsidRPr="00632849" w:rsidRDefault="00632849" w:rsidP="008C5D0B">
      <w:pPr>
        <w:spacing w:after="0" w:line="240" w:lineRule="auto"/>
        <w:jc w:val="center"/>
        <w:rPr>
          <w:rFonts w:ascii="Times New Roman" w:hAnsi="Times New Roman" w:cs="Times New Roman"/>
          <w:b/>
          <w:bCs/>
          <w:sz w:val="16"/>
          <w:szCs w:val="16"/>
        </w:rPr>
      </w:pPr>
    </w:p>
    <w:p w14:paraId="4AB71F70" w14:textId="784AAEBC"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58732297"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15CFB07D" w:rsidR="003F1A7D" w:rsidRPr="008F0B3F" w:rsidRDefault="003F1A7D" w:rsidP="001B09C3">
            <w:pPr>
              <w:widowControl w:val="0"/>
              <w:tabs>
                <w:tab w:val="left" w:pos="1800"/>
              </w:tabs>
              <w:spacing w:after="0"/>
              <w:jc w:val="both"/>
              <w:rPr>
                <w:rFonts w:ascii="Times New Roman" w:hAnsi="Times New Roman" w:cs="Times New Roman"/>
                <w:i/>
                <w:iCs/>
                <w:sz w:val="20"/>
                <w:szCs w:val="20"/>
              </w:rPr>
            </w:pPr>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662299CC"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5BB266E7"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532F2B">
        <w:trPr>
          <w:trHeight w:val="595"/>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38399107" w14:textId="4907A4E1" w:rsidR="00B93714" w:rsidRPr="008F0B3F" w:rsidRDefault="000F7D28" w:rsidP="00532F2B">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6209AEC2" w14:textId="5E41F23B" w:rsidR="005C01A9"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p w14:paraId="3AA2431D" w14:textId="1D689BCA" w:rsidR="00B93714" w:rsidRPr="008F0B3F" w:rsidRDefault="00B93714" w:rsidP="005C01A9">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532F2B">
        <w:trPr>
          <w:trHeight w:val="369"/>
          <w:jc w:val="center"/>
        </w:trPr>
        <w:tc>
          <w:tcPr>
            <w:tcW w:w="5137" w:type="dxa"/>
            <w:gridSpan w:val="2"/>
            <w:shd w:val="clear" w:color="auto" w:fill="D9D9D9" w:themeFill="background1" w:themeFillShade="D9"/>
          </w:tcPr>
          <w:p w14:paraId="122D24D6" w14:textId="22F699DA" w:rsidR="00B93714"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El. pašto adresas</w:t>
            </w:r>
          </w:p>
          <w:p w14:paraId="728DFC47" w14:textId="512D57D1"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06457E9A" w14:textId="77777777" w:rsidR="00836CF8" w:rsidRPr="00632849" w:rsidRDefault="00836CF8" w:rsidP="00836CF8">
      <w:pPr>
        <w:widowControl w:val="0"/>
        <w:tabs>
          <w:tab w:val="left" w:pos="284"/>
        </w:tabs>
        <w:spacing w:after="0" w:line="240" w:lineRule="auto"/>
        <w:ind w:right="280"/>
        <w:rPr>
          <w:rFonts w:ascii="Times New Roman" w:hAnsi="Times New Roman" w:cs="Times New Roman"/>
          <w:bCs/>
          <w:sz w:val="16"/>
          <w:szCs w:val="16"/>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559"/>
        <w:gridCol w:w="2277"/>
        <w:gridCol w:w="4243"/>
      </w:tblGrid>
      <w:tr w:rsidR="000F7D28" w:rsidRPr="008F0B3F" w14:paraId="02369E29"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25037966" w:rsidR="000F7D28" w:rsidRPr="008F0B3F" w:rsidRDefault="000F7D28" w:rsidP="001B09C3">
            <w:pPr>
              <w:spacing w:after="0"/>
              <w:ind w:hanging="109"/>
              <w:jc w:val="center"/>
              <w:rPr>
                <w:rFonts w:ascii="Times New Roman" w:hAnsi="Times New Roman" w:cs="Times New Roman"/>
                <w:sz w:val="20"/>
                <w:szCs w:val="20"/>
              </w:rPr>
            </w:pPr>
            <w:r w:rsidRPr="008F0B3F">
              <w:rPr>
                <w:rFonts w:ascii="Times New Roman" w:hAnsi="Times New Roman" w:cs="Times New Roman"/>
                <w:sz w:val="20"/>
                <w:szCs w:val="20"/>
              </w:rPr>
              <w:t>Eil.</w:t>
            </w:r>
            <w:r w:rsidR="00632849">
              <w:rPr>
                <w:rFonts w:ascii="Times New Roman" w:hAnsi="Times New Roman" w:cs="Times New Roman"/>
                <w:sz w:val="20"/>
                <w:szCs w:val="20"/>
              </w:rPr>
              <w:t xml:space="preserve"> </w:t>
            </w:r>
            <w:r w:rsidRPr="008F0B3F">
              <w:rPr>
                <w:rFonts w:ascii="Times New Roman" w:hAnsi="Times New Roman" w:cs="Times New Roman"/>
                <w:sz w:val="20"/>
                <w:szCs w:val="20"/>
              </w:rPr>
              <w:t>Nr.</w:t>
            </w:r>
          </w:p>
          <w:p w14:paraId="4262EEC4" w14:textId="77777777" w:rsidR="005C01A9" w:rsidRPr="00532F2B" w:rsidRDefault="005C01A9" w:rsidP="001B09C3">
            <w:pPr>
              <w:spacing w:after="0"/>
              <w:ind w:hanging="109"/>
              <w:jc w:val="center"/>
              <w:rPr>
                <w:rFonts w:ascii="Times New Roman" w:hAnsi="Times New Roman" w:cs="Times New Roman"/>
                <w:sz w:val="20"/>
                <w:szCs w:val="20"/>
              </w:rPr>
            </w:pPr>
          </w:p>
          <w:p w14:paraId="003A56CC" w14:textId="538ED90C" w:rsidR="00836CF8" w:rsidRPr="008F0B3F" w:rsidRDefault="00836CF8" w:rsidP="001B09C3">
            <w:pPr>
              <w:spacing w:after="0"/>
              <w:ind w:hanging="109"/>
              <w:jc w:val="center"/>
              <w:rPr>
                <w:rFonts w:ascii="Times New Roman" w:hAnsi="Times New Roman" w:cs="Times New Roman"/>
                <w:i/>
                <w:i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AA8E1" w14:textId="621748E9"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59206F6E" w14:textId="2A297F52"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B4BC" w14:textId="6979008E"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4C5FA5F4" w14:textId="15063E17"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B1EB6" w14:textId="3255001E"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0C6E6573" w14:textId="2B88AEE8"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r>
      <w:tr w:rsidR="000F7D28" w:rsidRPr="008F0B3F" w14:paraId="3A454705"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AE4BC3" w:rsidRPr="008F0B3F" w14:paraId="69FE28F7"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6BBA0FF1" w14:textId="77777777" w:rsidR="00AE4BC3" w:rsidRPr="008F0B3F" w:rsidRDefault="00AE4BC3"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029399"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69E548F2"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1C2C4921"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3C6129">
      <w:pPr>
        <w:tabs>
          <w:tab w:val="left" w:pos="1800"/>
        </w:tabs>
        <w:spacing w:after="0"/>
        <w:ind w:right="280"/>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50D83C96" w14:textId="77777777" w:rsidR="00532F2B" w:rsidRPr="00632849" w:rsidRDefault="00532F2B" w:rsidP="000F7D28">
      <w:pPr>
        <w:widowControl w:val="0"/>
        <w:tabs>
          <w:tab w:val="left" w:pos="1276"/>
        </w:tabs>
        <w:spacing w:after="0"/>
        <w:ind w:left="851" w:right="280"/>
        <w:rPr>
          <w:rFonts w:ascii="Times New Roman" w:hAnsi="Times New Roman" w:cs="Times New Roman"/>
          <w:bCs/>
          <w:sz w:val="16"/>
          <w:szCs w:val="16"/>
        </w:rPr>
      </w:pPr>
    </w:p>
    <w:p w14:paraId="615E187B" w14:textId="77777777" w:rsidR="00F40A17" w:rsidRDefault="00532F2B" w:rsidP="00532F2B">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t>4. Tiekėjo pašalinimo pagrindai</w:t>
      </w:r>
      <w:r w:rsidR="00F40A17">
        <w:rPr>
          <w:rFonts w:ascii="Times New Roman" w:hAnsi="Times New Roman" w:cs="Times New Roman"/>
          <w:bCs/>
          <w:sz w:val="20"/>
          <w:szCs w:val="20"/>
        </w:rPr>
        <w:t>.</w:t>
      </w:r>
    </w:p>
    <w:p w14:paraId="2D5DD6DA" w14:textId="61ACF372" w:rsidR="001D5853" w:rsidRPr="00F40A17" w:rsidRDefault="00F40A17" w:rsidP="00532F2B">
      <w:pPr>
        <w:widowControl w:val="0"/>
        <w:tabs>
          <w:tab w:val="left" w:pos="1276"/>
        </w:tabs>
        <w:spacing w:after="0"/>
        <w:ind w:right="278"/>
        <w:rPr>
          <w:rFonts w:ascii="Times New Roman" w:hAnsi="Times New Roman" w:cs="Times New Roman"/>
          <w:bCs/>
          <w:sz w:val="16"/>
          <w:szCs w:val="16"/>
        </w:rPr>
      </w:pPr>
      <w:r w:rsidRPr="00F40A17">
        <w:rPr>
          <w:rFonts w:ascii="Times New Roman" w:eastAsia="Aptos" w:hAnsi="Times New Roman" w:cs="Times New Roman"/>
          <w:color w:val="000000"/>
          <w:sz w:val="16"/>
          <w:szCs w:val="16"/>
          <w:lang w:eastAsia="lt-LT"/>
        </w:rPr>
        <w:t xml:space="preserve"> Perkančioji organizacija pašalina tiekėją iš pirkimo procedūros, jeigu tiekėjas yra neatlikęs jam paskirtos baudžiamojo poveikio priemonės – uždraudimo juridiniam asmeniui dalyvauti viešuosiuose pirkimuose</w:t>
      </w:r>
      <w:r>
        <w:rPr>
          <w:rFonts w:ascii="Times New Roman" w:eastAsia="Aptos" w:hAnsi="Times New Roman" w:cs="Times New Roman"/>
          <w:color w:val="000000"/>
          <w:sz w:val="16"/>
          <w:szCs w:val="16"/>
          <w:lang w:eastAsia="lt-LT"/>
        </w:rPr>
        <w:t>.</w:t>
      </w:r>
    </w:p>
    <w:tbl>
      <w:tblPr>
        <w:tblW w:w="9378" w:type="dxa"/>
        <w:tblInd w:w="-30" w:type="dxa"/>
        <w:tblLayout w:type="fixed"/>
        <w:tblLook w:val="0000" w:firstRow="0" w:lastRow="0" w:firstColumn="0" w:lastColumn="0" w:noHBand="0" w:noVBand="0"/>
      </w:tblPr>
      <w:tblGrid>
        <w:gridCol w:w="9378"/>
      </w:tblGrid>
      <w:tr w:rsidR="00BD4E59" w:rsidRPr="008F0B3F" w14:paraId="36A0BF46" w14:textId="77777777" w:rsidTr="004A67D4">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DDDDD" w:themeFill="accent1"/>
          </w:tcPr>
          <w:p w14:paraId="2B645BC4" w14:textId="1CB88547" w:rsidR="00BD4E59" w:rsidRPr="00F40A17" w:rsidRDefault="00AE4BC3" w:rsidP="004A67D4">
            <w:pPr>
              <w:shd w:val="clear" w:color="auto" w:fill="DDDDDD" w:themeFill="accent1"/>
              <w:spacing w:after="0" w:line="240" w:lineRule="auto"/>
              <w:jc w:val="both"/>
              <w:rPr>
                <w:rFonts w:ascii="Times New Roman" w:hAnsi="Times New Roman" w:cs="Times New Roman"/>
                <w:b/>
                <w:sz w:val="20"/>
                <w:szCs w:val="20"/>
                <w:highlight w:val="lightGray"/>
              </w:rPr>
            </w:pPr>
            <w:r w:rsidRPr="004A67D4">
              <w:rPr>
                <w:rFonts w:ascii="Times New Roman" w:hAnsi="Times New Roman" w:cs="Times New Roman"/>
                <w:bCs/>
                <w:sz w:val="20"/>
                <w:szCs w:val="20"/>
                <w:highlight w:val="lightGray"/>
              </w:rPr>
              <w:t xml:space="preserve"> </w:t>
            </w:r>
            <w:r w:rsidR="00BD4E59" w:rsidRPr="00F40A17">
              <w:rPr>
                <w:rFonts w:ascii="Times New Roman" w:hAnsi="Times New Roman" w:cs="Times New Roman"/>
                <w:b/>
                <w:sz w:val="20"/>
                <w:szCs w:val="20"/>
                <w:highlight w:val="lightGray"/>
                <w:shd w:val="clear" w:color="auto" w:fill="DDDDDD" w:themeFill="accent1"/>
              </w:rPr>
              <w:t>Tiekėjo pašalinimo pagrindai</w:t>
            </w:r>
            <w:r w:rsidR="006A352C" w:rsidRPr="00F40A17">
              <w:rPr>
                <w:rFonts w:ascii="Times New Roman" w:hAnsi="Times New Roman" w:cs="Times New Roman"/>
                <w:b/>
                <w:sz w:val="20"/>
                <w:szCs w:val="20"/>
                <w:highlight w:val="lightGray"/>
                <w:shd w:val="clear" w:color="auto" w:fill="DDDDDD" w:themeFill="accent1"/>
              </w:rPr>
              <w:t xml:space="preserve"> </w:t>
            </w:r>
            <w:r w:rsidR="006A352C" w:rsidRPr="00F40A17">
              <w:rPr>
                <w:rStyle w:val="Emphasis"/>
                <w:rFonts w:ascii="Times New Roman" w:hAnsi="Times New Roman" w:cs="Times New Roman"/>
                <w:b/>
                <w:i w:val="0"/>
                <w:iCs w:val="0"/>
                <w:sz w:val="20"/>
                <w:szCs w:val="20"/>
                <w:highlight w:val="lightGray"/>
                <w:shd w:val="clear" w:color="auto" w:fill="DDDDDD" w:themeFill="accent1"/>
              </w:rPr>
              <w:t>(VPĮ 46 str. 2</w:t>
            </w:r>
            <w:r w:rsidR="006A352C" w:rsidRPr="00F40A17">
              <w:rPr>
                <w:rStyle w:val="Emphasis"/>
                <w:rFonts w:ascii="Times New Roman" w:hAnsi="Times New Roman" w:cs="Times New Roman"/>
                <w:b/>
                <w:i w:val="0"/>
                <w:iCs w:val="0"/>
                <w:sz w:val="20"/>
                <w:szCs w:val="20"/>
                <w:highlight w:val="lightGray"/>
                <w:shd w:val="clear" w:color="auto" w:fill="DDDDDD" w:themeFill="accent1"/>
                <w:vertAlign w:val="superscript"/>
              </w:rPr>
              <w:t>1</w:t>
            </w:r>
            <w:r w:rsidR="006A352C" w:rsidRPr="00F40A17">
              <w:rPr>
                <w:rStyle w:val="Emphasis"/>
                <w:rFonts w:ascii="Times New Roman" w:hAnsi="Times New Roman" w:cs="Times New Roman"/>
                <w:b/>
                <w:i w:val="0"/>
                <w:iCs w:val="0"/>
                <w:sz w:val="20"/>
                <w:szCs w:val="20"/>
                <w:highlight w:val="lightGray"/>
                <w:shd w:val="clear" w:color="auto" w:fill="DDDDDD" w:themeFill="accent1"/>
              </w:rPr>
              <w:t xml:space="preserve"> d.)</w:t>
            </w:r>
            <w:r w:rsidR="00BD4E59" w:rsidRPr="00F40A17">
              <w:rPr>
                <w:rFonts w:ascii="Times New Roman" w:hAnsi="Times New Roman" w:cs="Times New Roman"/>
                <w:b/>
                <w:i/>
                <w:iCs/>
                <w:sz w:val="20"/>
                <w:szCs w:val="20"/>
                <w:highlight w:val="lightGray"/>
                <w:shd w:val="clear" w:color="auto" w:fill="DDDDDD" w:themeFill="accent1"/>
              </w:rPr>
              <w:t>*</w:t>
            </w:r>
            <w:r w:rsidR="00683117" w:rsidRPr="00F40A17">
              <w:rPr>
                <w:rFonts w:ascii="Times New Roman" w:hAnsi="Times New Roman" w:cs="Times New Roman"/>
                <w:b/>
                <w:sz w:val="20"/>
                <w:szCs w:val="20"/>
                <w:highlight w:val="lightGray"/>
              </w:rPr>
              <w:t xml:space="preserve"> </w:t>
            </w:r>
          </w:p>
          <w:p w14:paraId="4FD4ED4F" w14:textId="12C85B54" w:rsidR="00BD4E59" w:rsidRPr="004A67D4" w:rsidRDefault="00BD4E59" w:rsidP="00AE4BC3">
            <w:pPr>
              <w:spacing w:after="0" w:line="240" w:lineRule="auto"/>
              <w:jc w:val="both"/>
              <w:rPr>
                <w:rFonts w:ascii="Times New Roman" w:eastAsia="Aptos" w:hAnsi="Times New Roman" w:cs="Times New Roman"/>
                <w:color w:val="000000"/>
                <w:sz w:val="16"/>
                <w:szCs w:val="16"/>
                <w:highlight w:val="lightGray"/>
                <w:lang w:eastAsia="lt-LT"/>
              </w:rPr>
            </w:pPr>
          </w:p>
        </w:tc>
      </w:tr>
      <w:tr w:rsidR="001D5853" w:rsidRPr="008F0B3F" w14:paraId="44EBB85E"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B897F76" w14:textId="5AB548EF" w:rsidR="001D5853" w:rsidRPr="008F0B3F" w:rsidRDefault="001D5853" w:rsidP="00AE4BC3">
            <w:pPr>
              <w:spacing w:after="0" w:line="24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neatlikęs 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r w:rsidR="001D5853" w:rsidRPr="008F0B3F" w14:paraId="332B02C3"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601F7DD3" w14:textId="77BBE146" w:rsidR="001D5853" w:rsidRPr="008F0B3F" w:rsidRDefault="001D5853" w:rsidP="00157021">
            <w:pPr>
              <w:widowControl w:val="0"/>
              <w:tabs>
                <w:tab w:val="left" w:pos="1276"/>
              </w:tabs>
              <w:spacing w:after="0"/>
              <w:ind w:right="278"/>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atlikęs jam paskirtos baudžiamojo poveikio priemonės – uždraudimo juridiniam asmeniui dalyvauti viešuosiuose pirkimuose</w:t>
            </w:r>
            <w:r>
              <w:rPr>
                <w:rFonts w:ascii="Times New Roman" w:eastAsia="Aptos" w:hAnsi="Times New Roman" w:cs="Times New Roman"/>
                <w:color w:val="000000"/>
                <w:sz w:val="20"/>
                <w:szCs w:val="20"/>
                <w:lang w:eastAsia="lt-LT"/>
              </w:rPr>
              <w:t>.</w:t>
            </w:r>
          </w:p>
        </w:tc>
      </w:tr>
      <w:tr w:rsidR="001D5853" w:rsidRPr="008F0B3F" w14:paraId="6229E682"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220CDA92" w14:textId="7DBE3336" w:rsidR="001D5853" w:rsidRPr="008F0B3F" w:rsidRDefault="001D5853" w:rsidP="00AE4BC3">
            <w:pPr>
              <w:spacing w:after="0" w:line="30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w:t>
            </w:r>
            <w:r>
              <w:rPr>
                <w:rFonts w:ascii="Times New Roman" w:eastAsia="Aptos" w:hAnsi="Times New Roman" w:cs="Times New Roman"/>
                <w:color w:val="000000"/>
                <w:sz w:val="20"/>
                <w:szCs w:val="20"/>
                <w:lang w:eastAsia="lt-LT"/>
              </w:rPr>
              <w:t>as</w:t>
            </w:r>
            <w:r w:rsidRPr="0038234E">
              <w:rPr>
                <w:rFonts w:ascii="Times New Roman" w:eastAsia="Aptos" w:hAnsi="Times New Roman" w:cs="Times New Roman"/>
                <w:color w:val="000000"/>
                <w:sz w:val="20"/>
                <w:szCs w:val="20"/>
                <w:lang w:eastAsia="lt-LT"/>
              </w:rPr>
              <w:t xml:space="preserve"> </w:t>
            </w:r>
            <w:r>
              <w:rPr>
                <w:rFonts w:ascii="Times New Roman" w:eastAsia="Aptos" w:hAnsi="Times New Roman" w:cs="Times New Roman"/>
                <w:color w:val="000000"/>
                <w:sz w:val="20"/>
                <w:szCs w:val="20"/>
                <w:lang w:eastAsia="lt-LT"/>
              </w:rPr>
              <w:t xml:space="preserve">neturi </w:t>
            </w:r>
            <w:r w:rsidRPr="0038234E">
              <w:rPr>
                <w:rFonts w:ascii="Times New Roman" w:eastAsia="Aptos" w:hAnsi="Times New Roman" w:cs="Times New Roman"/>
                <w:color w:val="000000"/>
                <w:sz w:val="20"/>
                <w:szCs w:val="20"/>
                <w:lang w:eastAsia="lt-LT"/>
              </w:rPr>
              <w:t>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bl>
    <w:p w14:paraId="7C44EC70" w14:textId="667024E7" w:rsidR="001D5853" w:rsidRPr="00157021" w:rsidRDefault="00AE4BC3" w:rsidP="00AE4BC3">
      <w:pPr>
        <w:widowControl w:val="0"/>
        <w:tabs>
          <w:tab w:val="left" w:pos="1276"/>
        </w:tabs>
        <w:spacing w:after="0"/>
        <w:ind w:right="278"/>
        <w:rPr>
          <w:rFonts w:ascii="Times New Roman" w:hAnsi="Times New Roman" w:cs="Times New Roman"/>
          <w:b/>
          <w:sz w:val="16"/>
          <w:szCs w:val="16"/>
        </w:rPr>
      </w:pPr>
      <w:r w:rsidRPr="003C6129">
        <w:rPr>
          <w:rFonts w:ascii="Times New Roman" w:hAnsi="Times New Roman" w:cs="Times New Roman"/>
          <w:b/>
          <w:sz w:val="16"/>
          <w:szCs w:val="16"/>
          <w:highlight w:val="yellow"/>
        </w:rPr>
        <w:t xml:space="preserve">* Lentelėje palikti </w:t>
      </w:r>
      <w:r w:rsidR="006A352C" w:rsidRPr="003C6129">
        <w:rPr>
          <w:rFonts w:ascii="Times New Roman" w:hAnsi="Times New Roman" w:cs="Times New Roman"/>
          <w:b/>
          <w:sz w:val="16"/>
          <w:szCs w:val="16"/>
          <w:highlight w:val="yellow"/>
        </w:rPr>
        <w:t xml:space="preserve">tiekėjui </w:t>
      </w:r>
      <w:r w:rsidRPr="003C6129">
        <w:rPr>
          <w:rFonts w:ascii="Times New Roman" w:hAnsi="Times New Roman" w:cs="Times New Roman"/>
          <w:b/>
          <w:sz w:val="16"/>
          <w:szCs w:val="16"/>
          <w:highlight w:val="yellow"/>
        </w:rPr>
        <w:t>aktual</w:t>
      </w:r>
      <w:r w:rsidR="00865416" w:rsidRPr="003C6129">
        <w:rPr>
          <w:rFonts w:ascii="Times New Roman" w:hAnsi="Times New Roman" w:cs="Times New Roman"/>
          <w:b/>
          <w:sz w:val="16"/>
          <w:szCs w:val="16"/>
          <w:highlight w:val="yellow"/>
        </w:rPr>
        <w:t>ią informaciją</w:t>
      </w:r>
      <w:r w:rsidR="00632849" w:rsidRPr="003C6129">
        <w:rPr>
          <w:rFonts w:ascii="Times New Roman" w:hAnsi="Times New Roman" w:cs="Times New Roman"/>
          <w:b/>
          <w:sz w:val="16"/>
          <w:szCs w:val="16"/>
          <w:highlight w:val="yellow"/>
        </w:rPr>
        <w:t>.</w:t>
      </w:r>
    </w:p>
    <w:p w14:paraId="74710135" w14:textId="77777777" w:rsidR="001D5853" w:rsidRPr="00532F2B" w:rsidRDefault="001D5853" w:rsidP="000F7D28">
      <w:pPr>
        <w:widowControl w:val="0"/>
        <w:tabs>
          <w:tab w:val="left" w:pos="1276"/>
        </w:tabs>
        <w:spacing w:after="0"/>
        <w:ind w:left="851" w:right="280"/>
        <w:rPr>
          <w:rFonts w:ascii="Times New Roman" w:hAnsi="Times New Roman" w:cs="Times New Roman"/>
          <w:bCs/>
          <w:sz w:val="16"/>
          <w:szCs w:val="16"/>
        </w:rPr>
      </w:pPr>
    </w:p>
    <w:p w14:paraId="6A69F0BB" w14:textId="3B0EDC3C" w:rsidR="00A358E8" w:rsidRPr="008F0B3F" w:rsidRDefault="00532F2B" w:rsidP="00AE4BC3">
      <w:pPr>
        <w:widowControl w:val="0"/>
        <w:tabs>
          <w:tab w:val="left" w:pos="284"/>
        </w:tabs>
        <w:spacing w:after="0" w:line="240" w:lineRule="auto"/>
        <w:ind w:right="278"/>
        <w:jc w:val="both"/>
        <w:rPr>
          <w:rFonts w:ascii="Times New Roman" w:hAnsi="Times New Roman" w:cs="Times New Roman"/>
          <w:bCs/>
          <w:sz w:val="20"/>
          <w:szCs w:val="20"/>
        </w:rPr>
      </w:pPr>
      <w:r>
        <w:rPr>
          <w:rFonts w:ascii="Times New Roman" w:hAnsi="Times New Roman" w:cs="Times New Roman"/>
          <w:sz w:val="20"/>
          <w:szCs w:val="20"/>
        </w:rPr>
        <w:t xml:space="preserve">5. </w:t>
      </w:r>
      <w:r w:rsidR="00AE4BC3">
        <w:rPr>
          <w:rFonts w:ascii="Times New Roman" w:hAnsi="Times New Roman" w:cs="Times New Roman"/>
          <w:sz w:val="20"/>
          <w:szCs w:val="20"/>
        </w:rPr>
        <w:t>Š</w:t>
      </w:r>
      <w:r w:rsidR="000F7D28" w:rsidRPr="008F0B3F">
        <w:rPr>
          <w:rFonts w:ascii="Times New Roman" w:hAnsi="Times New Roman" w:cs="Times New Roman"/>
          <w:sz w:val="20"/>
          <w:szCs w:val="20"/>
        </w:rPr>
        <w:t xml:space="preserve">iame pasiūlyme yra pateikta ir konfidenciali informacija (perkančioji organizacija šios informacijos negali atskleisti tretiesiems asmenims. </w:t>
      </w:r>
      <w:r w:rsidR="000F7D28"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tbl>
      <w:tblPr>
        <w:tblW w:w="9378" w:type="dxa"/>
        <w:tblInd w:w="-30" w:type="dxa"/>
        <w:tblLayout w:type="fixed"/>
        <w:tblLook w:val="0000" w:firstRow="0" w:lastRow="0" w:firstColumn="0" w:lastColumn="0" w:noHBand="0" w:noVBand="0"/>
      </w:tblPr>
      <w:tblGrid>
        <w:gridCol w:w="9378"/>
      </w:tblGrid>
      <w:tr w:rsidR="00C77987" w:rsidRPr="008F0B3F" w14:paraId="59A5BB4D" w14:textId="77777777" w:rsidTr="00532F2B">
        <w:trPr>
          <w:trHeight w:val="439"/>
        </w:trPr>
        <w:tc>
          <w:tcPr>
            <w:tcW w:w="93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674E6A" w14:textId="44E4CF26" w:rsidR="00C77987" w:rsidRPr="007774D1" w:rsidRDefault="00C77987" w:rsidP="00472C99">
            <w:pPr>
              <w:autoSpaceDE w:val="0"/>
              <w:autoSpaceDN w:val="0"/>
              <w:adjustRightInd w:val="0"/>
              <w:spacing w:after="0"/>
              <w:rPr>
                <w:rFonts w:ascii="Times New Roman" w:hAnsi="Times New Roman" w:cs="Times New Roman"/>
                <w:color w:val="000000"/>
                <w:sz w:val="20"/>
                <w:szCs w:val="20"/>
              </w:rPr>
            </w:pPr>
            <w:r w:rsidRPr="008F0B3F">
              <w:rPr>
                <w:rFonts w:ascii="Times New Roman" w:hAnsi="Times New Roman" w:cs="Times New Roman"/>
                <w:color w:val="000000"/>
                <w:sz w:val="20"/>
                <w:szCs w:val="20"/>
              </w:rPr>
              <w:t>Dokumento pavadinimas</w:t>
            </w:r>
          </w:p>
        </w:tc>
      </w:tr>
      <w:tr w:rsidR="00C77987" w:rsidRPr="008F0B3F" w14:paraId="1E285AB0"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DB4EAF8" w:rsidR="000F7D28" w:rsidRPr="00632849" w:rsidRDefault="000F7D28" w:rsidP="00532F2B">
      <w:pPr>
        <w:widowControl w:val="0"/>
        <w:spacing w:after="0"/>
        <w:jc w:val="both"/>
        <w:rPr>
          <w:rFonts w:ascii="Times New Roman" w:hAnsi="Times New Roman" w:cs="Times New Roman"/>
          <w:sz w:val="18"/>
          <w:szCs w:val="18"/>
          <w:lang w:eastAsia="ar-SA"/>
        </w:rPr>
      </w:pPr>
      <w:r w:rsidRPr="00632849">
        <w:rPr>
          <w:rFonts w:ascii="Times New Roman" w:hAnsi="Times New Roman" w:cs="Times New Roman"/>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573D731" w14:textId="176801D6" w:rsidR="0038234E" w:rsidRPr="003C6129" w:rsidRDefault="00F40A17" w:rsidP="0038234E">
      <w:pPr>
        <w:suppressAutoHyphens/>
        <w:spacing w:after="0" w:line="240" w:lineRule="auto"/>
        <w:jc w:val="right"/>
        <w:rPr>
          <w:rFonts w:ascii="Times New Roman" w:eastAsia="Times New Roman" w:hAnsi="Times New Roman" w:cs="Times New Roman"/>
          <w:noProof/>
          <w:color w:val="000000"/>
          <w:sz w:val="20"/>
          <w:szCs w:val="20"/>
          <w:lang w:eastAsia="lt-LT"/>
        </w:rPr>
      </w:pPr>
      <w:bookmarkStart w:id="2" w:name="_Hlk115099125"/>
      <w:r w:rsidRPr="003C6129">
        <w:rPr>
          <w:rFonts w:ascii="Times New Roman" w:eastAsia="Times New Roman" w:hAnsi="Times New Roman" w:cs="Times New Roman"/>
          <w:noProof/>
          <w:color w:val="000000"/>
          <w:sz w:val="20"/>
          <w:szCs w:val="20"/>
          <w:lang w:eastAsia="lt-LT"/>
        </w:rPr>
        <w:lastRenderedPageBreak/>
        <w:t>3</w:t>
      </w:r>
      <w:r w:rsidR="0038234E" w:rsidRPr="003C6129">
        <w:rPr>
          <w:rFonts w:ascii="Times New Roman" w:eastAsia="Times New Roman" w:hAnsi="Times New Roman" w:cs="Times New Roman"/>
          <w:noProof/>
          <w:color w:val="000000"/>
          <w:sz w:val="20"/>
          <w:szCs w:val="20"/>
          <w:lang w:eastAsia="lt-LT"/>
        </w:rPr>
        <w:t xml:space="preserve"> priedas </w:t>
      </w:r>
    </w:p>
    <w:p w14:paraId="0B514049"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6BCF01E" w14:textId="03F93ACB"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r w:rsidRPr="009B3AE8">
        <w:rPr>
          <w:rFonts w:ascii="Times New Roman" w:eastAsia="Times New Roman" w:hAnsi="Times New Roman" w:cs="Times New Roman"/>
          <w:b/>
          <w:bCs/>
          <w:noProof/>
          <w:color w:val="000000"/>
          <w:lang w:eastAsia="lt-LT"/>
        </w:rPr>
        <w:t>Sutarties sąlygos</w:t>
      </w:r>
    </w:p>
    <w:p w14:paraId="7643238D" w14:textId="77777777"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p>
    <w:p w14:paraId="35445672" w14:textId="54299E73" w:rsidR="00395D6E" w:rsidRDefault="006A4F0D" w:rsidP="00395D6E">
      <w:pPr>
        <w:suppressAutoHyphens/>
        <w:spacing w:after="0" w:line="240" w:lineRule="auto"/>
        <w:jc w:val="both"/>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Darbai turi būti atlikti iki 2025-08-15. Tai yra esminė sutarties sąlyga.</w:t>
      </w:r>
    </w:p>
    <w:p w14:paraId="2D4E7809" w14:textId="77777777" w:rsidR="006A4F0D" w:rsidRDefault="006A4F0D" w:rsidP="00395D6E">
      <w:pPr>
        <w:suppressAutoHyphens/>
        <w:spacing w:after="0" w:line="240" w:lineRule="auto"/>
        <w:jc w:val="both"/>
        <w:rPr>
          <w:rFonts w:ascii="Times New Roman" w:eastAsia="Times New Roman" w:hAnsi="Times New Roman" w:cs="Times New Roman"/>
          <w:sz w:val="24"/>
          <w:szCs w:val="24"/>
        </w:rPr>
      </w:pPr>
      <w:r w:rsidRPr="006A4F0D">
        <w:rPr>
          <w:rFonts w:ascii="Times New Roman" w:eastAsia="Times New Roman" w:hAnsi="Times New Roman" w:cs="Times New Roman"/>
          <w:sz w:val="24"/>
          <w:szCs w:val="24"/>
        </w:rPr>
        <w:t>Atsiskaitymas:</w:t>
      </w:r>
      <w:r w:rsidRPr="00FA3258">
        <w:rPr>
          <w:rFonts w:ascii="Times New Roman" w:eastAsia="Times New Roman" w:hAnsi="Times New Roman" w:cs="Times New Roman"/>
          <w:sz w:val="24"/>
          <w:szCs w:val="24"/>
        </w:rPr>
        <w:t xml:space="preserve"> 14 d. d. po pilno darbų atlikimo</w:t>
      </w:r>
      <w:r>
        <w:rPr>
          <w:rFonts w:ascii="Times New Roman" w:eastAsia="Times New Roman" w:hAnsi="Times New Roman" w:cs="Times New Roman"/>
          <w:sz w:val="24"/>
          <w:szCs w:val="24"/>
        </w:rPr>
        <w:t>.</w:t>
      </w:r>
    </w:p>
    <w:p w14:paraId="5BB08EA6" w14:textId="05AA1336" w:rsidR="006A4F0D" w:rsidRDefault="006A4F0D" w:rsidP="00395D6E">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Avansas nebus mokamas</w:t>
      </w:r>
      <w:r w:rsidRPr="00FA3258">
        <w:rPr>
          <w:rFonts w:ascii="Times New Roman" w:eastAsia="Times New Roman" w:hAnsi="Times New Roman" w:cs="Times New Roman"/>
          <w:sz w:val="24"/>
          <w:szCs w:val="24"/>
        </w:rPr>
        <w:t>.</w:t>
      </w:r>
    </w:p>
    <w:p w14:paraId="68AFAFB1" w14:textId="564CA07C" w:rsidR="006A4F0D" w:rsidRPr="00395D6E" w:rsidRDefault="006A4F0D" w:rsidP="00395D6E">
      <w:pPr>
        <w:suppressAutoHyphens/>
        <w:spacing w:after="0" w:line="240" w:lineRule="auto"/>
        <w:jc w:val="both"/>
        <w:rPr>
          <w:rFonts w:ascii="Times New Roman" w:eastAsia="Times New Roman" w:hAnsi="Times New Roman" w:cs="Times New Roman"/>
          <w:noProof/>
          <w:color w:val="000000"/>
          <w:lang w:eastAsia="lt-LT"/>
        </w:rPr>
      </w:pPr>
      <w:r>
        <w:rPr>
          <w:rFonts w:ascii="Times New Roman" w:eastAsia="Times New Roman" w:hAnsi="Times New Roman" w:cs="Times New Roman"/>
          <w:sz w:val="24"/>
          <w:szCs w:val="24"/>
        </w:rPr>
        <w:t>Dalinis apmokėjimas negalimas.</w:t>
      </w:r>
    </w:p>
    <w:p w14:paraId="19B51AE6" w14:textId="77777777" w:rsidR="00395D6E" w:rsidRPr="00395D6E" w:rsidRDefault="00395D6E" w:rsidP="00395D6E">
      <w:pPr>
        <w:suppressAutoHyphens/>
        <w:spacing w:after="0" w:line="240" w:lineRule="auto"/>
        <w:rPr>
          <w:rFonts w:ascii="Times New Roman" w:eastAsia="Times New Roman" w:hAnsi="Times New Roman" w:cs="Times New Roman"/>
          <w:b/>
          <w:noProof/>
          <w:color w:val="000000" w:themeColor="text1"/>
          <w:lang w:eastAsia="lt-LT"/>
        </w:rPr>
      </w:pPr>
    </w:p>
    <w:p w14:paraId="4699BAB2" w14:textId="77777777" w:rsidR="00395D6E" w:rsidRPr="00395D6E" w:rsidRDefault="00395D6E" w:rsidP="00395D6E">
      <w:pPr>
        <w:numPr>
          <w:ilvl w:val="0"/>
          <w:numId w:val="15"/>
        </w:numPr>
        <w:suppressAutoHyphens/>
        <w:spacing w:after="0" w:line="240" w:lineRule="auto"/>
        <w:ind w:left="720" w:firstLine="709"/>
        <w:contextualSpacing/>
        <w:jc w:val="both"/>
        <w:rPr>
          <w:rFonts w:ascii="Times New Roman" w:eastAsia="Arial Unicode MS" w:hAnsi="Times New Roman" w:cs="Times New Roman"/>
          <w:noProof/>
        </w:rPr>
      </w:pPr>
      <w:r w:rsidRPr="00395D6E">
        <w:rPr>
          <w:rFonts w:ascii="Times New Roman" w:eastAsia="Arial Unicode MS" w:hAnsi="Times New Roman" w:cs="Times New Roman"/>
          <w:b/>
          <w:lang w:eastAsia="zh-CN"/>
        </w:rPr>
        <w:t>Sutarties neįvykdymas</w:t>
      </w:r>
      <w:r w:rsidRPr="00395D6E">
        <w:rPr>
          <w:rFonts w:ascii="Times New Roman" w:eastAsia="Arial Unicode MS" w:hAnsi="Times New Roman" w:cs="Times New Roman"/>
          <w:noProof/>
          <w:lang w:eastAsia="zh-CN"/>
        </w:rPr>
        <w:t xml:space="preserve">: </w:t>
      </w:r>
    </w:p>
    <w:p w14:paraId="129C2432" w14:textId="77777777" w:rsidR="00395D6E" w:rsidRPr="00395D6E" w:rsidRDefault="00395D6E" w:rsidP="00395D6E">
      <w:pPr>
        <w:numPr>
          <w:ilvl w:val="1"/>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 xml:space="preserve">Sutarties įvykdymo užtikrinimo vertė - 5 (penki) proc. nuo bendros Sutarties kainos su PVM. Nustatomi delspinigiai abiems Šalims už įsipareigojimų nevykdymą – 0,02 </w:t>
      </w:r>
      <w:r w:rsidRPr="00395D6E">
        <w:rPr>
          <w:rFonts w:ascii="Times New Roman" w:eastAsia="Arial Unicode MS" w:hAnsi="Times New Roman" w:cs="Times New Roman"/>
          <w:noProof/>
          <w:lang w:val="en-US" w:eastAsia="zh-CN"/>
        </w:rPr>
        <w:t>% per dien</w:t>
      </w:r>
      <w:r w:rsidRPr="00395D6E">
        <w:rPr>
          <w:rFonts w:ascii="Times New Roman" w:eastAsia="Arial Unicode MS" w:hAnsi="Times New Roman" w:cs="Times New Roman"/>
          <w:noProof/>
          <w:lang w:eastAsia="zh-CN"/>
        </w:rPr>
        <w:t>ą. Jei visos prekės ar dalis prekių nėra pristatytos ar kiti tiekėjo įsipareigojimai nėra įvykdyti, Pirkėjas, pranešdamas apie tai raštu Pardavėjui:</w:t>
      </w:r>
    </w:p>
    <w:p w14:paraId="0B254A5D"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vienašališkai nutrauks Sutartį;</w:t>
      </w:r>
    </w:p>
    <w:p w14:paraId="30A28E1B"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pasinaudos Sutarties užtikrinimu – bauda (bauda sumokama per 5 darbo dienas nuo perkančiosios organizacijos pranešimo gavimo dienos).</w:t>
      </w:r>
    </w:p>
    <w:p w14:paraId="67325DC0"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įtrauks tiekėją į nepatikimų tiekėjų sąrąšą, skelbiamą Viešųjų pirkimų tarnybos.</w:t>
      </w:r>
    </w:p>
    <w:p w14:paraId="12437495" w14:textId="77777777" w:rsidR="00395D6E" w:rsidRPr="00395D6E" w:rsidRDefault="00395D6E" w:rsidP="00395D6E">
      <w:pPr>
        <w:numPr>
          <w:ilvl w:val="0"/>
          <w:numId w:val="15"/>
        </w:numPr>
        <w:suppressAutoHyphens/>
        <w:spacing w:after="0" w:line="240" w:lineRule="auto"/>
        <w:ind w:left="720"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b/>
          <w:noProof/>
          <w:lang w:eastAsia="zh-CN"/>
        </w:rPr>
        <w:t>Papildomi žaliųjų pirkimų reikalavimai.</w:t>
      </w:r>
      <w:r w:rsidRPr="00395D6E">
        <w:rPr>
          <w:rFonts w:ascii="Times New Roman" w:eastAsia="Arial Unicode MS" w:hAnsi="Times New Roman" w:cs="Times New Roman"/>
          <w:noProof/>
          <w:lang w:eastAsia="zh-CN"/>
        </w:rPr>
        <w:t xml:space="preserve"> </w:t>
      </w:r>
      <w:r w:rsidRPr="00395D6E">
        <w:rPr>
          <w:rFonts w:ascii="Times New Roman" w:eastAsia="Arial Unicode MS" w:hAnsi="Times New Roman" w:cs="Times New Roman"/>
          <w:lang w:eastAsia="zh-CN"/>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5C83870B" w14:textId="036D4703" w:rsidR="00395D6E" w:rsidRDefault="00DC3484" w:rsidP="00DC3484">
      <w:pPr>
        <w:suppressAutoHyphens/>
        <w:spacing w:before="100" w:beforeAutospacing="1" w:after="40" w:line="240" w:lineRule="auto"/>
        <w:jc w:val="center"/>
        <w:rPr>
          <w:rFonts w:ascii="Times New Roman" w:eastAsia="Times New Roman" w:hAnsi="Times New Roman" w:cs="Times New Roman"/>
          <w:bCs/>
          <w:noProof/>
          <w:color w:val="000000" w:themeColor="text1"/>
          <w:lang w:eastAsia="lt-LT"/>
        </w:rPr>
      </w:pPr>
      <w:r>
        <w:rPr>
          <w:rFonts w:ascii="Times New Roman" w:eastAsia="Times New Roman" w:hAnsi="Times New Roman" w:cs="Times New Roman"/>
          <w:bCs/>
          <w:noProof/>
          <w:color w:val="000000" w:themeColor="text1"/>
          <w:lang w:eastAsia="lt-LT"/>
        </w:rPr>
        <w:t>____________________</w:t>
      </w:r>
    </w:p>
    <w:bookmarkEnd w:id="2"/>
    <w:p w14:paraId="0D7D2271" w14:textId="77777777" w:rsidR="00395D6E" w:rsidRDefault="00395D6E" w:rsidP="008001D8">
      <w:pPr>
        <w:suppressAutoHyphens/>
        <w:spacing w:before="100" w:beforeAutospacing="1" w:after="40" w:line="240" w:lineRule="auto"/>
        <w:rPr>
          <w:rFonts w:ascii="Times New Roman" w:eastAsia="Times New Roman" w:hAnsi="Times New Roman" w:cs="Times New Roman"/>
          <w:bCs/>
          <w:noProof/>
          <w:color w:val="000000" w:themeColor="text1"/>
          <w:lang w:eastAsia="lt-LT"/>
        </w:rPr>
      </w:pPr>
    </w:p>
    <w:sectPr w:rsidR="00395D6E"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68C498F"/>
    <w:multiLevelType w:val="hybridMultilevel"/>
    <w:tmpl w:val="C840FDB8"/>
    <w:lvl w:ilvl="0" w:tplc="08C4A0BC">
      <w:start w:val="3"/>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5A7648D"/>
    <w:multiLevelType w:val="multilevel"/>
    <w:tmpl w:val="3EB65D30"/>
    <w:lvl w:ilvl="0">
      <w:start w:val="1"/>
      <w:numFmt w:val="decimal"/>
      <w:lvlText w:val="%1."/>
      <w:lvlJc w:val="left"/>
      <w:pPr>
        <w:ind w:left="502"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AF0238"/>
    <w:multiLevelType w:val="hybridMultilevel"/>
    <w:tmpl w:val="2DCC601E"/>
    <w:lvl w:ilvl="0" w:tplc="979845DA">
      <w:start w:val="3"/>
      <w:numFmt w:val="bullet"/>
      <w:lvlText w:val=""/>
      <w:lvlJc w:val="left"/>
      <w:pPr>
        <w:ind w:left="1211" w:hanging="360"/>
      </w:pPr>
      <w:rPr>
        <w:rFonts w:ascii="Symbol" w:eastAsiaTheme="minorHAnsi" w:hAnsi="Symbol"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9"/>
  </w:num>
  <w:num w:numId="2">
    <w:abstractNumId w:val="14"/>
  </w:num>
  <w:num w:numId="3">
    <w:abstractNumId w:val="0"/>
  </w:num>
  <w:num w:numId="4">
    <w:abstractNumId w:val="7"/>
  </w:num>
  <w:num w:numId="5">
    <w:abstractNumId w:val="4"/>
  </w:num>
  <w:num w:numId="6">
    <w:abstractNumId w:val="5"/>
  </w:num>
  <w:num w:numId="7">
    <w:abstractNumId w:val="12"/>
  </w:num>
  <w:num w:numId="8">
    <w:abstractNumId w:val="10"/>
  </w:num>
  <w:num w:numId="9">
    <w:abstractNumId w:val="2"/>
  </w:num>
  <w:num w:numId="10">
    <w:abstractNumId w:val="1"/>
  </w:num>
  <w:num w:numId="11">
    <w:abstractNumId w:val="8"/>
  </w:num>
  <w:num w:numId="12">
    <w:abstractNumId w:val="13"/>
  </w:num>
  <w:num w:numId="13">
    <w:abstractNumId w:val="3"/>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737B7"/>
    <w:rsid w:val="000D196C"/>
    <w:rsid w:val="000F4151"/>
    <w:rsid w:val="000F7D28"/>
    <w:rsid w:val="00151E1C"/>
    <w:rsid w:val="00157021"/>
    <w:rsid w:val="0017012C"/>
    <w:rsid w:val="001D5853"/>
    <w:rsid w:val="00203E51"/>
    <w:rsid w:val="00294BD2"/>
    <w:rsid w:val="00297FD3"/>
    <w:rsid w:val="002C6BF6"/>
    <w:rsid w:val="002D0800"/>
    <w:rsid w:val="002D79E6"/>
    <w:rsid w:val="002E01B2"/>
    <w:rsid w:val="002E3179"/>
    <w:rsid w:val="002F3BD7"/>
    <w:rsid w:val="002F7A65"/>
    <w:rsid w:val="00303AB7"/>
    <w:rsid w:val="003333D0"/>
    <w:rsid w:val="0038234E"/>
    <w:rsid w:val="00395D6E"/>
    <w:rsid w:val="003B4B30"/>
    <w:rsid w:val="003C6129"/>
    <w:rsid w:val="003D38CE"/>
    <w:rsid w:val="003F1A7D"/>
    <w:rsid w:val="00401BEB"/>
    <w:rsid w:val="004634A9"/>
    <w:rsid w:val="00472C99"/>
    <w:rsid w:val="00482BEE"/>
    <w:rsid w:val="004A67D4"/>
    <w:rsid w:val="004F092E"/>
    <w:rsid w:val="005057A9"/>
    <w:rsid w:val="00532F2B"/>
    <w:rsid w:val="00547A3C"/>
    <w:rsid w:val="005640A8"/>
    <w:rsid w:val="00574E9A"/>
    <w:rsid w:val="0059143E"/>
    <w:rsid w:val="005B37BD"/>
    <w:rsid w:val="005C01A9"/>
    <w:rsid w:val="005F6310"/>
    <w:rsid w:val="006161E3"/>
    <w:rsid w:val="0062522C"/>
    <w:rsid w:val="00632157"/>
    <w:rsid w:val="00632849"/>
    <w:rsid w:val="00651473"/>
    <w:rsid w:val="00654D80"/>
    <w:rsid w:val="00683117"/>
    <w:rsid w:val="00687A9D"/>
    <w:rsid w:val="00691361"/>
    <w:rsid w:val="006A352C"/>
    <w:rsid w:val="006A4F0D"/>
    <w:rsid w:val="006A50CE"/>
    <w:rsid w:val="006B54E0"/>
    <w:rsid w:val="00725D25"/>
    <w:rsid w:val="00731308"/>
    <w:rsid w:val="007774D1"/>
    <w:rsid w:val="00794036"/>
    <w:rsid w:val="007E3BCB"/>
    <w:rsid w:val="008001D8"/>
    <w:rsid w:val="00836CF8"/>
    <w:rsid w:val="00865416"/>
    <w:rsid w:val="008766A3"/>
    <w:rsid w:val="008B0CC7"/>
    <w:rsid w:val="008C5D0B"/>
    <w:rsid w:val="008F0B3F"/>
    <w:rsid w:val="009B1644"/>
    <w:rsid w:val="009B3AE8"/>
    <w:rsid w:val="009C6FD5"/>
    <w:rsid w:val="00A147FD"/>
    <w:rsid w:val="00A32596"/>
    <w:rsid w:val="00A358E8"/>
    <w:rsid w:val="00A73584"/>
    <w:rsid w:val="00AD5DCA"/>
    <w:rsid w:val="00AE4BC3"/>
    <w:rsid w:val="00B022F6"/>
    <w:rsid w:val="00B502E2"/>
    <w:rsid w:val="00B5144E"/>
    <w:rsid w:val="00B64EEB"/>
    <w:rsid w:val="00B93714"/>
    <w:rsid w:val="00BA5A99"/>
    <w:rsid w:val="00BD4E59"/>
    <w:rsid w:val="00C03519"/>
    <w:rsid w:val="00C06715"/>
    <w:rsid w:val="00C21860"/>
    <w:rsid w:val="00C4092D"/>
    <w:rsid w:val="00C413B4"/>
    <w:rsid w:val="00C45293"/>
    <w:rsid w:val="00C46042"/>
    <w:rsid w:val="00C76CC9"/>
    <w:rsid w:val="00C77987"/>
    <w:rsid w:val="00C802C5"/>
    <w:rsid w:val="00CC532C"/>
    <w:rsid w:val="00CE7BA8"/>
    <w:rsid w:val="00CF3DA8"/>
    <w:rsid w:val="00D14A22"/>
    <w:rsid w:val="00D304B7"/>
    <w:rsid w:val="00D81896"/>
    <w:rsid w:val="00DB130D"/>
    <w:rsid w:val="00DC3484"/>
    <w:rsid w:val="00DF6FF5"/>
    <w:rsid w:val="00EB0D13"/>
    <w:rsid w:val="00F05BF1"/>
    <w:rsid w:val="00F17B6D"/>
    <w:rsid w:val="00F37839"/>
    <w:rsid w:val="00F40A17"/>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6A3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882</Words>
  <Characters>5031</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30</cp:revision>
  <dcterms:created xsi:type="dcterms:W3CDTF">2024-12-09T19:56:00Z</dcterms:created>
  <dcterms:modified xsi:type="dcterms:W3CDTF">2025-05-23T13:11:00Z</dcterms:modified>
</cp:coreProperties>
</file>