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107DDB" w:rsidRDefault="00A51ED7" w:rsidP="00A51ED7">
      <w:pPr>
        <w:jc w:val="right"/>
        <w:rPr>
          <w:i/>
        </w:rPr>
      </w:pPr>
      <w:r w:rsidRPr="00107DDB">
        <w:rPr>
          <w:i/>
        </w:rPr>
        <w:t>Pirkimo sąlygų</w:t>
      </w:r>
    </w:p>
    <w:p w14:paraId="721C2F12" w14:textId="77777777" w:rsidR="00A51ED7" w:rsidRPr="00107DDB" w:rsidRDefault="00A51ED7" w:rsidP="00A51ED7">
      <w:pPr>
        <w:jc w:val="right"/>
        <w:rPr>
          <w:i/>
        </w:rPr>
      </w:pPr>
      <w:r w:rsidRPr="00107DDB">
        <w:rPr>
          <w:i/>
        </w:rPr>
        <w:t>2 priedo priedėlis</w:t>
      </w:r>
    </w:p>
    <w:p w14:paraId="3E46BA21" w14:textId="77777777" w:rsidR="00A51ED7" w:rsidRDefault="00A51ED7" w:rsidP="00A51ED7">
      <w:pPr>
        <w:jc w:val="right"/>
      </w:pPr>
    </w:p>
    <w:p w14:paraId="62CE4EC1" w14:textId="77777777" w:rsidR="003A7B08" w:rsidRPr="00C962E6" w:rsidRDefault="003A7B08" w:rsidP="003A7B08">
      <w:pPr>
        <w:pStyle w:val="NormalWeb"/>
        <w:shd w:val="clear" w:color="auto" w:fill="FFFFFF" w:themeFill="background1"/>
        <w:spacing w:before="0" w:beforeAutospacing="0" w:after="0" w:afterAutospacing="0"/>
        <w:jc w:val="center"/>
        <w:rPr>
          <w:b/>
          <w:bCs/>
        </w:rPr>
      </w:pPr>
      <w:r w:rsidRPr="00C962E6">
        <w:rPr>
          <w:b/>
          <w:bCs/>
        </w:rPr>
        <w:t xml:space="preserve">GALIMYBIŲ STUDIJOS </w:t>
      </w:r>
    </w:p>
    <w:p w14:paraId="4235D0ED" w14:textId="0E7557FA" w:rsidR="003A7B08" w:rsidRPr="00C962E6" w:rsidRDefault="003A7B08" w:rsidP="003A7B08">
      <w:pPr>
        <w:pStyle w:val="NormalWeb"/>
        <w:shd w:val="clear" w:color="auto" w:fill="FFFFFF" w:themeFill="background1"/>
        <w:spacing w:before="0" w:beforeAutospacing="0" w:after="0" w:afterAutospacing="0"/>
        <w:jc w:val="center"/>
        <w:rPr>
          <w:b/>
          <w:bCs/>
        </w:rPr>
      </w:pPr>
      <w:r w:rsidRPr="00C962E6">
        <w:rPr>
          <w:b/>
          <w:bCs/>
        </w:rPr>
        <w:t xml:space="preserve">DĖL VIEŠOJO IR PRIVATAUS SEKTORIAUS BENDRADARBIAVIMO </w:t>
      </w:r>
      <w:r>
        <w:rPr>
          <w:b/>
          <w:bCs/>
        </w:rPr>
        <w:t xml:space="preserve">KRYPČIŲ NUSTATYMO IR </w:t>
      </w:r>
      <w:r w:rsidRPr="00C962E6">
        <w:rPr>
          <w:b/>
          <w:bCs/>
        </w:rPr>
        <w:t>KIBERNETINI</w:t>
      </w:r>
      <w:r>
        <w:rPr>
          <w:b/>
          <w:bCs/>
        </w:rPr>
        <w:t>O SAUGUMO KOMPETENCIJŲ UGDYMO MODELIO SUKŪRIMO IR JŲ</w:t>
      </w:r>
      <w:r w:rsidRPr="00C962E6">
        <w:rPr>
          <w:b/>
          <w:bCs/>
        </w:rPr>
        <w:t xml:space="preserve"> PRISTATYMO</w:t>
      </w:r>
    </w:p>
    <w:p w14:paraId="19285CB9" w14:textId="30164E80" w:rsidR="00416C35" w:rsidRPr="00B100E5" w:rsidRDefault="00416C35" w:rsidP="00416C35">
      <w:pPr>
        <w:spacing w:line="276" w:lineRule="auto"/>
        <w:jc w:val="center"/>
        <w:rPr>
          <w:b/>
          <w:bCs/>
          <w:kern w:val="2"/>
          <w:lang w:eastAsia="en-US"/>
          <w14:ligatures w14:val="standardContextual"/>
        </w:rPr>
      </w:pPr>
      <w:r w:rsidRPr="00B100E5">
        <w:rPr>
          <w:b/>
          <w:bCs/>
          <w:kern w:val="2"/>
          <w:lang w:eastAsia="en-US"/>
          <w14:ligatures w14:val="standardContextual"/>
        </w:rPr>
        <w:t>TECHNINĖ</w:t>
      </w:r>
      <w:r>
        <w:rPr>
          <w:b/>
          <w:bCs/>
          <w:kern w:val="2"/>
          <w:lang w:eastAsia="en-US"/>
          <w14:ligatures w14:val="standardContextual"/>
        </w:rPr>
        <w:t>S SPECIFIKACIJOS</w:t>
      </w:r>
    </w:p>
    <w:p w14:paraId="49CE37F9" w14:textId="0B027665" w:rsidR="00107DDB" w:rsidRDefault="00107DDB" w:rsidP="00416C35">
      <w:pPr>
        <w:spacing w:line="276" w:lineRule="auto"/>
        <w:jc w:val="center"/>
        <w:rPr>
          <w:b/>
          <w:color w:val="000000"/>
        </w:rPr>
      </w:pPr>
      <w:r>
        <w:rPr>
          <w:b/>
          <w:color w:val="000000"/>
        </w:rPr>
        <w:t>ATITIKTIES LENTELĖ</w:t>
      </w:r>
    </w:p>
    <w:p w14:paraId="7582F7FF" w14:textId="77777777" w:rsidR="00A51ED7" w:rsidRDefault="00A51ED7" w:rsidP="00A51ED7">
      <w:pPr>
        <w:spacing w:line="276" w:lineRule="auto"/>
        <w:jc w:val="center"/>
        <w:rPr>
          <w:b/>
        </w:rPr>
      </w:pPr>
    </w:p>
    <w:p w14:paraId="7E28F387" w14:textId="77777777" w:rsidR="0091020A" w:rsidRDefault="0091020A" w:rsidP="0091020A">
      <w:pPr>
        <w:pStyle w:val="ListParagraph"/>
        <w:numPr>
          <w:ilvl w:val="0"/>
          <w:numId w:val="1"/>
        </w:numPr>
        <w:tabs>
          <w:tab w:val="left" w:pos="1134"/>
        </w:tabs>
        <w:ind w:left="0" w:firstLine="720"/>
        <w:jc w:val="both"/>
      </w:pPr>
      <w:r>
        <w:t>Pažymime, kad pirkimo sąlygų 2 priedo „Komunikacijos kampanijos visuomenės kibernetinio saugumo brandai didinti parengimo ir sklaidos techninės specifikacijos atitikties lentelė“ priedėlis yra neatsiejama pasiūlymo dalis.</w:t>
      </w:r>
    </w:p>
    <w:p w14:paraId="431963D3" w14:textId="77777777" w:rsidR="008459CD" w:rsidRPr="00220682" w:rsidRDefault="008459CD" w:rsidP="008459CD">
      <w:pPr>
        <w:pStyle w:val="ListParagraph"/>
        <w:numPr>
          <w:ilvl w:val="0"/>
          <w:numId w:val="1"/>
        </w:numPr>
        <w:tabs>
          <w:tab w:val="left" w:pos="1134"/>
        </w:tabs>
        <w:ind w:left="0" w:firstLine="720"/>
        <w:jc w:val="both"/>
      </w:pPr>
      <w:r>
        <w:t xml:space="preserve">Teikėjas turi užpildyti stulpelį </w:t>
      </w:r>
      <w:r>
        <w:rPr>
          <w:b/>
          <w:i/>
        </w:rPr>
        <w:t>„Siūloma paslauga visiškai atitinka pirkimo dokumentuose nustatytus techninius reikalavimus ir jos savybės tokios:“</w:t>
      </w:r>
    </w:p>
    <w:p w14:paraId="40177F00" w14:textId="77777777" w:rsidR="008459CD" w:rsidRPr="00171C5B" w:rsidRDefault="008459CD" w:rsidP="008459CD">
      <w:pPr>
        <w:pStyle w:val="ListParagraph"/>
        <w:numPr>
          <w:ilvl w:val="0"/>
          <w:numId w:val="1"/>
        </w:numPr>
        <w:tabs>
          <w:tab w:val="left" w:pos="1134"/>
        </w:tabs>
        <w:ind w:left="0" w:firstLine="720"/>
        <w:jc w:val="both"/>
        <w:rPr>
          <w:b/>
        </w:rPr>
      </w:pPr>
      <w:r w:rsidRPr="00171C5B">
        <w:rPr>
          <w:b/>
        </w:rPr>
        <w:t>Teikėjas, teikdamas pasiūlymą pirkimui, patvirtina, kad vykdant viešojo pirkimo-pardavimo sutartį įsigyjamas objektas atitiks šiuos reikalavimus:</w:t>
      </w:r>
    </w:p>
    <w:p w14:paraId="2A92A51D" w14:textId="77777777" w:rsidR="00A51ED7" w:rsidRDefault="00A51ED7" w:rsidP="00A51ED7">
      <w:pPr>
        <w:spacing w:line="276" w:lineRule="auto"/>
        <w:jc w:val="both"/>
      </w:pPr>
    </w:p>
    <w:tbl>
      <w:tblPr>
        <w:tblStyle w:val="TableGrid"/>
        <w:tblW w:w="0" w:type="auto"/>
        <w:tblLook w:val="04A0" w:firstRow="1" w:lastRow="0" w:firstColumn="1" w:lastColumn="0" w:noHBand="0" w:noVBand="1"/>
      </w:tblPr>
      <w:tblGrid>
        <w:gridCol w:w="4981"/>
        <w:gridCol w:w="4981"/>
      </w:tblGrid>
      <w:tr w:rsidR="00A51ED7" w:rsidRPr="009F5680" w14:paraId="2731F1BC" w14:textId="77777777" w:rsidTr="00AA6909">
        <w:tc>
          <w:tcPr>
            <w:tcW w:w="4981" w:type="dxa"/>
          </w:tcPr>
          <w:p w14:paraId="56D5259F" w14:textId="77777777" w:rsidR="00A51ED7" w:rsidRDefault="00A51ED7" w:rsidP="00AA6909">
            <w:pPr>
              <w:suppressAutoHyphens/>
              <w:spacing w:line="276" w:lineRule="auto"/>
              <w:jc w:val="center"/>
              <w:rPr>
                <w:b/>
                <w:lang w:eastAsia="en-US"/>
              </w:rPr>
            </w:pPr>
          </w:p>
          <w:p w14:paraId="4A1127AB" w14:textId="77777777" w:rsidR="00A51ED7" w:rsidRDefault="00A51ED7" w:rsidP="00AA6909">
            <w:pPr>
              <w:suppressAutoHyphens/>
              <w:spacing w:line="276" w:lineRule="auto"/>
              <w:jc w:val="center"/>
              <w:rPr>
                <w:b/>
                <w:lang w:eastAsia="en-US"/>
              </w:rPr>
            </w:pPr>
          </w:p>
          <w:p w14:paraId="0F2B9BF9" w14:textId="77777777" w:rsidR="00A51ED7" w:rsidRDefault="00A51ED7" w:rsidP="00AA6909">
            <w:pPr>
              <w:suppressAutoHyphens/>
              <w:spacing w:line="276" w:lineRule="auto"/>
              <w:jc w:val="center"/>
              <w:rPr>
                <w:b/>
                <w:lang w:eastAsia="en-US"/>
              </w:rPr>
            </w:pPr>
          </w:p>
          <w:p w14:paraId="170B5290" w14:textId="77777777" w:rsidR="00A51ED7" w:rsidRDefault="00A51ED7" w:rsidP="00AA6909">
            <w:pPr>
              <w:suppressAutoHyphens/>
              <w:spacing w:line="276" w:lineRule="auto"/>
              <w:jc w:val="center"/>
              <w:rPr>
                <w:b/>
                <w:lang w:eastAsia="en-US"/>
              </w:rPr>
            </w:pPr>
            <w:r>
              <w:rPr>
                <w:b/>
                <w:lang w:eastAsia="en-US"/>
              </w:rPr>
              <w:t>Pirkimo dokumentuose nurodyta reikšmė</w:t>
            </w:r>
          </w:p>
          <w:p w14:paraId="286B0D25" w14:textId="77777777" w:rsidR="00A51ED7" w:rsidRPr="009F5680" w:rsidRDefault="00A51ED7" w:rsidP="00AA6909">
            <w:pPr>
              <w:suppressAutoHyphens/>
              <w:spacing w:line="276" w:lineRule="auto"/>
              <w:jc w:val="both"/>
              <w:rPr>
                <w:b/>
                <w:lang w:eastAsia="en-US"/>
              </w:rPr>
            </w:pPr>
          </w:p>
        </w:tc>
        <w:tc>
          <w:tcPr>
            <w:tcW w:w="4981" w:type="dxa"/>
          </w:tcPr>
          <w:p w14:paraId="3FC1778A" w14:textId="77777777" w:rsidR="00BF424F" w:rsidRDefault="00BF424F" w:rsidP="00BF424F">
            <w:pPr>
              <w:suppressAutoHyphens/>
              <w:spacing w:line="276" w:lineRule="auto"/>
              <w:jc w:val="center"/>
              <w:rPr>
                <w:i/>
                <w:lang w:eastAsia="en-US"/>
              </w:rPr>
            </w:pPr>
            <w:r>
              <w:rPr>
                <w:i/>
                <w:lang w:eastAsia="en-US"/>
              </w:rPr>
              <w:t>Siūloma paslauga</w:t>
            </w:r>
            <w:r w:rsidRPr="009F5680">
              <w:rPr>
                <w:i/>
                <w:lang w:eastAsia="en-US"/>
              </w:rPr>
              <w:t xml:space="preserve"> visiškai atitinka pirkimo dokumentuose nustatytus techninius reikalavimus ir jos savybės tokios: </w:t>
            </w:r>
          </w:p>
          <w:p w14:paraId="1B2CF7FA" w14:textId="7C13C13F" w:rsidR="00A51ED7" w:rsidRPr="009F5680" w:rsidRDefault="00BF424F" w:rsidP="00BF424F">
            <w:pPr>
              <w:suppressAutoHyphens/>
              <w:spacing w:line="276" w:lineRule="auto"/>
              <w:jc w:val="center"/>
              <w:rPr>
                <w:i/>
                <w:color w:val="FF0000"/>
                <w:lang w:eastAsia="en-US"/>
              </w:rPr>
            </w:pPr>
            <w:r>
              <w:rPr>
                <w:b/>
                <w:i/>
                <w:color w:val="FF0000"/>
              </w:rPr>
              <w:t>(Tei</w:t>
            </w:r>
            <w:r w:rsidRPr="00AB4306">
              <w:rPr>
                <w:b/>
                <w:i/>
                <w:color w:val="FF0000"/>
              </w:rPr>
              <w:t>kėjas turi pažymėti TAIP/N</w:t>
            </w:r>
            <w:r>
              <w:rPr>
                <w:b/>
                <w:i/>
                <w:color w:val="FF0000"/>
              </w:rPr>
              <w:t>E ir/ar pateikti tikslias reikšmes</w:t>
            </w:r>
            <w:r w:rsidRPr="00AB4306">
              <w:rPr>
                <w:b/>
                <w:i/>
                <w:color w:val="FF0000"/>
              </w:rPr>
              <w:t>)</w:t>
            </w:r>
            <w:r>
              <w:rPr>
                <w:b/>
                <w:i/>
                <w:color w:val="FF0000"/>
              </w:rPr>
              <w:t>.</w:t>
            </w:r>
          </w:p>
        </w:tc>
      </w:tr>
      <w:tr w:rsidR="00A51ED7" w:rsidRPr="009F5680" w14:paraId="03A75B66" w14:textId="77777777" w:rsidTr="00A51ED7">
        <w:trPr>
          <w:trHeight w:val="619"/>
        </w:trPr>
        <w:tc>
          <w:tcPr>
            <w:tcW w:w="9962" w:type="dxa"/>
            <w:gridSpan w:val="2"/>
            <w:shd w:val="clear" w:color="auto" w:fill="E7E6E6" w:themeFill="background2"/>
          </w:tcPr>
          <w:p w14:paraId="510783A3" w14:textId="77777777" w:rsidR="008D2FBA" w:rsidRDefault="00746EB6" w:rsidP="00746EB6">
            <w:pPr>
              <w:pStyle w:val="ListParagraph"/>
              <w:suppressAutoHyphens/>
              <w:spacing w:before="120" w:line="276" w:lineRule="auto"/>
              <w:jc w:val="center"/>
              <w:rPr>
                <w:b/>
                <w:lang w:eastAsia="en-US"/>
              </w:rPr>
            </w:pPr>
            <w:r>
              <w:rPr>
                <w:b/>
                <w:lang w:eastAsia="en-US"/>
              </w:rPr>
              <w:t xml:space="preserve">II SKYRIUS </w:t>
            </w:r>
          </w:p>
          <w:p w14:paraId="421390D0" w14:textId="2851EA45" w:rsidR="00A51ED7" w:rsidRPr="00A51ED7" w:rsidRDefault="00746EB6" w:rsidP="00746EB6">
            <w:pPr>
              <w:pStyle w:val="ListParagraph"/>
              <w:suppressAutoHyphens/>
              <w:spacing w:before="120" w:line="276" w:lineRule="auto"/>
              <w:jc w:val="center"/>
              <w:rPr>
                <w:b/>
                <w:lang w:eastAsia="en-US"/>
              </w:rPr>
            </w:pPr>
            <w:r>
              <w:rPr>
                <w:b/>
                <w:lang w:eastAsia="en-US"/>
              </w:rPr>
              <w:t>PIRKIMO OBJEKTAS</w:t>
            </w:r>
          </w:p>
        </w:tc>
      </w:tr>
      <w:tr w:rsidR="00A51ED7" w:rsidRPr="008847A3" w14:paraId="09F0C650" w14:textId="77777777" w:rsidTr="00AA6909">
        <w:trPr>
          <w:trHeight w:val="620"/>
        </w:trPr>
        <w:tc>
          <w:tcPr>
            <w:tcW w:w="4981" w:type="dxa"/>
          </w:tcPr>
          <w:p w14:paraId="466A17BE" w14:textId="235A8AB2" w:rsidR="00A51ED7" w:rsidRPr="00A51ED7" w:rsidRDefault="008459CD" w:rsidP="008459CD">
            <w:pPr>
              <w:pStyle w:val="ListParagraph"/>
              <w:tabs>
                <w:tab w:val="left" w:pos="851"/>
                <w:tab w:val="left" w:pos="1134"/>
              </w:tabs>
              <w:ind w:left="0"/>
              <w:jc w:val="both"/>
            </w:pPr>
            <w:r>
              <w:t xml:space="preserve">2. </w:t>
            </w:r>
            <w:r>
              <w:rPr>
                <w:b/>
                <w:bCs/>
              </w:rPr>
              <w:t>Pirkimo objektas</w:t>
            </w:r>
            <w:r>
              <w:t xml:space="preserve"> – galimybių studijos parengimo ir jos pristatymo suinteresuotiems subjektams paslaugos.</w:t>
            </w:r>
          </w:p>
        </w:tc>
        <w:tc>
          <w:tcPr>
            <w:tcW w:w="4981" w:type="dxa"/>
          </w:tcPr>
          <w:p w14:paraId="12F17885" w14:textId="77777777" w:rsidR="00A51ED7" w:rsidRDefault="008C10B5" w:rsidP="008C10B5">
            <w:pPr>
              <w:jc w:val="center"/>
              <w:rPr>
                <w:i/>
                <w:color w:val="FF0000"/>
              </w:rPr>
            </w:pPr>
            <w:r w:rsidRPr="008C10B5">
              <w:rPr>
                <w:i/>
                <w:color w:val="FF0000"/>
              </w:rPr>
              <w:t>Taip/Ne</w:t>
            </w:r>
          </w:p>
          <w:p w14:paraId="62E86ED5" w14:textId="4FD6C9AB" w:rsidR="009F23FB" w:rsidRPr="008C10B5" w:rsidRDefault="009F23FB" w:rsidP="008C10B5">
            <w:pPr>
              <w:jc w:val="center"/>
              <w:rPr>
                <w:i/>
                <w:color w:val="000000" w:themeColor="text1"/>
              </w:rPr>
            </w:pPr>
          </w:p>
        </w:tc>
      </w:tr>
      <w:tr w:rsidR="00C16390" w:rsidRPr="008847A3" w14:paraId="7C59A154" w14:textId="77777777" w:rsidTr="00AA6909">
        <w:trPr>
          <w:trHeight w:val="620"/>
        </w:trPr>
        <w:tc>
          <w:tcPr>
            <w:tcW w:w="4981" w:type="dxa"/>
          </w:tcPr>
          <w:p w14:paraId="1D3706CE" w14:textId="43CBA9C7" w:rsidR="00C16390" w:rsidRPr="00C16390" w:rsidRDefault="008459CD" w:rsidP="008459CD">
            <w:pPr>
              <w:pStyle w:val="ListParagraph"/>
              <w:tabs>
                <w:tab w:val="left" w:pos="851"/>
                <w:tab w:val="left" w:pos="1134"/>
              </w:tabs>
              <w:ind w:left="0"/>
              <w:jc w:val="both"/>
              <w:rPr>
                <w:kern w:val="2"/>
                <w:lang w:eastAsia="en-US"/>
                <w14:ligatures w14:val="standardContextual"/>
              </w:rPr>
            </w:pPr>
            <w:r>
              <w:t xml:space="preserve">3. </w:t>
            </w:r>
            <w:r>
              <w:rPr>
                <w:b/>
                <w:bCs/>
              </w:rPr>
              <w:t>Tikslas</w:t>
            </w:r>
            <w:r>
              <w:t xml:space="preserve"> – parengti išsamią ir duomenimis grįstą galimybių studiją, kuri padėtų efektyviai stiprinti VPSB kibernetinio saugumo srityje. Studija taip pat turi nustatyti efektyviausią kibernetinio saugumo kompetencijų ugdymo modelį, orientuotą į Lietuvos aukštojo mokslo institucijų (universitetų) studentų konkrečių kibernetinio saugumo praktinių žinių, reikalingų sklandžiam įsiliejimui į darbo rinką užtikrinti, įgijimą.</w:t>
            </w:r>
          </w:p>
        </w:tc>
        <w:tc>
          <w:tcPr>
            <w:tcW w:w="4981" w:type="dxa"/>
          </w:tcPr>
          <w:p w14:paraId="2FB200DF" w14:textId="77777777" w:rsidR="00171C5B" w:rsidRDefault="00171C5B" w:rsidP="00C16390">
            <w:pPr>
              <w:jc w:val="center"/>
              <w:rPr>
                <w:i/>
                <w:color w:val="FF0000"/>
              </w:rPr>
            </w:pPr>
          </w:p>
          <w:p w14:paraId="5AD84945" w14:textId="77777777" w:rsidR="00171C5B" w:rsidRDefault="00171C5B" w:rsidP="00C16390">
            <w:pPr>
              <w:jc w:val="center"/>
              <w:rPr>
                <w:i/>
                <w:color w:val="FF0000"/>
              </w:rPr>
            </w:pPr>
          </w:p>
          <w:p w14:paraId="367FC93D" w14:textId="77777777" w:rsidR="00171C5B" w:rsidRDefault="00171C5B" w:rsidP="00C16390">
            <w:pPr>
              <w:jc w:val="center"/>
              <w:rPr>
                <w:i/>
                <w:color w:val="FF0000"/>
              </w:rPr>
            </w:pPr>
          </w:p>
          <w:p w14:paraId="347F5F0F" w14:textId="77777777" w:rsidR="00C16390" w:rsidRDefault="00C16390" w:rsidP="00C16390">
            <w:pPr>
              <w:jc w:val="center"/>
              <w:rPr>
                <w:i/>
                <w:color w:val="FF0000"/>
              </w:rPr>
            </w:pPr>
            <w:r w:rsidRPr="008C10B5">
              <w:rPr>
                <w:i/>
                <w:color w:val="FF0000"/>
              </w:rPr>
              <w:t>Taip/Ne</w:t>
            </w:r>
          </w:p>
          <w:p w14:paraId="7E64CEAC" w14:textId="77777777" w:rsidR="00C16390" w:rsidRPr="008C10B5" w:rsidRDefault="00C16390" w:rsidP="008C10B5">
            <w:pPr>
              <w:jc w:val="center"/>
              <w:rPr>
                <w:i/>
                <w:color w:val="FF0000"/>
              </w:rPr>
            </w:pPr>
          </w:p>
        </w:tc>
      </w:tr>
      <w:tr w:rsidR="00C16390" w:rsidRPr="009F5680" w14:paraId="20F0376E" w14:textId="77777777" w:rsidTr="002446FE">
        <w:trPr>
          <w:trHeight w:val="619"/>
        </w:trPr>
        <w:tc>
          <w:tcPr>
            <w:tcW w:w="9962" w:type="dxa"/>
            <w:gridSpan w:val="2"/>
            <w:shd w:val="clear" w:color="auto" w:fill="E7E6E6" w:themeFill="background2"/>
          </w:tcPr>
          <w:p w14:paraId="690FDF23" w14:textId="7DD82ABC" w:rsidR="00C16390" w:rsidRPr="00A51ED7" w:rsidRDefault="008459CD" w:rsidP="00171C5B">
            <w:pPr>
              <w:pStyle w:val="ListParagraph"/>
              <w:suppressAutoHyphens/>
              <w:spacing w:before="120" w:line="276" w:lineRule="auto"/>
              <w:ind w:left="0"/>
              <w:rPr>
                <w:b/>
                <w:lang w:eastAsia="en-US"/>
              </w:rPr>
            </w:pPr>
            <w:r>
              <w:rPr>
                <w:b/>
                <w:lang w:eastAsia="en-US"/>
              </w:rPr>
              <w:t>Galimybių studijoje turėtų būti</w:t>
            </w:r>
            <w:r w:rsidR="00C16390">
              <w:rPr>
                <w:b/>
                <w:lang w:eastAsia="en-US"/>
              </w:rPr>
              <w:t>:</w:t>
            </w:r>
          </w:p>
        </w:tc>
      </w:tr>
      <w:tr w:rsidR="00C16390" w:rsidRPr="008847A3" w14:paraId="733BB37F" w14:textId="77777777" w:rsidTr="00AA6909">
        <w:trPr>
          <w:trHeight w:val="620"/>
        </w:trPr>
        <w:tc>
          <w:tcPr>
            <w:tcW w:w="4981" w:type="dxa"/>
          </w:tcPr>
          <w:p w14:paraId="06AAF0A2" w14:textId="302F45A6" w:rsidR="00C16390" w:rsidRDefault="00FB3104" w:rsidP="008459CD">
            <w:pPr>
              <w:pStyle w:val="ListParagraph"/>
              <w:tabs>
                <w:tab w:val="left" w:pos="851"/>
                <w:tab w:val="left" w:pos="1134"/>
              </w:tabs>
              <w:ind w:left="0"/>
              <w:jc w:val="both"/>
              <w:rPr>
                <w:kern w:val="2"/>
                <w:lang w:eastAsia="en-US"/>
                <w14:ligatures w14:val="standardContextual"/>
              </w:rPr>
            </w:pPr>
            <w:r>
              <w:t>3.1. surinkta informacija apie Lietuvoje vystomas VPSB kryptis kibernetinio saugumo srityje;</w:t>
            </w:r>
          </w:p>
        </w:tc>
        <w:tc>
          <w:tcPr>
            <w:tcW w:w="4981" w:type="dxa"/>
          </w:tcPr>
          <w:p w14:paraId="538BEC6F" w14:textId="77777777" w:rsidR="00C16390" w:rsidRDefault="00C16390" w:rsidP="00C16390">
            <w:pPr>
              <w:jc w:val="center"/>
              <w:rPr>
                <w:i/>
                <w:color w:val="FF0000"/>
              </w:rPr>
            </w:pPr>
            <w:r w:rsidRPr="008C10B5">
              <w:rPr>
                <w:i/>
                <w:color w:val="FF0000"/>
              </w:rPr>
              <w:t>Taip/Ne</w:t>
            </w:r>
          </w:p>
          <w:p w14:paraId="66DE24EE" w14:textId="77777777" w:rsidR="00C16390" w:rsidRPr="008C10B5" w:rsidRDefault="00C16390" w:rsidP="00C16390">
            <w:pPr>
              <w:jc w:val="center"/>
              <w:rPr>
                <w:i/>
                <w:color w:val="FF0000"/>
              </w:rPr>
            </w:pPr>
          </w:p>
        </w:tc>
      </w:tr>
      <w:tr w:rsidR="00C16390" w:rsidRPr="008847A3" w14:paraId="6166C495" w14:textId="77777777" w:rsidTr="00AA6909">
        <w:trPr>
          <w:trHeight w:val="620"/>
        </w:trPr>
        <w:tc>
          <w:tcPr>
            <w:tcW w:w="4981" w:type="dxa"/>
          </w:tcPr>
          <w:p w14:paraId="7FADC064" w14:textId="3F348EBD" w:rsidR="00C16390" w:rsidRDefault="00FB3104" w:rsidP="008459CD">
            <w:pPr>
              <w:pStyle w:val="ListParagraph"/>
              <w:tabs>
                <w:tab w:val="left" w:pos="851"/>
                <w:tab w:val="left" w:pos="1134"/>
              </w:tabs>
              <w:ind w:left="0"/>
              <w:jc w:val="both"/>
              <w:rPr>
                <w:kern w:val="2"/>
                <w:lang w:eastAsia="en-US"/>
                <w14:ligatures w14:val="standardContextual"/>
              </w:rPr>
            </w:pPr>
            <w:r>
              <w:t>3.2. identifikuotos naujos perspektyvios VPSB kryptys;</w:t>
            </w:r>
          </w:p>
        </w:tc>
        <w:tc>
          <w:tcPr>
            <w:tcW w:w="4981" w:type="dxa"/>
          </w:tcPr>
          <w:p w14:paraId="2A3CD047" w14:textId="77777777" w:rsidR="00432086" w:rsidRDefault="00432086" w:rsidP="00432086">
            <w:pPr>
              <w:jc w:val="center"/>
              <w:rPr>
                <w:i/>
                <w:color w:val="FF0000"/>
              </w:rPr>
            </w:pPr>
            <w:r w:rsidRPr="008C10B5">
              <w:rPr>
                <w:i/>
                <w:color w:val="FF0000"/>
              </w:rPr>
              <w:t>Taip/Ne</w:t>
            </w:r>
          </w:p>
          <w:p w14:paraId="47BAB962" w14:textId="77777777" w:rsidR="00C16390" w:rsidRPr="008C10B5" w:rsidRDefault="00C16390" w:rsidP="00C16390">
            <w:pPr>
              <w:jc w:val="center"/>
              <w:rPr>
                <w:i/>
                <w:color w:val="FF0000"/>
              </w:rPr>
            </w:pPr>
          </w:p>
        </w:tc>
      </w:tr>
      <w:tr w:rsidR="00C16390" w:rsidRPr="008847A3" w14:paraId="210162CB" w14:textId="77777777" w:rsidTr="00AA6909">
        <w:trPr>
          <w:trHeight w:val="620"/>
        </w:trPr>
        <w:tc>
          <w:tcPr>
            <w:tcW w:w="4981" w:type="dxa"/>
          </w:tcPr>
          <w:p w14:paraId="38A716CA" w14:textId="0F34A48E" w:rsidR="00C16390" w:rsidRDefault="00FB3104" w:rsidP="008459CD">
            <w:pPr>
              <w:pStyle w:val="ListParagraph"/>
              <w:tabs>
                <w:tab w:val="left" w:pos="851"/>
                <w:tab w:val="left" w:pos="1134"/>
              </w:tabs>
              <w:ind w:left="0"/>
              <w:jc w:val="both"/>
              <w:rPr>
                <w:kern w:val="2"/>
                <w:lang w:eastAsia="en-US"/>
                <w14:ligatures w14:val="standardContextual"/>
              </w:rPr>
            </w:pPr>
            <w:r>
              <w:lastRenderedPageBreak/>
              <w:t>3.3. nustatytas Lietuvai pritaikytas VPSB modelis kibernetinio saugumo kompetencijų ugdymo srityje;</w:t>
            </w:r>
          </w:p>
        </w:tc>
        <w:tc>
          <w:tcPr>
            <w:tcW w:w="4981" w:type="dxa"/>
          </w:tcPr>
          <w:p w14:paraId="48F4D8D9" w14:textId="77777777" w:rsidR="00432086" w:rsidRDefault="00432086" w:rsidP="00432086">
            <w:pPr>
              <w:jc w:val="center"/>
              <w:rPr>
                <w:i/>
                <w:color w:val="FF0000"/>
              </w:rPr>
            </w:pPr>
            <w:r w:rsidRPr="008C10B5">
              <w:rPr>
                <w:i/>
                <w:color w:val="FF0000"/>
              </w:rPr>
              <w:t>Taip/Ne</w:t>
            </w:r>
          </w:p>
          <w:p w14:paraId="7D221EB8" w14:textId="77777777" w:rsidR="00C16390" w:rsidRPr="008C10B5" w:rsidRDefault="00C16390" w:rsidP="00C16390">
            <w:pPr>
              <w:jc w:val="center"/>
              <w:rPr>
                <w:i/>
                <w:color w:val="FF0000"/>
              </w:rPr>
            </w:pPr>
          </w:p>
        </w:tc>
      </w:tr>
      <w:tr w:rsidR="00432086" w:rsidRPr="008847A3" w14:paraId="16B18CFE" w14:textId="77777777" w:rsidTr="00AA6909">
        <w:trPr>
          <w:trHeight w:val="620"/>
        </w:trPr>
        <w:tc>
          <w:tcPr>
            <w:tcW w:w="4981" w:type="dxa"/>
          </w:tcPr>
          <w:p w14:paraId="1F648308" w14:textId="616060F8" w:rsidR="00432086" w:rsidRDefault="00FB3104" w:rsidP="008459CD">
            <w:pPr>
              <w:pStyle w:val="ListParagraph"/>
              <w:tabs>
                <w:tab w:val="left" w:pos="851"/>
                <w:tab w:val="left" w:pos="1134"/>
              </w:tabs>
              <w:ind w:left="0"/>
              <w:jc w:val="both"/>
              <w:rPr>
                <w:kern w:val="2"/>
                <w:lang w:eastAsia="en-US"/>
                <w14:ligatures w14:val="standardContextual"/>
              </w:rPr>
            </w:pPr>
            <w:r>
              <w:t>3.4. pateiktos VPSB kibernetinio saugumo kompetencijų ugdymo modelio įgyvendinimo rekomendacijos.</w:t>
            </w:r>
          </w:p>
        </w:tc>
        <w:tc>
          <w:tcPr>
            <w:tcW w:w="4981" w:type="dxa"/>
          </w:tcPr>
          <w:p w14:paraId="374D3A41" w14:textId="77777777" w:rsidR="00432086" w:rsidRDefault="00432086" w:rsidP="00432086">
            <w:pPr>
              <w:jc w:val="center"/>
              <w:rPr>
                <w:i/>
                <w:color w:val="FF0000"/>
              </w:rPr>
            </w:pPr>
            <w:r w:rsidRPr="008C10B5">
              <w:rPr>
                <w:i/>
                <w:color w:val="FF0000"/>
              </w:rPr>
              <w:t>Taip/Ne</w:t>
            </w:r>
          </w:p>
          <w:p w14:paraId="6E037BCE" w14:textId="77777777" w:rsidR="00432086" w:rsidRPr="008C10B5" w:rsidRDefault="00432086" w:rsidP="00C16390">
            <w:pPr>
              <w:jc w:val="center"/>
              <w:rPr>
                <w:i/>
                <w:color w:val="FF0000"/>
              </w:rPr>
            </w:pPr>
          </w:p>
        </w:tc>
      </w:tr>
      <w:tr w:rsidR="00746EB6" w:rsidRPr="009F5680" w14:paraId="49011BCC" w14:textId="77777777" w:rsidTr="002446FE">
        <w:trPr>
          <w:trHeight w:val="619"/>
        </w:trPr>
        <w:tc>
          <w:tcPr>
            <w:tcW w:w="9962" w:type="dxa"/>
            <w:gridSpan w:val="2"/>
            <w:shd w:val="clear" w:color="auto" w:fill="E7E6E6" w:themeFill="background2"/>
          </w:tcPr>
          <w:p w14:paraId="5C6292EC" w14:textId="77777777" w:rsidR="00746EB6" w:rsidRDefault="00746EB6" w:rsidP="002446FE">
            <w:pPr>
              <w:pStyle w:val="ListParagraph"/>
              <w:suppressAutoHyphens/>
              <w:spacing w:before="120" w:line="276" w:lineRule="auto"/>
              <w:jc w:val="center"/>
              <w:rPr>
                <w:b/>
                <w:lang w:eastAsia="en-US"/>
              </w:rPr>
            </w:pPr>
            <w:r>
              <w:rPr>
                <w:b/>
                <w:lang w:eastAsia="en-US"/>
              </w:rPr>
              <w:t>II</w:t>
            </w:r>
            <w:r w:rsidR="008D2FBA">
              <w:rPr>
                <w:b/>
                <w:lang w:eastAsia="en-US"/>
              </w:rPr>
              <w:t>I SKYRIUS</w:t>
            </w:r>
          </w:p>
          <w:p w14:paraId="179EFA9D" w14:textId="64D969B7" w:rsidR="008D2FBA" w:rsidRPr="00A51ED7" w:rsidRDefault="008D2FBA" w:rsidP="002446FE">
            <w:pPr>
              <w:pStyle w:val="ListParagraph"/>
              <w:suppressAutoHyphens/>
              <w:spacing w:before="120" w:line="276" w:lineRule="auto"/>
              <w:jc w:val="center"/>
              <w:rPr>
                <w:b/>
                <w:lang w:eastAsia="en-US"/>
              </w:rPr>
            </w:pPr>
            <w:r>
              <w:rPr>
                <w:b/>
                <w:lang w:eastAsia="en-US"/>
              </w:rPr>
              <w:t>REIKALAVIMAI GALIMYBIŲ STUDIJOS TURINIUI</w:t>
            </w:r>
          </w:p>
        </w:tc>
      </w:tr>
      <w:tr w:rsidR="00746EB6" w:rsidRPr="008847A3" w14:paraId="78C4368E" w14:textId="77777777" w:rsidTr="00AA6909">
        <w:trPr>
          <w:trHeight w:val="620"/>
        </w:trPr>
        <w:tc>
          <w:tcPr>
            <w:tcW w:w="4981" w:type="dxa"/>
          </w:tcPr>
          <w:p w14:paraId="18894D46" w14:textId="69007045" w:rsidR="00746EB6" w:rsidRDefault="00FB3104" w:rsidP="008459CD">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5.1. </w:t>
            </w:r>
            <w:r>
              <w:t>aprašyti galimybių studijos tikslą, aktualumą, naudą, nurodyti uždavinius tikslui pasiekti, tyrimo apimtis. Taip pat pagal poreikį gali būti keliamos hipotezės, kurios patikrinamos studijos rengimo etapuose;</w:t>
            </w:r>
          </w:p>
        </w:tc>
        <w:tc>
          <w:tcPr>
            <w:tcW w:w="4981" w:type="dxa"/>
          </w:tcPr>
          <w:p w14:paraId="412BB272" w14:textId="77777777" w:rsidR="00171C5B" w:rsidRDefault="00171C5B" w:rsidP="008D2FBA">
            <w:pPr>
              <w:jc w:val="center"/>
              <w:rPr>
                <w:i/>
                <w:color w:val="FF0000"/>
              </w:rPr>
            </w:pPr>
          </w:p>
          <w:p w14:paraId="44699415" w14:textId="77777777" w:rsidR="00171C5B" w:rsidRDefault="00171C5B" w:rsidP="008D2FBA">
            <w:pPr>
              <w:jc w:val="center"/>
              <w:rPr>
                <w:i/>
                <w:color w:val="FF0000"/>
              </w:rPr>
            </w:pPr>
          </w:p>
          <w:p w14:paraId="693EA5EF" w14:textId="77777777" w:rsidR="008D2FBA" w:rsidRDefault="008D2FBA" w:rsidP="008D2FBA">
            <w:pPr>
              <w:jc w:val="center"/>
              <w:rPr>
                <w:i/>
                <w:color w:val="FF0000"/>
              </w:rPr>
            </w:pPr>
            <w:r w:rsidRPr="008C10B5">
              <w:rPr>
                <w:i/>
                <w:color w:val="FF0000"/>
              </w:rPr>
              <w:t>Taip/Ne</w:t>
            </w:r>
          </w:p>
          <w:p w14:paraId="66662C73" w14:textId="77777777" w:rsidR="00746EB6" w:rsidRPr="008C10B5" w:rsidRDefault="00746EB6" w:rsidP="008C10B5">
            <w:pPr>
              <w:jc w:val="center"/>
              <w:rPr>
                <w:i/>
                <w:color w:val="FF0000"/>
              </w:rPr>
            </w:pPr>
          </w:p>
        </w:tc>
      </w:tr>
      <w:tr w:rsidR="00416C35" w:rsidRPr="008847A3" w14:paraId="7C942875" w14:textId="77777777" w:rsidTr="00171C5B">
        <w:trPr>
          <w:trHeight w:val="403"/>
        </w:trPr>
        <w:tc>
          <w:tcPr>
            <w:tcW w:w="4981" w:type="dxa"/>
          </w:tcPr>
          <w:p w14:paraId="55D70001" w14:textId="2A220ECB" w:rsidR="00416C35" w:rsidRDefault="00FB3104" w:rsidP="008459CD">
            <w:pPr>
              <w:pStyle w:val="ListParagraph"/>
              <w:tabs>
                <w:tab w:val="left" w:pos="851"/>
                <w:tab w:val="left" w:pos="1134"/>
              </w:tabs>
              <w:ind w:left="0"/>
              <w:jc w:val="both"/>
              <w:rPr>
                <w:kern w:val="2"/>
                <w:lang w:eastAsia="en-US"/>
                <w14:ligatures w14:val="standardContextual"/>
              </w:rPr>
            </w:pPr>
            <w:r>
              <w:t>5.2. nurodyti taikytus tyrimo metodus;</w:t>
            </w:r>
          </w:p>
        </w:tc>
        <w:tc>
          <w:tcPr>
            <w:tcW w:w="4981" w:type="dxa"/>
          </w:tcPr>
          <w:p w14:paraId="3427F94F" w14:textId="2162CD36" w:rsidR="00416C35" w:rsidRPr="00171C5B" w:rsidRDefault="00C56C86" w:rsidP="00171C5B">
            <w:pPr>
              <w:jc w:val="center"/>
              <w:rPr>
                <w:i/>
                <w:color w:val="FF0000"/>
              </w:rPr>
            </w:pPr>
            <w:r w:rsidRPr="008C10B5">
              <w:rPr>
                <w:i/>
                <w:color w:val="FF0000"/>
              </w:rPr>
              <w:t>Taip/Ne</w:t>
            </w:r>
          </w:p>
        </w:tc>
      </w:tr>
      <w:tr w:rsidR="00DE284B" w:rsidRPr="008847A3" w14:paraId="716B01C7" w14:textId="77777777" w:rsidTr="00AA6909">
        <w:trPr>
          <w:trHeight w:val="620"/>
        </w:trPr>
        <w:tc>
          <w:tcPr>
            <w:tcW w:w="4981" w:type="dxa"/>
          </w:tcPr>
          <w:p w14:paraId="74F491DF" w14:textId="6DD53202" w:rsidR="00DE284B" w:rsidRPr="00A51ED7" w:rsidRDefault="00FB3104" w:rsidP="008459CD">
            <w:pPr>
              <w:pStyle w:val="ListParagraph"/>
              <w:tabs>
                <w:tab w:val="left" w:pos="851"/>
                <w:tab w:val="left" w:pos="1134"/>
              </w:tabs>
              <w:ind w:left="0"/>
              <w:jc w:val="both"/>
            </w:pPr>
            <w:r>
              <w:t>5.3. pateikti dažniausiai mokslinėje ir dalykinėje literatūroje apibrėžiamas VPSB sąvokas ir argumentuotai nurodyti, kuria jų bus vadovaujamasi šioje galimybių studijoje.</w:t>
            </w:r>
          </w:p>
        </w:tc>
        <w:tc>
          <w:tcPr>
            <w:tcW w:w="4981" w:type="dxa"/>
          </w:tcPr>
          <w:p w14:paraId="64D504EF" w14:textId="77777777" w:rsidR="00171C5B" w:rsidRDefault="00171C5B" w:rsidP="008D2FBA">
            <w:pPr>
              <w:jc w:val="center"/>
              <w:rPr>
                <w:i/>
                <w:color w:val="FF0000"/>
              </w:rPr>
            </w:pPr>
          </w:p>
          <w:p w14:paraId="7BF96D42" w14:textId="77777777" w:rsidR="008D2FBA" w:rsidRDefault="008D2FBA" w:rsidP="008D2FBA">
            <w:pPr>
              <w:jc w:val="center"/>
              <w:rPr>
                <w:i/>
                <w:color w:val="FF0000"/>
              </w:rPr>
            </w:pPr>
            <w:r w:rsidRPr="008C10B5">
              <w:rPr>
                <w:i/>
                <w:color w:val="FF0000"/>
              </w:rPr>
              <w:t>Taip/Ne</w:t>
            </w:r>
          </w:p>
          <w:p w14:paraId="658D1BA9" w14:textId="260A80BC" w:rsidR="00DE284B" w:rsidRDefault="00DE284B" w:rsidP="00D464CC">
            <w:pPr>
              <w:suppressAutoHyphens/>
              <w:spacing w:line="276" w:lineRule="auto"/>
              <w:jc w:val="center"/>
              <w:rPr>
                <w:color w:val="FF0000"/>
                <w:lang w:eastAsia="en-US"/>
              </w:rPr>
            </w:pPr>
          </w:p>
        </w:tc>
      </w:tr>
      <w:tr w:rsidR="008D2FBA" w:rsidRPr="009F5680" w14:paraId="79478432" w14:textId="77777777" w:rsidTr="008D2FBA">
        <w:trPr>
          <w:trHeight w:val="393"/>
        </w:trPr>
        <w:tc>
          <w:tcPr>
            <w:tcW w:w="9962" w:type="dxa"/>
            <w:gridSpan w:val="2"/>
            <w:shd w:val="clear" w:color="auto" w:fill="E7E6E6" w:themeFill="background2"/>
          </w:tcPr>
          <w:p w14:paraId="1A1D836C" w14:textId="5B2B330B" w:rsidR="008D2FBA" w:rsidRPr="00171C5B" w:rsidRDefault="00FB3104" w:rsidP="00171C5B">
            <w:r>
              <w:rPr>
                <w:b/>
                <w:bCs/>
              </w:rPr>
              <w:t>6</w:t>
            </w:r>
            <w:r w:rsidR="008D2FBA">
              <w:rPr>
                <w:b/>
                <w:bCs/>
              </w:rPr>
              <w:t xml:space="preserve">. </w:t>
            </w:r>
            <w:r w:rsidR="008D2FBA" w:rsidRPr="008D2FBA">
              <w:rPr>
                <w:b/>
                <w:bCs/>
              </w:rPr>
              <w:t>Lietuvoje vystomų kibernetinio saugumo VPSB krypčių analizė</w:t>
            </w:r>
          </w:p>
        </w:tc>
      </w:tr>
      <w:tr w:rsidR="00DE284B" w:rsidRPr="008847A3" w14:paraId="08FADFA2" w14:textId="77777777" w:rsidTr="00AA6909">
        <w:trPr>
          <w:trHeight w:val="620"/>
        </w:trPr>
        <w:tc>
          <w:tcPr>
            <w:tcW w:w="4981" w:type="dxa"/>
          </w:tcPr>
          <w:p w14:paraId="313011E6" w14:textId="48B1EBFC" w:rsidR="00DE284B" w:rsidRPr="00A51ED7" w:rsidRDefault="00FB3104" w:rsidP="008459CD">
            <w:pPr>
              <w:pStyle w:val="ListParagraph"/>
              <w:tabs>
                <w:tab w:val="left" w:pos="851"/>
                <w:tab w:val="left" w:pos="1134"/>
              </w:tabs>
              <w:ind w:left="0"/>
              <w:jc w:val="both"/>
            </w:pPr>
            <w:r>
              <w:t>6.1. surinkti informaciją apie Lietuvoje plėtojamas kibernetinio saugumo VPSB kryptis ir vykdomas veiklas bei atlikti jų analizę (pvz., nustatyti įgyvendinimo rezultatų veiksmingumą, dalyvaujančius suinteresuotus asmenis, vykdomos veiklos trukmę, organizacinę struktūrą, pasidalijamą naudą ir kaštus ir pan.);</w:t>
            </w:r>
          </w:p>
        </w:tc>
        <w:tc>
          <w:tcPr>
            <w:tcW w:w="4981" w:type="dxa"/>
          </w:tcPr>
          <w:p w14:paraId="1C2B7FE5" w14:textId="77777777" w:rsidR="008C10B5" w:rsidRDefault="008C10B5" w:rsidP="008C10B5">
            <w:pPr>
              <w:jc w:val="center"/>
              <w:rPr>
                <w:i/>
                <w:color w:val="000000" w:themeColor="text1"/>
              </w:rPr>
            </w:pPr>
          </w:p>
          <w:p w14:paraId="1BBAB904" w14:textId="77777777" w:rsidR="007C5BD7" w:rsidRDefault="007C5BD7" w:rsidP="008C10B5">
            <w:pPr>
              <w:jc w:val="center"/>
              <w:rPr>
                <w:i/>
                <w:color w:val="000000" w:themeColor="text1"/>
              </w:rPr>
            </w:pPr>
          </w:p>
          <w:p w14:paraId="23520E41" w14:textId="77777777" w:rsidR="00171C5B" w:rsidRDefault="00171C5B" w:rsidP="007C5BD7">
            <w:pPr>
              <w:jc w:val="center"/>
              <w:rPr>
                <w:i/>
                <w:color w:val="FF0000"/>
              </w:rPr>
            </w:pPr>
          </w:p>
          <w:p w14:paraId="0FA87732" w14:textId="77777777" w:rsidR="007C5BD7" w:rsidRDefault="007C5BD7" w:rsidP="007C5BD7">
            <w:pPr>
              <w:jc w:val="center"/>
              <w:rPr>
                <w:i/>
                <w:color w:val="FF0000"/>
              </w:rPr>
            </w:pPr>
            <w:r w:rsidRPr="008C10B5">
              <w:rPr>
                <w:i/>
                <w:color w:val="FF0000"/>
              </w:rPr>
              <w:t>Taip/Ne</w:t>
            </w:r>
          </w:p>
          <w:p w14:paraId="6558830D" w14:textId="77777777" w:rsidR="007C5BD7" w:rsidRDefault="007C5BD7" w:rsidP="008C10B5">
            <w:pPr>
              <w:jc w:val="center"/>
              <w:rPr>
                <w:i/>
                <w:color w:val="000000" w:themeColor="text1"/>
              </w:rPr>
            </w:pPr>
          </w:p>
          <w:p w14:paraId="7426A0FC" w14:textId="34C376E3" w:rsidR="00D464CC" w:rsidRPr="00D464CC" w:rsidRDefault="00D464CC" w:rsidP="008C10B5">
            <w:pPr>
              <w:suppressAutoHyphens/>
              <w:spacing w:line="276" w:lineRule="auto"/>
              <w:jc w:val="center"/>
              <w:rPr>
                <w:i/>
                <w:color w:val="FF0000"/>
                <w:lang w:eastAsia="en-US"/>
              </w:rPr>
            </w:pPr>
          </w:p>
        </w:tc>
      </w:tr>
      <w:tr w:rsidR="00DE284B" w:rsidRPr="008847A3" w14:paraId="6B696DE6" w14:textId="77777777" w:rsidTr="00AA6909">
        <w:trPr>
          <w:trHeight w:val="620"/>
        </w:trPr>
        <w:tc>
          <w:tcPr>
            <w:tcW w:w="4981" w:type="dxa"/>
          </w:tcPr>
          <w:p w14:paraId="787B5B7D" w14:textId="6B372136" w:rsidR="00DE284B" w:rsidRPr="00D464CC" w:rsidRDefault="00FB3104" w:rsidP="008459CD">
            <w:pPr>
              <w:tabs>
                <w:tab w:val="left" w:pos="851"/>
              </w:tabs>
              <w:jc w:val="both"/>
            </w:pPr>
            <w:r>
              <w:t>6.2. suskirstyti identifikuotas kibernetinio saugumo VPSB kryptis pagal jų tikslus, pvz., mokymo programų kūrimas, kompetencijų ugdymas, technologijų ir infrastruktūros vystymas, keitimasis informacija, inovacijų vystymas ir pan.;</w:t>
            </w:r>
          </w:p>
        </w:tc>
        <w:tc>
          <w:tcPr>
            <w:tcW w:w="4981" w:type="dxa"/>
          </w:tcPr>
          <w:p w14:paraId="07E38E2E" w14:textId="77777777" w:rsidR="00DE284B" w:rsidRDefault="00DE284B" w:rsidP="00D464CC">
            <w:pPr>
              <w:ind w:firstLine="720"/>
              <w:jc w:val="center"/>
              <w:rPr>
                <w:i/>
                <w:color w:val="FF0000"/>
              </w:rPr>
            </w:pPr>
          </w:p>
          <w:p w14:paraId="3FD241AB" w14:textId="77777777" w:rsidR="003329D6" w:rsidRDefault="003329D6" w:rsidP="00D464CC">
            <w:pPr>
              <w:ind w:firstLine="720"/>
              <w:jc w:val="center"/>
              <w:rPr>
                <w:i/>
                <w:color w:val="FF0000"/>
              </w:rPr>
            </w:pPr>
          </w:p>
          <w:p w14:paraId="002E177D" w14:textId="77777777" w:rsidR="003329D6" w:rsidRDefault="003329D6" w:rsidP="003329D6">
            <w:pPr>
              <w:jc w:val="center"/>
              <w:rPr>
                <w:i/>
                <w:color w:val="FF0000"/>
              </w:rPr>
            </w:pPr>
            <w:r w:rsidRPr="008C10B5">
              <w:rPr>
                <w:i/>
                <w:color w:val="FF0000"/>
              </w:rPr>
              <w:t>Taip/Ne</w:t>
            </w:r>
          </w:p>
          <w:p w14:paraId="0347CC23" w14:textId="77777777" w:rsidR="003329D6" w:rsidRDefault="003329D6" w:rsidP="003329D6">
            <w:pPr>
              <w:jc w:val="center"/>
              <w:rPr>
                <w:i/>
                <w:color w:val="000000" w:themeColor="text1"/>
              </w:rPr>
            </w:pPr>
          </w:p>
          <w:p w14:paraId="523C3927" w14:textId="47A77AAF" w:rsidR="003329D6" w:rsidRPr="00D464CC" w:rsidRDefault="003329D6" w:rsidP="00D464CC">
            <w:pPr>
              <w:ind w:firstLine="720"/>
              <w:jc w:val="center"/>
              <w:rPr>
                <w:i/>
                <w:color w:val="FF0000"/>
              </w:rPr>
            </w:pPr>
          </w:p>
        </w:tc>
      </w:tr>
      <w:tr w:rsidR="00DE284B" w:rsidRPr="008847A3" w14:paraId="096D6F11" w14:textId="77777777" w:rsidTr="00AA6909">
        <w:trPr>
          <w:trHeight w:val="620"/>
        </w:trPr>
        <w:tc>
          <w:tcPr>
            <w:tcW w:w="4981" w:type="dxa"/>
          </w:tcPr>
          <w:p w14:paraId="2DC041B4" w14:textId="63CB8A5B" w:rsidR="00DE284B" w:rsidRPr="003329D6" w:rsidRDefault="00FB3104" w:rsidP="008459CD">
            <w:pPr>
              <w:pStyle w:val="ListParagraph"/>
              <w:tabs>
                <w:tab w:val="left" w:pos="851"/>
                <w:tab w:val="left" w:pos="1134"/>
              </w:tabs>
              <w:ind w:left="0"/>
              <w:jc w:val="both"/>
            </w:pPr>
            <w:r>
              <w:t>6.3. išskirti  sėkmingus ir neveiksmingus Lietuvoje vykdomų kibernetinio saugumo VPSB krypčių pavyzdžius;</w:t>
            </w:r>
          </w:p>
        </w:tc>
        <w:tc>
          <w:tcPr>
            <w:tcW w:w="4981" w:type="dxa"/>
          </w:tcPr>
          <w:p w14:paraId="6B7F5F6B" w14:textId="77777777" w:rsidR="00DE284B" w:rsidRDefault="00DE284B" w:rsidP="008C10B5">
            <w:pPr>
              <w:suppressAutoHyphens/>
              <w:spacing w:line="276" w:lineRule="auto"/>
              <w:jc w:val="center"/>
              <w:rPr>
                <w:i/>
                <w:color w:val="FF0000"/>
                <w:lang w:eastAsia="en-US"/>
              </w:rPr>
            </w:pPr>
          </w:p>
          <w:p w14:paraId="107C845C" w14:textId="77777777" w:rsidR="003329D6" w:rsidRDefault="003329D6" w:rsidP="003329D6">
            <w:pPr>
              <w:jc w:val="center"/>
              <w:rPr>
                <w:i/>
                <w:color w:val="FF0000"/>
              </w:rPr>
            </w:pPr>
            <w:r w:rsidRPr="008C10B5">
              <w:rPr>
                <w:i/>
                <w:color w:val="FF0000"/>
              </w:rPr>
              <w:t>Taip/Ne</w:t>
            </w:r>
          </w:p>
          <w:p w14:paraId="75CE6108" w14:textId="7F1A639D" w:rsidR="003329D6" w:rsidRPr="00D464CC" w:rsidRDefault="003329D6" w:rsidP="008C10B5">
            <w:pPr>
              <w:suppressAutoHyphens/>
              <w:spacing w:line="276" w:lineRule="auto"/>
              <w:jc w:val="center"/>
              <w:rPr>
                <w:i/>
                <w:color w:val="FF0000"/>
                <w:lang w:eastAsia="en-US"/>
              </w:rPr>
            </w:pPr>
          </w:p>
        </w:tc>
      </w:tr>
      <w:tr w:rsidR="00DE284B" w:rsidRPr="008847A3" w14:paraId="4253EC85" w14:textId="77777777" w:rsidTr="00AA6909">
        <w:trPr>
          <w:trHeight w:val="620"/>
        </w:trPr>
        <w:tc>
          <w:tcPr>
            <w:tcW w:w="4981" w:type="dxa"/>
          </w:tcPr>
          <w:p w14:paraId="464A8CA8" w14:textId="48D0F277" w:rsidR="00DE284B" w:rsidRPr="00A51ED7" w:rsidRDefault="00FB3104" w:rsidP="008459CD">
            <w:pPr>
              <w:pStyle w:val="ListParagraph"/>
              <w:tabs>
                <w:tab w:val="left" w:pos="851"/>
                <w:tab w:val="left" w:pos="1134"/>
              </w:tabs>
              <w:ind w:left="0"/>
              <w:jc w:val="both"/>
            </w:pPr>
            <w:r>
              <w:t>6.4. nurodyti esamus iššūkius ir galimybes toliau stiprinti kibernetinio saugumo VPSB kryptis, kurios buvo nurodytos kaip sėkmingos veiklos pavyzdžiai.</w:t>
            </w:r>
          </w:p>
        </w:tc>
        <w:tc>
          <w:tcPr>
            <w:tcW w:w="4981" w:type="dxa"/>
          </w:tcPr>
          <w:p w14:paraId="3502ECB0" w14:textId="77777777" w:rsidR="008C10B5" w:rsidRDefault="008C10B5" w:rsidP="008C10B5">
            <w:pPr>
              <w:jc w:val="center"/>
              <w:rPr>
                <w:i/>
                <w:color w:val="000000" w:themeColor="text1"/>
              </w:rPr>
            </w:pPr>
          </w:p>
          <w:p w14:paraId="4F72F848" w14:textId="77777777" w:rsidR="003329D6" w:rsidRDefault="003329D6" w:rsidP="003329D6">
            <w:pPr>
              <w:jc w:val="center"/>
              <w:rPr>
                <w:i/>
                <w:color w:val="FF0000"/>
              </w:rPr>
            </w:pPr>
            <w:r w:rsidRPr="008C10B5">
              <w:rPr>
                <w:i/>
                <w:color w:val="FF0000"/>
              </w:rPr>
              <w:t>Taip/Ne</w:t>
            </w:r>
          </w:p>
          <w:p w14:paraId="4F9CDA63" w14:textId="77777777" w:rsidR="003329D6" w:rsidRDefault="003329D6" w:rsidP="008C10B5">
            <w:pPr>
              <w:jc w:val="center"/>
              <w:rPr>
                <w:i/>
                <w:color w:val="000000" w:themeColor="text1"/>
              </w:rPr>
            </w:pPr>
          </w:p>
          <w:p w14:paraId="240080A4" w14:textId="77777777" w:rsidR="00DE284B" w:rsidRDefault="00DE284B" w:rsidP="008D2FBA">
            <w:pPr>
              <w:ind w:firstLine="720"/>
              <w:jc w:val="center"/>
              <w:rPr>
                <w:color w:val="FF0000"/>
                <w:lang w:eastAsia="en-US"/>
              </w:rPr>
            </w:pPr>
          </w:p>
        </w:tc>
      </w:tr>
      <w:tr w:rsidR="003329D6" w:rsidRPr="009F5680" w14:paraId="2D6342B1" w14:textId="77777777" w:rsidTr="002446FE">
        <w:trPr>
          <w:trHeight w:val="393"/>
        </w:trPr>
        <w:tc>
          <w:tcPr>
            <w:tcW w:w="9962" w:type="dxa"/>
            <w:gridSpan w:val="2"/>
            <w:shd w:val="clear" w:color="auto" w:fill="E7E6E6" w:themeFill="background2"/>
          </w:tcPr>
          <w:p w14:paraId="2FD8B643" w14:textId="020940A5" w:rsidR="003329D6" w:rsidRPr="00C962E6" w:rsidRDefault="00FB3104" w:rsidP="00171C5B">
            <w:r>
              <w:rPr>
                <w:b/>
                <w:bCs/>
              </w:rPr>
              <w:t>7</w:t>
            </w:r>
            <w:r w:rsidR="003329D6">
              <w:rPr>
                <w:b/>
                <w:bCs/>
              </w:rPr>
              <w:t xml:space="preserve">. </w:t>
            </w:r>
            <w:r w:rsidR="003329D6" w:rsidRPr="00C962E6">
              <w:rPr>
                <w:b/>
              </w:rPr>
              <w:t>Potencialių kibernetinio saugumo VPSB krypčių nustatymas</w:t>
            </w:r>
            <w:r w:rsidR="003329D6">
              <w:rPr>
                <w:b/>
              </w:rPr>
              <w:t>:</w:t>
            </w:r>
          </w:p>
          <w:p w14:paraId="27D4E509" w14:textId="77777777" w:rsidR="003329D6" w:rsidRPr="00A51ED7" w:rsidRDefault="003329D6" w:rsidP="002446FE">
            <w:pPr>
              <w:pStyle w:val="ListParagraph"/>
              <w:suppressAutoHyphens/>
              <w:spacing w:before="120" w:line="276" w:lineRule="auto"/>
              <w:jc w:val="center"/>
              <w:rPr>
                <w:b/>
                <w:lang w:eastAsia="en-US"/>
              </w:rPr>
            </w:pPr>
          </w:p>
        </w:tc>
      </w:tr>
      <w:tr w:rsidR="00D464CC" w:rsidRPr="008847A3" w14:paraId="14591370" w14:textId="77777777" w:rsidTr="00AA6909">
        <w:trPr>
          <w:trHeight w:val="620"/>
        </w:trPr>
        <w:tc>
          <w:tcPr>
            <w:tcW w:w="4981" w:type="dxa"/>
          </w:tcPr>
          <w:p w14:paraId="266DA0BE" w14:textId="3E127B2A" w:rsidR="00D464CC" w:rsidRDefault="00FB3104" w:rsidP="008459CD">
            <w:pPr>
              <w:pStyle w:val="ListParagraph"/>
              <w:tabs>
                <w:tab w:val="left" w:pos="851"/>
                <w:tab w:val="left" w:pos="1134"/>
              </w:tabs>
              <w:ind w:left="0"/>
              <w:jc w:val="both"/>
              <w:rPr>
                <w:kern w:val="2"/>
                <w:lang w:eastAsia="en-US"/>
                <w14:ligatures w14:val="standardContextual"/>
              </w:rPr>
            </w:pPr>
            <w:r>
              <w:t xml:space="preserve">7.1. pateikti efektyvius kibernetinio saugumo VPSB krypčių pavyzdžius pagal užsienio šalių gerąją praktiką (tarp jų bent vienos Lietuvai </w:t>
            </w:r>
            <w:r>
              <w:lastRenderedPageBreak/>
              <w:t>kultūriškai artimiausios Europos Sąjungos (ES) šalies);</w:t>
            </w:r>
          </w:p>
        </w:tc>
        <w:tc>
          <w:tcPr>
            <w:tcW w:w="4981" w:type="dxa"/>
          </w:tcPr>
          <w:p w14:paraId="4B4A97CA" w14:textId="77777777" w:rsidR="00D464CC" w:rsidRDefault="00D464CC" w:rsidP="008C10B5">
            <w:pPr>
              <w:jc w:val="center"/>
              <w:rPr>
                <w:i/>
                <w:color w:val="000000" w:themeColor="text1"/>
              </w:rPr>
            </w:pPr>
          </w:p>
          <w:p w14:paraId="208B14A0" w14:textId="77777777" w:rsidR="003329D6" w:rsidRDefault="003329D6" w:rsidP="003329D6">
            <w:pPr>
              <w:jc w:val="center"/>
              <w:rPr>
                <w:i/>
                <w:color w:val="FF0000"/>
              </w:rPr>
            </w:pPr>
            <w:r w:rsidRPr="008C10B5">
              <w:rPr>
                <w:i/>
                <w:color w:val="FF0000"/>
              </w:rPr>
              <w:t>Taip/Ne</w:t>
            </w:r>
          </w:p>
          <w:p w14:paraId="12A30E4D" w14:textId="77777777" w:rsidR="003329D6" w:rsidRDefault="003329D6" w:rsidP="003329D6">
            <w:pPr>
              <w:jc w:val="center"/>
              <w:rPr>
                <w:i/>
                <w:color w:val="000000" w:themeColor="text1"/>
              </w:rPr>
            </w:pPr>
          </w:p>
          <w:p w14:paraId="56BC641A" w14:textId="326C6849" w:rsidR="00FA1734" w:rsidRDefault="00FA1734" w:rsidP="00FA1734">
            <w:pPr>
              <w:jc w:val="center"/>
              <w:rPr>
                <w:i/>
                <w:color w:val="000000" w:themeColor="text1"/>
              </w:rPr>
            </w:pPr>
          </w:p>
        </w:tc>
      </w:tr>
      <w:tr w:rsidR="00D464CC" w:rsidRPr="008847A3" w14:paraId="41C565DE" w14:textId="77777777" w:rsidTr="00AA6909">
        <w:trPr>
          <w:trHeight w:val="620"/>
        </w:trPr>
        <w:tc>
          <w:tcPr>
            <w:tcW w:w="4981" w:type="dxa"/>
          </w:tcPr>
          <w:p w14:paraId="021EAB45" w14:textId="26872B13" w:rsidR="00D464CC" w:rsidRDefault="00FB3104" w:rsidP="008459CD">
            <w:pPr>
              <w:pStyle w:val="ListParagraph"/>
              <w:tabs>
                <w:tab w:val="left" w:pos="851"/>
                <w:tab w:val="left" w:pos="1134"/>
              </w:tabs>
              <w:ind w:left="0"/>
              <w:jc w:val="both"/>
              <w:rPr>
                <w:kern w:val="2"/>
                <w:lang w:eastAsia="en-US"/>
                <w14:ligatures w14:val="standardContextual"/>
              </w:rPr>
            </w:pPr>
            <w:r>
              <w:lastRenderedPageBreak/>
              <w:t>7.2. nustatyti Lietuvai siūlomas plėtoti naujas potencialias kibernetinio saugumo VPSB kryptis, atsižvelgiant į gerąją užsienio šalių praktiką ir nacionaliniuose bei ES strateginiuose dokumentuose nurodytas kibernetinio saugumo prioritetines sritis</w:t>
            </w:r>
            <w:r w:rsidR="00171C5B">
              <w:t>.</w:t>
            </w:r>
          </w:p>
        </w:tc>
        <w:tc>
          <w:tcPr>
            <w:tcW w:w="4981" w:type="dxa"/>
          </w:tcPr>
          <w:p w14:paraId="5ED26E4D" w14:textId="77777777" w:rsidR="00D464CC" w:rsidRDefault="00D464CC" w:rsidP="008C10B5">
            <w:pPr>
              <w:jc w:val="center"/>
              <w:rPr>
                <w:i/>
                <w:color w:val="000000" w:themeColor="text1"/>
              </w:rPr>
            </w:pPr>
          </w:p>
          <w:p w14:paraId="0C16A71B" w14:textId="77777777" w:rsidR="003329D6" w:rsidRDefault="003329D6" w:rsidP="003329D6">
            <w:pPr>
              <w:jc w:val="center"/>
              <w:rPr>
                <w:i/>
                <w:color w:val="FF0000"/>
              </w:rPr>
            </w:pPr>
          </w:p>
          <w:p w14:paraId="39E472D8" w14:textId="77777777" w:rsidR="003329D6" w:rsidRDefault="003329D6" w:rsidP="003329D6">
            <w:pPr>
              <w:jc w:val="center"/>
              <w:rPr>
                <w:i/>
                <w:color w:val="FF0000"/>
              </w:rPr>
            </w:pPr>
            <w:r w:rsidRPr="008C10B5">
              <w:rPr>
                <w:i/>
                <w:color w:val="FF0000"/>
              </w:rPr>
              <w:t>Taip/Ne</w:t>
            </w:r>
          </w:p>
          <w:p w14:paraId="6D503A96" w14:textId="77777777" w:rsidR="003329D6" w:rsidRDefault="003329D6" w:rsidP="008C10B5">
            <w:pPr>
              <w:jc w:val="center"/>
              <w:rPr>
                <w:i/>
                <w:color w:val="000000" w:themeColor="text1"/>
              </w:rPr>
            </w:pPr>
          </w:p>
          <w:p w14:paraId="6D9D2C9D" w14:textId="77777777" w:rsidR="00FA1734" w:rsidRDefault="00FA1734" w:rsidP="008D2FBA">
            <w:pPr>
              <w:jc w:val="center"/>
              <w:rPr>
                <w:i/>
                <w:color w:val="000000" w:themeColor="text1"/>
              </w:rPr>
            </w:pPr>
          </w:p>
        </w:tc>
      </w:tr>
      <w:tr w:rsidR="00D464CC" w14:paraId="156C1497" w14:textId="77777777" w:rsidTr="002446FE">
        <w:trPr>
          <w:trHeight w:val="620"/>
        </w:trPr>
        <w:tc>
          <w:tcPr>
            <w:tcW w:w="4981" w:type="dxa"/>
          </w:tcPr>
          <w:p w14:paraId="2A9F6962" w14:textId="77777777" w:rsidR="00F419BD" w:rsidRDefault="001627C5" w:rsidP="008459CD">
            <w:pPr>
              <w:pStyle w:val="ListParagraph"/>
              <w:tabs>
                <w:tab w:val="left" w:pos="851"/>
                <w:tab w:val="left" w:pos="1134"/>
              </w:tabs>
              <w:ind w:left="0"/>
              <w:jc w:val="both"/>
              <w:rPr>
                <w:b/>
                <w:bCs/>
              </w:rPr>
            </w:pPr>
            <w:r>
              <w:t xml:space="preserve">8. </w:t>
            </w:r>
            <w:r>
              <w:rPr>
                <w:b/>
                <w:bCs/>
              </w:rPr>
              <w:t>VPSB kibernetinio saugumo kompetencijų ugdymo srityje poreikio analizė</w:t>
            </w:r>
          </w:p>
          <w:p w14:paraId="36913205" w14:textId="77777777" w:rsidR="001627C5" w:rsidRDefault="001627C5" w:rsidP="001627C5">
            <w:pPr>
              <w:pStyle w:val="ListParagraph"/>
              <w:tabs>
                <w:tab w:val="left" w:pos="426"/>
              </w:tabs>
              <w:ind w:left="0" w:firstLine="709"/>
              <w:jc w:val="both"/>
            </w:pPr>
            <w:r>
              <w:t>(rezultatą pateikti lentelėmis ir grafikais, aiškiai apibendrinant gautus duomenis ir pateikiant išvadas)</w:t>
            </w:r>
          </w:p>
          <w:p w14:paraId="115246FE" w14:textId="2A581C06" w:rsidR="001627C5" w:rsidRPr="00F419BD" w:rsidRDefault="001627C5" w:rsidP="008459CD">
            <w:pPr>
              <w:pStyle w:val="ListParagraph"/>
              <w:tabs>
                <w:tab w:val="left" w:pos="851"/>
                <w:tab w:val="left" w:pos="1134"/>
              </w:tabs>
              <w:ind w:left="0"/>
              <w:jc w:val="both"/>
            </w:pPr>
            <w:r>
              <w:t>Analizės tikslas – surinkti reikalingą informaciją siekiant parengti VPSB modelį kibernetinio saugumo kompetencijų ugdymo srityje ir nustatyti potencialių suinteresuotų šalių įsitraukimo į modelį suinteresuotumo lygį. Reikia:</w:t>
            </w:r>
          </w:p>
        </w:tc>
        <w:tc>
          <w:tcPr>
            <w:tcW w:w="4981" w:type="dxa"/>
          </w:tcPr>
          <w:p w14:paraId="16BB8EDD" w14:textId="77777777" w:rsidR="00D464CC" w:rsidRDefault="00D464CC" w:rsidP="00FA1734">
            <w:pPr>
              <w:jc w:val="center"/>
              <w:rPr>
                <w:i/>
                <w:color w:val="000000" w:themeColor="text1"/>
              </w:rPr>
            </w:pPr>
          </w:p>
          <w:p w14:paraId="34647998" w14:textId="77777777" w:rsidR="00F419BD" w:rsidRDefault="00F419BD" w:rsidP="00FA1734">
            <w:pPr>
              <w:jc w:val="center"/>
              <w:rPr>
                <w:i/>
                <w:color w:val="000000" w:themeColor="text1"/>
              </w:rPr>
            </w:pPr>
          </w:p>
          <w:p w14:paraId="0D9996BC" w14:textId="77777777" w:rsidR="00F419BD" w:rsidRDefault="00F419BD" w:rsidP="00FA1734">
            <w:pPr>
              <w:jc w:val="center"/>
              <w:rPr>
                <w:i/>
                <w:color w:val="000000" w:themeColor="text1"/>
              </w:rPr>
            </w:pPr>
          </w:p>
          <w:p w14:paraId="58386DF5" w14:textId="77777777" w:rsidR="00F419BD" w:rsidRDefault="00F419BD" w:rsidP="00FA1734">
            <w:pPr>
              <w:jc w:val="center"/>
              <w:rPr>
                <w:i/>
                <w:color w:val="000000" w:themeColor="text1"/>
              </w:rPr>
            </w:pPr>
          </w:p>
          <w:p w14:paraId="07DF2AAC" w14:textId="77777777" w:rsidR="00F419BD" w:rsidRDefault="00F419BD" w:rsidP="00F419BD">
            <w:pPr>
              <w:jc w:val="center"/>
              <w:rPr>
                <w:i/>
                <w:color w:val="FF0000"/>
              </w:rPr>
            </w:pPr>
            <w:r w:rsidRPr="008C10B5">
              <w:rPr>
                <w:i/>
                <w:color w:val="FF0000"/>
              </w:rPr>
              <w:t>Taip/Ne</w:t>
            </w:r>
          </w:p>
          <w:p w14:paraId="1774B3B9" w14:textId="77777777" w:rsidR="00F419BD" w:rsidRDefault="00F419BD" w:rsidP="00F419BD">
            <w:pPr>
              <w:jc w:val="center"/>
              <w:rPr>
                <w:i/>
                <w:color w:val="000000" w:themeColor="text1"/>
              </w:rPr>
            </w:pPr>
          </w:p>
          <w:p w14:paraId="1C7A2863" w14:textId="03E981E1" w:rsidR="00F419BD" w:rsidRDefault="00F419BD" w:rsidP="00FA1734">
            <w:pPr>
              <w:jc w:val="center"/>
              <w:rPr>
                <w:i/>
                <w:color w:val="000000" w:themeColor="text1"/>
              </w:rPr>
            </w:pPr>
          </w:p>
        </w:tc>
      </w:tr>
      <w:tr w:rsidR="00D464CC" w14:paraId="65920365" w14:textId="77777777" w:rsidTr="002446FE">
        <w:trPr>
          <w:trHeight w:val="620"/>
        </w:trPr>
        <w:tc>
          <w:tcPr>
            <w:tcW w:w="4981" w:type="dxa"/>
          </w:tcPr>
          <w:p w14:paraId="6E5EA84A" w14:textId="3AC07751" w:rsidR="00D464CC" w:rsidRDefault="009C5EAA" w:rsidP="00171C5B">
            <w:pPr>
              <w:pStyle w:val="ListParagraph"/>
              <w:tabs>
                <w:tab w:val="left" w:pos="851"/>
                <w:tab w:val="left" w:pos="1134"/>
              </w:tabs>
              <w:ind w:left="0"/>
              <w:jc w:val="both"/>
              <w:rPr>
                <w:kern w:val="2"/>
                <w:lang w:eastAsia="en-US"/>
                <w14:ligatures w14:val="standardContextual"/>
              </w:rPr>
            </w:pPr>
            <w:r>
              <w:t>8</w:t>
            </w:r>
            <w:r w:rsidRPr="00332833">
              <w:t>.1. atlikti reprezentatyvią Lietuvos darbdavių apklausą pagal su Perkančiąja organizacija suderintus klausimus ir darbo pasiūlymų kibernetinio saugumo srityje analizę</w:t>
            </w:r>
            <w:r w:rsidRPr="00BB0BA9">
              <w:rPr>
                <w:bCs/>
              </w:rPr>
              <w:t xml:space="preserve"> (pvz., </w:t>
            </w:r>
            <w:r w:rsidRPr="00BB0BA9">
              <w:t>dėl kibernetinio saugumo specialistų</w:t>
            </w:r>
            <w:r w:rsidRPr="00794F2F">
              <w:t xml:space="preserve"> poreikio; reikalingų kibernetinio saugumo ir švelniųjų kompetencijų; darbdavių reikalavimo turėti atitinkamus kibernetinio saugumo sertifikatus (pvz., </w:t>
            </w:r>
            <w:r w:rsidRPr="00404264">
              <w:rPr>
                <w:i/>
              </w:rPr>
              <w:t>CompTIA Security+</w:t>
            </w:r>
            <w:r w:rsidRPr="00794F2F">
              <w:t>,</w:t>
            </w:r>
            <w:r w:rsidRPr="00794F2F">
              <w:t xml:space="preserve"> </w:t>
            </w:r>
            <w:r w:rsidRPr="00794F2F">
              <w:t>Sertifikuoto informacijos saugos vadybininko sertifikatas (CISM),</w:t>
            </w:r>
            <w:r w:rsidRPr="00794F2F">
              <w:rPr>
                <w:rFonts w:ascii="Arial" w:hAnsi="Arial" w:cs="Arial"/>
                <w:sz w:val="26"/>
                <w:szCs w:val="26"/>
                <w:shd w:val="clear" w:color="auto" w:fill="FFFFFF"/>
              </w:rPr>
              <w:t xml:space="preserve"> </w:t>
            </w:r>
            <w:r w:rsidRPr="00404264">
              <w:rPr>
                <w:i/>
              </w:rPr>
              <w:t xml:space="preserve">Certified Cloud Security Professional </w:t>
            </w:r>
            <w:r w:rsidRPr="00C962E6">
              <w:t xml:space="preserve">(CCSP), </w:t>
            </w:r>
            <w:r w:rsidRPr="00404264">
              <w:rPr>
                <w:i/>
              </w:rPr>
              <w:t>Certified Information Systems Security Professional</w:t>
            </w:r>
            <w:r w:rsidRPr="00C962E6">
              <w:t xml:space="preserve"> (CISSP) ir kt.);  poreikio ir galimybių bendradarbiauti su Lietuvos aukštojo mokslo institucijomis</w:t>
            </w:r>
            <w:r>
              <w:t xml:space="preserve"> (universitetais)</w:t>
            </w:r>
            <w:r w:rsidRPr="00C962E6">
              <w:t xml:space="preserve">, privataus </w:t>
            </w:r>
            <w:r w:rsidRPr="00332833">
              <w:t>sektoriaus organizacijomis, teikiančiomis kibernetinio saugumo mokymo paslaugas, priimant studentus atlikti praktikos; tarptautinių kibernetinio saugumo sertifikatų svarbos darbo rinkoje ir jų prieinamumo ir kt.)</w:t>
            </w:r>
            <w:r>
              <w:t>;</w:t>
            </w:r>
          </w:p>
        </w:tc>
        <w:tc>
          <w:tcPr>
            <w:tcW w:w="4981" w:type="dxa"/>
          </w:tcPr>
          <w:p w14:paraId="6CB48EEB" w14:textId="77777777" w:rsidR="00D464CC" w:rsidRDefault="00D464CC" w:rsidP="00FA1734">
            <w:pPr>
              <w:jc w:val="center"/>
              <w:rPr>
                <w:i/>
                <w:color w:val="000000" w:themeColor="text1"/>
              </w:rPr>
            </w:pPr>
          </w:p>
          <w:p w14:paraId="65DBC016" w14:textId="77777777" w:rsidR="00F419BD" w:rsidRDefault="00F419BD" w:rsidP="00FA1734">
            <w:pPr>
              <w:jc w:val="center"/>
              <w:rPr>
                <w:i/>
                <w:color w:val="000000" w:themeColor="text1"/>
              </w:rPr>
            </w:pPr>
          </w:p>
          <w:p w14:paraId="3A64E96E" w14:textId="77777777" w:rsidR="00F419BD" w:rsidRDefault="00F419BD" w:rsidP="00FA1734">
            <w:pPr>
              <w:jc w:val="center"/>
              <w:rPr>
                <w:i/>
                <w:color w:val="000000" w:themeColor="text1"/>
              </w:rPr>
            </w:pPr>
          </w:p>
          <w:p w14:paraId="4C5BE7D8" w14:textId="77777777" w:rsidR="00F419BD" w:rsidRDefault="00F419BD" w:rsidP="00FA1734">
            <w:pPr>
              <w:jc w:val="center"/>
              <w:rPr>
                <w:i/>
                <w:color w:val="000000" w:themeColor="text1"/>
              </w:rPr>
            </w:pPr>
          </w:p>
          <w:p w14:paraId="7CDA1CDC" w14:textId="77777777" w:rsidR="00F419BD" w:rsidRDefault="00F419BD" w:rsidP="00FA1734">
            <w:pPr>
              <w:jc w:val="center"/>
              <w:rPr>
                <w:i/>
                <w:color w:val="000000" w:themeColor="text1"/>
              </w:rPr>
            </w:pPr>
          </w:p>
          <w:p w14:paraId="56922A7E" w14:textId="77777777" w:rsidR="00F419BD" w:rsidRDefault="00F419BD" w:rsidP="00FA1734">
            <w:pPr>
              <w:jc w:val="center"/>
              <w:rPr>
                <w:i/>
                <w:color w:val="000000" w:themeColor="text1"/>
              </w:rPr>
            </w:pPr>
          </w:p>
          <w:p w14:paraId="2A8C4707" w14:textId="77777777" w:rsidR="00171C5B" w:rsidRDefault="00171C5B" w:rsidP="00F419BD">
            <w:pPr>
              <w:jc w:val="center"/>
              <w:rPr>
                <w:i/>
                <w:color w:val="FF0000"/>
              </w:rPr>
            </w:pPr>
          </w:p>
          <w:p w14:paraId="628DAA30" w14:textId="77777777" w:rsidR="00171C5B" w:rsidRDefault="00171C5B" w:rsidP="00F419BD">
            <w:pPr>
              <w:jc w:val="center"/>
              <w:rPr>
                <w:i/>
                <w:color w:val="FF0000"/>
              </w:rPr>
            </w:pPr>
          </w:p>
          <w:p w14:paraId="4075064E" w14:textId="77777777" w:rsidR="00F419BD" w:rsidRDefault="00F419BD" w:rsidP="00F419BD">
            <w:pPr>
              <w:jc w:val="center"/>
              <w:rPr>
                <w:i/>
                <w:color w:val="FF0000"/>
              </w:rPr>
            </w:pPr>
            <w:r w:rsidRPr="008C10B5">
              <w:rPr>
                <w:i/>
                <w:color w:val="FF0000"/>
              </w:rPr>
              <w:t>Taip/Ne</w:t>
            </w:r>
          </w:p>
          <w:p w14:paraId="406B0B01" w14:textId="3028418C" w:rsidR="00F419BD" w:rsidRDefault="00F419BD" w:rsidP="00FA1734">
            <w:pPr>
              <w:jc w:val="center"/>
              <w:rPr>
                <w:i/>
                <w:color w:val="000000" w:themeColor="text1"/>
              </w:rPr>
            </w:pPr>
          </w:p>
        </w:tc>
      </w:tr>
      <w:tr w:rsidR="00D464CC" w14:paraId="61F562F8" w14:textId="77777777" w:rsidTr="002446FE">
        <w:trPr>
          <w:trHeight w:val="620"/>
        </w:trPr>
        <w:tc>
          <w:tcPr>
            <w:tcW w:w="4981" w:type="dxa"/>
          </w:tcPr>
          <w:p w14:paraId="2971EDD5" w14:textId="77777777" w:rsidR="00171C5B" w:rsidRDefault="009C5EAA" w:rsidP="00171C5B">
            <w:pPr>
              <w:pStyle w:val="ListParagraph"/>
              <w:ind w:left="0"/>
              <w:jc w:val="both"/>
            </w:pPr>
            <w:r>
              <w:t>8</w:t>
            </w:r>
            <w:r w:rsidRPr="00E66C6A">
              <w:t>.2. atlikti visų Lietuvos aukštojo mokslo institucijų (universitetų) vykdomų kibernetinio saugumo studijų programų</w:t>
            </w:r>
            <w:r w:rsidRPr="00332833">
              <w:t xml:space="preserve"> analizę. </w:t>
            </w:r>
          </w:p>
          <w:p w14:paraId="2D993852" w14:textId="12BDD89A" w:rsidR="00D464CC" w:rsidRPr="00171C5B" w:rsidRDefault="009C5EAA" w:rsidP="00171C5B">
            <w:pPr>
              <w:pStyle w:val="ListParagraph"/>
              <w:ind w:left="0"/>
              <w:jc w:val="both"/>
            </w:pPr>
            <w:r w:rsidRPr="00332833">
              <w:t>Analizė, be kitos paslaugos tiekėjo nuožiūra išanalizuotos informacijos, turi apimti:</w:t>
            </w:r>
          </w:p>
        </w:tc>
        <w:tc>
          <w:tcPr>
            <w:tcW w:w="4981" w:type="dxa"/>
          </w:tcPr>
          <w:p w14:paraId="31B8A54E" w14:textId="77777777" w:rsidR="00D464CC" w:rsidRDefault="00D464CC" w:rsidP="002446FE">
            <w:pPr>
              <w:jc w:val="center"/>
              <w:rPr>
                <w:i/>
                <w:color w:val="000000" w:themeColor="text1"/>
              </w:rPr>
            </w:pPr>
          </w:p>
          <w:p w14:paraId="5D54D781" w14:textId="77777777" w:rsidR="00F419BD" w:rsidRDefault="00F419BD" w:rsidP="00F419BD">
            <w:pPr>
              <w:jc w:val="center"/>
              <w:rPr>
                <w:i/>
                <w:color w:val="000000" w:themeColor="text1"/>
              </w:rPr>
            </w:pPr>
          </w:p>
          <w:p w14:paraId="1ADC6893" w14:textId="77777777" w:rsidR="00F419BD" w:rsidRDefault="00F419BD" w:rsidP="00F419BD">
            <w:pPr>
              <w:jc w:val="center"/>
              <w:rPr>
                <w:i/>
                <w:color w:val="FF0000"/>
              </w:rPr>
            </w:pPr>
            <w:r w:rsidRPr="008C10B5">
              <w:rPr>
                <w:i/>
                <w:color w:val="FF0000"/>
              </w:rPr>
              <w:t>Taip/Ne</w:t>
            </w:r>
          </w:p>
          <w:p w14:paraId="6A127A94" w14:textId="1367632A" w:rsidR="00FA1734" w:rsidRDefault="00FA1734" w:rsidP="00FA1734">
            <w:pPr>
              <w:jc w:val="center"/>
              <w:rPr>
                <w:i/>
                <w:color w:val="000000" w:themeColor="text1"/>
              </w:rPr>
            </w:pPr>
          </w:p>
        </w:tc>
      </w:tr>
      <w:tr w:rsidR="00F419BD" w14:paraId="00539E70" w14:textId="77777777" w:rsidTr="002446FE">
        <w:trPr>
          <w:trHeight w:val="620"/>
        </w:trPr>
        <w:tc>
          <w:tcPr>
            <w:tcW w:w="4981" w:type="dxa"/>
          </w:tcPr>
          <w:p w14:paraId="09998F89" w14:textId="119D16D2" w:rsidR="00F419BD" w:rsidRDefault="009C5EAA" w:rsidP="008459CD">
            <w:pPr>
              <w:pStyle w:val="ListParagraph"/>
              <w:tabs>
                <w:tab w:val="left" w:pos="851"/>
                <w:tab w:val="left" w:pos="1134"/>
              </w:tabs>
              <w:ind w:left="0"/>
              <w:jc w:val="both"/>
              <w:rPr>
                <w:kern w:val="2"/>
                <w:lang w:eastAsia="en-US"/>
                <w14:ligatures w14:val="standardContextual"/>
              </w:rPr>
            </w:pPr>
            <w:r>
              <w:t>8</w:t>
            </w:r>
            <w:r w:rsidRPr="00332833">
              <w:t xml:space="preserve">.2.1. informaciją apie esamas kibernetinio saugumo studijų programas, programas studijuojančių / abslolventų statistiką (apimančią </w:t>
            </w:r>
            <w:r w:rsidRPr="00332833">
              <w:lastRenderedPageBreak/>
              <w:t>ne mažiau kaip 3 pastaruosius metus) ir studentų skaičiaus prognozes</w:t>
            </w:r>
            <w:r>
              <w:t>;</w:t>
            </w:r>
          </w:p>
        </w:tc>
        <w:tc>
          <w:tcPr>
            <w:tcW w:w="4981" w:type="dxa"/>
          </w:tcPr>
          <w:p w14:paraId="53DD5DED" w14:textId="77777777" w:rsidR="00F419BD" w:rsidRDefault="00F419BD" w:rsidP="002446FE">
            <w:pPr>
              <w:jc w:val="center"/>
              <w:rPr>
                <w:i/>
                <w:color w:val="000000" w:themeColor="text1"/>
              </w:rPr>
            </w:pPr>
          </w:p>
          <w:p w14:paraId="6E692B35" w14:textId="77777777" w:rsidR="00F419BD" w:rsidRDefault="00F419BD" w:rsidP="00F419BD">
            <w:pPr>
              <w:jc w:val="center"/>
              <w:rPr>
                <w:i/>
                <w:color w:val="FF0000"/>
              </w:rPr>
            </w:pPr>
            <w:r w:rsidRPr="008C10B5">
              <w:rPr>
                <w:i/>
                <w:color w:val="FF0000"/>
              </w:rPr>
              <w:t>Taip/Ne</w:t>
            </w:r>
          </w:p>
          <w:p w14:paraId="63243D61" w14:textId="77777777" w:rsidR="00F419BD" w:rsidRDefault="00F419BD" w:rsidP="002446FE">
            <w:pPr>
              <w:jc w:val="center"/>
              <w:rPr>
                <w:i/>
                <w:color w:val="000000" w:themeColor="text1"/>
              </w:rPr>
            </w:pPr>
          </w:p>
        </w:tc>
      </w:tr>
      <w:tr w:rsidR="00F419BD" w14:paraId="5047659B" w14:textId="77777777" w:rsidTr="002446FE">
        <w:trPr>
          <w:trHeight w:val="620"/>
        </w:trPr>
        <w:tc>
          <w:tcPr>
            <w:tcW w:w="4981" w:type="dxa"/>
          </w:tcPr>
          <w:p w14:paraId="2FADFE73" w14:textId="5F3319DD" w:rsidR="00F419BD" w:rsidRDefault="009C5EAA" w:rsidP="008459CD">
            <w:pPr>
              <w:pStyle w:val="ListParagraph"/>
              <w:tabs>
                <w:tab w:val="left" w:pos="851"/>
                <w:tab w:val="left" w:pos="1134"/>
              </w:tabs>
              <w:ind w:left="0"/>
              <w:jc w:val="both"/>
              <w:rPr>
                <w:kern w:val="2"/>
                <w:lang w:eastAsia="en-US"/>
                <w14:ligatures w14:val="standardContextual"/>
              </w:rPr>
            </w:pPr>
            <w:r>
              <w:lastRenderedPageBreak/>
              <w:t>8</w:t>
            </w:r>
            <w:r w:rsidRPr="00332833">
              <w:t>.2.2. informaciją apie Lietuvos aukštojo mokslo institucijų (universitetų) kibernetinio saugumo studijų programose nustatytą praktinių mokymų dalį ir / ar studentų atliekamos praktikos galimybes pagal mokymo programas</w:t>
            </w:r>
            <w:r>
              <w:t>;</w:t>
            </w:r>
          </w:p>
        </w:tc>
        <w:tc>
          <w:tcPr>
            <w:tcW w:w="4981" w:type="dxa"/>
          </w:tcPr>
          <w:p w14:paraId="4910D306" w14:textId="77777777" w:rsidR="00F419BD" w:rsidRDefault="00F419BD" w:rsidP="002446FE">
            <w:pPr>
              <w:jc w:val="center"/>
              <w:rPr>
                <w:i/>
                <w:color w:val="000000" w:themeColor="text1"/>
              </w:rPr>
            </w:pPr>
          </w:p>
          <w:p w14:paraId="326E34DE" w14:textId="77777777" w:rsidR="00171C5B" w:rsidRDefault="00171C5B" w:rsidP="00F419BD">
            <w:pPr>
              <w:jc w:val="center"/>
              <w:rPr>
                <w:i/>
                <w:color w:val="FF0000"/>
              </w:rPr>
            </w:pPr>
          </w:p>
          <w:p w14:paraId="257C5ABB" w14:textId="77777777" w:rsidR="00F419BD" w:rsidRDefault="00F419BD" w:rsidP="00F419BD">
            <w:pPr>
              <w:jc w:val="center"/>
              <w:rPr>
                <w:i/>
                <w:color w:val="FF0000"/>
              </w:rPr>
            </w:pPr>
            <w:r w:rsidRPr="008C10B5">
              <w:rPr>
                <w:i/>
                <w:color w:val="FF0000"/>
              </w:rPr>
              <w:t>Taip/Ne</w:t>
            </w:r>
          </w:p>
          <w:p w14:paraId="41074DFB" w14:textId="77777777" w:rsidR="00F419BD" w:rsidRDefault="00F419BD" w:rsidP="002446FE">
            <w:pPr>
              <w:jc w:val="center"/>
              <w:rPr>
                <w:i/>
                <w:color w:val="000000" w:themeColor="text1"/>
              </w:rPr>
            </w:pPr>
          </w:p>
        </w:tc>
      </w:tr>
      <w:tr w:rsidR="00F419BD" w14:paraId="707C51CB" w14:textId="77777777" w:rsidTr="002446FE">
        <w:trPr>
          <w:trHeight w:val="620"/>
        </w:trPr>
        <w:tc>
          <w:tcPr>
            <w:tcW w:w="4981" w:type="dxa"/>
          </w:tcPr>
          <w:p w14:paraId="364DD373" w14:textId="257D6619" w:rsidR="00F419BD" w:rsidRDefault="006876C6" w:rsidP="008459CD">
            <w:pPr>
              <w:pStyle w:val="ListParagraph"/>
              <w:tabs>
                <w:tab w:val="left" w:pos="851"/>
                <w:tab w:val="left" w:pos="1134"/>
              </w:tabs>
              <w:ind w:left="0"/>
              <w:jc w:val="both"/>
              <w:rPr>
                <w:kern w:val="2"/>
                <w:lang w:eastAsia="en-US"/>
                <w14:ligatures w14:val="standardContextual"/>
              </w:rPr>
            </w:pPr>
            <w:r>
              <w:t>8</w:t>
            </w:r>
            <w:r w:rsidRPr="00332833">
              <w:t>.2.3. informaciją apie kibernetinio saugumo studijų programų dalis, skirtas specifiniams rinkos poreikiams, pvz., dirbtiniam intelektui, debesijos saugumui, postkvantinei kripografikai ir pan.</w:t>
            </w:r>
            <w:r>
              <w:t>;</w:t>
            </w:r>
          </w:p>
        </w:tc>
        <w:tc>
          <w:tcPr>
            <w:tcW w:w="4981" w:type="dxa"/>
          </w:tcPr>
          <w:p w14:paraId="2CE1616B" w14:textId="77777777" w:rsidR="00F419BD" w:rsidRDefault="00F419BD" w:rsidP="002446FE">
            <w:pPr>
              <w:jc w:val="center"/>
              <w:rPr>
                <w:i/>
                <w:color w:val="000000" w:themeColor="text1"/>
              </w:rPr>
            </w:pPr>
          </w:p>
          <w:p w14:paraId="5D6317FE" w14:textId="77777777" w:rsidR="00F419BD" w:rsidRDefault="00F419BD" w:rsidP="00F419BD">
            <w:pPr>
              <w:jc w:val="center"/>
              <w:rPr>
                <w:i/>
                <w:color w:val="FF0000"/>
              </w:rPr>
            </w:pPr>
            <w:r w:rsidRPr="008C10B5">
              <w:rPr>
                <w:i/>
                <w:color w:val="FF0000"/>
              </w:rPr>
              <w:t>Taip/Ne</w:t>
            </w:r>
          </w:p>
          <w:p w14:paraId="62B5B8B8" w14:textId="77777777" w:rsidR="00F419BD" w:rsidRDefault="00F419BD" w:rsidP="002446FE">
            <w:pPr>
              <w:jc w:val="center"/>
              <w:rPr>
                <w:i/>
                <w:color w:val="000000" w:themeColor="text1"/>
              </w:rPr>
            </w:pPr>
          </w:p>
        </w:tc>
      </w:tr>
      <w:tr w:rsidR="00F419BD" w14:paraId="6FAAB52E" w14:textId="77777777" w:rsidTr="002446FE">
        <w:trPr>
          <w:trHeight w:val="620"/>
        </w:trPr>
        <w:tc>
          <w:tcPr>
            <w:tcW w:w="4981" w:type="dxa"/>
          </w:tcPr>
          <w:p w14:paraId="48D88691" w14:textId="065CBD7E" w:rsidR="00F419BD" w:rsidRPr="006876C6" w:rsidRDefault="006876C6" w:rsidP="006876C6">
            <w:pPr>
              <w:pStyle w:val="ListParagraph"/>
              <w:tabs>
                <w:tab w:val="left" w:pos="851"/>
                <w:tab w:val="left" w:pos="1134"/>
              </w:tabs>
              <w:ind w:left="0"/>
              <w:jc w:val="both"/>
              <w:rPr>
                <w:kern w:val="2"/>
                <w:lang w:eastAsia="en-US"/>
                <w14:ligatures w14:val="standardContextual"/>
              </w:rPr>
            </w:pPr>
            <w:r>
              <w:t>8</w:t>
            </w:r>
            <w:r w:rsidRPr="00332833">
              <w:t>.2.4. išvadas dėl Lietuvos aukštojo mokslo institucijų (universitetų) studijų programų turinio atitikties privataus ir viešojo sektoriaus atstovų lūkesčiams dėl darbuotojų praktinių įgūdžių poreikio</w:t>
            </w:r>
            <w:r>
              <w:t>;</w:t>
            </w:r>
            <w:r>
              <w:rPr>
                <w:lang w:eastAsia="en-US"/>
              </w:rPr>
              <w:tab/>
            </w:r>
          </w:p>
        </w:tc>
        <w:tc>
          <w:tcPr>
            <w:tcW w:w="4981" w:type="dxa"/>
          </w:tcPr>
          <w:p w14:paraId="7EF175DC" w14:textId="77777777" w:rsidR="00F419BD" w:rsidRDefault="00F419BD" w:rsidP="002446FE">
            <w:pPr>
              <w:jc w:val="center"/>
              <w:rPr>
                <w:i/>
                <w:color w:val="000000" w:themeColor="text1"/>
              </w:rPr>
            </w:pPr>
          </w:p>
          <w:p w14:paraId="0BE0AB44" w14:textId="77777777" w:rsidR="00171C5B" w:rsidRDefault="00171C5B" w:rsidP="00D04920">
            <w:pPr>
              <w:jc w:val="center"/>
              <w:rPr>
                <w:i/>
                <w:color w:val="FF0000"/>
              </w:rPr>
            </w:pPr>
          </w:p>
          <w:p w14:paraId="10438471" w14:textId="77777777" w:rsidR="00D04920" w:rsidRDefault="00D04920" w:rsidP="00D04920">
            <w:pPr>
              <w:jc w:val="center"/>
              <w:rPr>
                <w:i/>
                <w:color w:val="FF0000"/>
              </w:rPr>
            </w:pPr>
            <w:r w:rsidRPr="008C10B5">
              <w:rPr>
                <w:i/>
                <w:color w:val="FF0000"/>
              </w:rPr>
              <w:t>Taip/Ne</w:t>
            </w:r>
          </w:p>
          <w:p w14:paraId="595D69A5" w14:textId="77777777" w:rsidR="00D04920" w:rsidRDefault="00D04920" w:rsidP="002446FE">
            <w:pPr>
              <w:jc w:val="center"/>
              <w:rPr>
                <w:i/>
                <w:color w:val="000000" w:themeColor="text1"/>
              </w:rPr>
            </w:pPr>
          </w:p>
        </w:tc>
      </w:tr>
      <w:tr w:rsidR="00F419BD" w14:paraId="46DF1A3A" w14:textId="77777777" w:rsidTr="002446FE">
        <w:trPr>
          <w:trHeight w:val="620"/>
        </w:trPr>
        <w:tc>
          <w:tcPr>
            <w:tcW w:w="4981" w:type="dxa"/>
          </w:tcPr>
          <w:p w14:paraId="56EF0115" w14:textId="426FE440" w:rsidR="00F419BD" w:rsidRDefault="006876C6" w:rsidP="008459CD">
            <w:pPr>
              <w:pStyle w:val="ListParagraph"/>
              <w:tabs>
                <w:tab w:val="left" w:pos="851"/>
                <w:tab w:val="left" w:pos="1134"/>
              </w:tabs>
              <w:ind w:left="0"/>
              <w:jc w:val="both"/>
              <w:rPr>
                <w:kern w:val="2"/>
                <w:lang w:eastAsia="en-US"/>
                <w14:ligatures w14:val="standardContextual"/>
              </w:rPr>
            </w:pPr>
            <w:r>
              <w:t>8</w:t>
            </w:r>
            <w:r w:rsidRPr="00332833">
              <w:t>.3. atlikti interviu su visų Lietuvos aukštojo mokslo institucijų (universitetų), vykdančių kibernetinio saugumo programas, pagal su Perkančiąja organizacija suderintus klausimus (pvz., siūlomų kibernetinio saugumo studijų programų pritaikymas prie nuolat kintančių rinkos poreikių; ar nustatomi ir kokiu būdu prioritetiniai kibernetinio saugumo įgūdžiai ir žinios programose; ar vykdomas ir kokiu būdu bendradarbiavimas su verslo įmonėmis ir valstybės institucijomis, užtikrinant programų aktualumą, studentų praktikos atlikimą; universitetų nuomonė apie jų absolventų pasirengimą kibernetinio saugumo darbo rinkai ir kt.)</w:t>
            </w:r>
            <w:r>
              <w:t>.</w:t>
            </w:r>
          </w:p>
        </w:tc>
        <w:tc>
          <w:tcPr>
            <w:tcW w:w="4981" w:type="dxa"/>
          </w:tcPr>
          <w:p w14:paraId="1AC43A67" w14:textId="77777777" w:rsidR="00F419BD" w:rsidRDefault="00F419BD" w:rsidP="002446FE">
            <w:pPr>
              <w:jc w:val="center"/>
              <w:rPr>
                <w:i/>
                <w:color w:val="000000" w:themeColor="text1"/>
              </w:rPr>
            </w:pPr>
          </w:p>
          <w:p w14:paraId="7501453A" w14:textId="77777777" w:rsidR="00D04920" w:rsidRDefault="00D04920" w:rsidP="002446FE">
            <w:pPr>
              <w:jc w:val="center"/>
              <w:rPr>
                <w:i/>
                <w:color w:val="000000" w:themeColor="text1"/>
              </w:rPr>
            </w:pPr>
          </w:p>
          <w:p w14:paraId="4CC9AAAB" w14:textId="77777777" w:rsidR="00D04920" w:rsidRDefault="00D04920" w:rsidP="002446FE">
            <w:pPr>
              <w:jc w:val="center"/>
              <w:rPr>
                <w:i/>
                <w:color w:val="000000" w:themeColor="text1"/>
              </w:rPr>
            </w:pPr>
          </w:p>
          <w:p w14:paraId="6FA551D6" w14:textId="77777777" w:rsidR="00D04920" w:rsidRDefault="00D04920" w:rsidP="002446FE">
            <w:pPr>
              <w:jc w:val="center"/>
              <w:rPr>
                <w:i/>
                <w:color w:val="000000" w:themeColor="text1"/>
              </w:rPr>
            </w:pPr>
          </w:p>
          <w:p w14:paraId="449C173A" w14:textId="77777777" w:rsidR="00171C5B" w:rsidRDefault="00171C5B" w:rsidP="00D04920">
            <w:pPr>
              <w:jc w:val="center"/>
              <w:rPr>
                <w:i/>
                <w:color w:val="FF0000"/>
              </w:rPr>
            </w:pPr>
          </w:p>
          <w:p w14:paraId="34417847" w14:textId="77777777" w:rsidR="00D04920" w:rsidRDefault="00D04920" w:rsidP="00D04920">
            <w:pPr>
              <w:jc w:val="center"/>
              <w:rPr>
                <w:i/>
                <w:color w:val="FF0000"/>
              </w:rPr>
            </w:pPr>
            <w:r w:rsidRPr="008C10B5">
              <w:rPr>
                <w:i/>
                <w:color w:val="FF0000"/>
              </w:rPr>
              <w:t>Taip/Ne</w:t>
            </w:r>
          </w:p>
          <w:p w14:paraId="2A096E74" w14:textId="77777777" w:rsidR="00D04920" w:rsidRDefault="00D04920" w:rsidP="002446FE">
            <w:pPr>
              <w:jc w:val="center"/>
              <w:rPr>
                <w:i/>
                <w:color w:val="000000" w:themeColor="text1"/>
              </w:rPr>
            </w:pPr>
          </w:p>
        </w:tc>
      </w:tr>
      <w:tr w:rsidR="00F419BD" w14:paraId="563E1958" w14:textId="77777777" w:rsidTr="002446FE">
        <w:trPr>
          <w:trHeight w:val="620"/>
        </w:trPr>
        <w:tc>
          <w:tcPr>
            <w:tcW w:w="4981" w:type="dxa"/>
          </w:tcPr>
          <w:p w14:paraId="7EE7C059" w14:textId="3AFD7D61" w:rsidR="00F419BD" w:rsidRDefault="006876C6" w:rsidP="008459CD">
            <w:pPr>
              <w:pStyle w:val="ListParagraph"/>
              <w:tabs>
                <w:tab w:val="left" w:pos="851"/>
                <w:tab w:val="left" w:pos="1134"/>
              </w:tabs>
              <w:ind w:left="0"/>
              <w:jc w:val="both"/>
              <w:rPr>
                <w:kern w:val="2"/>
                <w:lang w:eastAsia="en-US"/>
                <w14:ligatures w14:val="standardContextual"/>
              </w:rPr>
            </w:pPr>
            <w:r>
              <w:t>8</w:t>
            </w:r>
            <w:r w:rsidRPr="00332833">
              <w:t>.4. pagal su Perkančiąja organizacija suderintus kriterijus surinkti informaciją apie Lietuvoje mokymo paslaugas kibernetinio saugumo srityje teikiančias privataus sektoriaus organizacijas (įmones) ir atlikti jų įvykdytų ir vykdomų kibernetinio saugumo mokymo programų (ne mažiau kaip 3 pastarųjų metų) analizę. Pavyzdžiui, išanalizuoti šių mokymo programų turinį, trukmę, programų turinio ir struktūros sudarymo ir vykdymo  principus, mokymų turinio tendencijas ir prioritetus, j</w:t>
            </w:r>
            <w:r>
              <w:t>iems</w:t>
            </w:r>
            <w:r w:rsidRPr="00332833">
              <w:t xml:space="preserve"> įtakos turinčius faktorius, naudojamą mokymų infrastruktūrą, populiariausius mokymus</w:t>
            </w:r>
            <w:r>
              <w:t>;</w:t>
            </w:r>
          </w:p>
        </w:tc>
        <w:tc>
          <w:tcPr>
            <w:tcW w:w="4981" w:type="dxa"/>
          </w:tcPr>
          <w:p w14:paraId="5C61F913" w14:textId="77777777" w:rsidR="00F419BD" w:rsidRDefault="00F419BD" w:rsidP="002446FE">
            <w:pPr>
              <w:jc w:val="center"/>
              <w:rPr>
                <w:i/>
                <w:color w:val="000000" w:themeColor="text1"/>
              </w:rPr>
            </w:pPr>
          </w:p>
          <w:p w14:paraId="359D274B" w14:textId="77777777" w:rsidR="00D04920" w:rsidRDefault="00D04920" w:rsidP="002446FE">
            <w:pPr>
              <w:jc w:val="center"/>
              <w:rPr>
                <w:i/>
                <w:color w:val="000000" w:themeColor="text1"/>
              </w:rPr>
            </w:pPr>
          </w:p>
          <w:p w14:paraId="68F93678" w14:textId="77777777" w:rsidR="00D04920" w:rsidRDefault="00D04920" w:rsidP="002446FE">
            <w:pPr>
              <w:jc w:val="center"/>
              <w:rPr>
                <w:i/>
                <w:color w:val="000000" w:themeColor="text1"/>
              </w:rPr>
            </w:pPr>
          </w:p>
          <w:p w14:paraId="3BAB8BB6" w14:textId="77777777" w:rsidR="00D04920" w:rsidRDefault="00D04920" w:rsidP="002446FE">
            <w:pPr>
              <w:jc w:val="center"/>
              <w:rPr>
                <w:i/>
                <w:color w:val="000000" w:themeColor="text1"/>
              </w:rPr>
            </w:pPr>
          </w:p>
          <w:p w14:paraId="3F1B9118" w14:textId="77777777" w:rsidR="00D04920" w:rsidRDefault="00D04920" w:rsidP="00D04920">
            <w:pPr>
              <w:jc w:val="center"/>
              <w:rPr>
                <w:i/>
                <w:color w:val="FF0000"/>
              </w:rPr>
            </w:pPr>
            <w:r w:rsidRPr="008C10B5">
              <w:rPr>
                <w:i/>
                <w:color w:val="FF0000"/>
              </w:rPr>
              <w:t>Taip/Ne</w:t>
            </w:r>
          </w:p>
          <w:p w14:paraId="1BCB02FB" w14:textId="77777777" w:rsidR="00D04920" w:rsidRDefault="00D04920" w:rsidP="002446FE">
            <w:pPr>
              <w:jc w:val="center"/>
              <w:rPr>
                <w:i/>
                <w:color w:val="000000" w:themeColor="text1"/>
              </w:rPr>
            </w:pPr>
          </w:p>
        </w:tc>
      </w:tr>
      <w:tr w:rsidR="00F419BD" w14:paraId="738645E1" w14:textId="77777777" w:rsidTr="002446FE">
        <w:trPr>
          <w:trHeight w:val="620"/>
        </w:trPr>
        <w:tc>
          <w:tcPr>
            <w:tcW w:w="4981" w:type="dxa"/>
          </w:tcPr>
          <w:p w14:paraId="486D8FBA" w14:textId="314A8D07" w:rsidR="00F419BD" w:rsidRDefault="00D04920" w:rsidP="008459CD">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 </w:t>
            </w:r>
            <w:r w:rsidR="00A70743">
              <w:t>8</w:t>
            </w:r>
            <w:r w:rsidR="00A70743" w:rsidRPr="00332833">
              <w:t xml:space="preserve">.5. pagal su Perkančiąja organizacija suderintus respondentus ir klausimus atlikti interviu su </w:t>
            </w:r>
            <w:r w:rsidR="00A70743" w:rsidRPr="00332833">
              <w:lastRenderedPageBreak/>
              <w:t>atitinkamų Lietuvoje mokymo paslaugas kibernetinio saugumo srityje teikiančių privataus sektoriaus organizacijų (įmonių) atstovais (pvz., įžvalgos (nuomonė ir patirtis) dėl kibernetinio saugumo įgūdžių poreikio darbo rinkoje, kokias šiuolaikines praktines mokymosi priemones naudoja mokymų metų, mokymo programų dėstytojų paieška, jų finansiniai lūkesčiai, studijuojančių pagal tokias mokymo programas lūkesčiai ir su tuo susiję iššūkiai ir kt.)</w:t>
            </w:r>
            <w:r w:rsidR="00A70743">
              <w:t>.</w:t>
            </w:r>
          </w:p>
        </w:tc>
        <w:tc>
          <w:tcPr>
            <w:tcW w:w="4981" w:type="dxa"/>
          </w:tcPr>
          <w:p w14:paraId="09BA2BF0" w14:textId="77777777" w:rsidR="00F419BD" w:rsidRDefault="00F419BD" w:rsidP="002446FE">
            <w:pPr>
              <w:jc w:val="center"/>
              <w:rPr>
                <w:i/>
                <w:color w:val="000000" w:themeColor="text1"/>
              </w:rPr>
            </w:pPr>
          </w:p>
          <w:p w14:paraId="463449A5" w14:textId="77777777" w:rsidR="00D04920" w:rsidRDefault="00D04920" w:rsidP="002446FE">
            <w:pPr>
              <w:jc w:val="center"/>
              <w:rPr>
                <w:i/>
                <w:color w:val="000000" w:themeColor="text1"/>
              </w:rPr>
            </w:pPr>
          </w:p>
          <w:p w14:paraId="5EFA1876" w14:textId="77777777" w:rsidR="00D04920" w:rsidRDefault="00D04920" w:rsidP="002446FE">
            <w:pPr>
              <w:jc w:val="center"/>
              <w:rPr>
                <w:i/>
                <w:color w:val="000000" w:themeColor="text1"/>
              </w:rPr>
            </w:pPr>
          </w:p>
          <w:p w14:paraId="3B894AE6" w14:textId="77777777" w:rsidR="00D04920" w:rsidRDefault="00D04920" w:rsidP="002446FE">
            <w:pPr>
              <w:jc w:val="center"/>
              <w:rPr>
                <w:i/>
                <w:color w:val="000000" w:themeColor="text1"/>
              </w:rPr>
            </w:pPr>
          </w:p>
          <w:p w14:paraId="1D0B1FD7" w14:textId="77777777" w:rsidR="00D04920" w:rsidRDefault="00D04920" w:rsidP="00D04920">
            <w:pPr>
              <w:jc w:val="center"/>
              <w:rPr>
                <w:i/>
                <w:color w:val="FF0000"/>
              </w:rPr>
            </w:pPr>
            <w:r w:rsidRPr="008C10B5">
              <w:rPr>
                <w:i/>
                <w:color w:val="FF0000"/>
              </w:rPr>
              <w:t>Taip/Ne</w:t>
            </w:r>
          </w:p>
          <w:p w14:paraId="2E2F9C27" w14:textId="77777777" w:rsidR="00D04920" w:rsidRDefault="00D04920" w:rsidP="002446FE">
            <w:pPr>
              <w:jc w:val="center"/>
              <w:rPr>
                <w:i/>
                <w:color w:val="000000" w:themeColor="text1"/>
              </w:rPr>
            </w:pPr>
          </w:p>
        </w:tc>
      </w:tr>
      <w:tr w:rsidR="00A51ED7" w:rsidRPr="008847A3" w14:paraId="6E89FE32" w14:textId="77777777" w:rsidTr="00AA6909">
        <w:trPr>
          <w:trHeight w:val="620"/>
        </w:trPr>
        <w:tc>
          <w:tcPr>
            <w:tcW w:w="9962" w:type="dxa"/>
            <w:gridSpan w:val="2"/>
            <w:shd w:val="clear" w:color="auto" w:fill="E7E6E6" w:themeFill="background2"/>
          </w:tcPr>
          <w:p w14:paraId="28A57519" w14:textId="5D48D529" w:rsidR="00A51ED7" w:rsidRPr="00A51ED7" w:rsidRDefault="00A70743" w:rsidP="00171C5B">
            <w:pPr>
              <w:pStyle w:val="ListParagraph"/>
              <w:ind w:left="0"/>
              <w:rPr>
                <w:b/>
                <w:color w:val="FF0000"/>
                <w:lang w:eastAsia="en-US"/>
              </w:rPr>
            </w:pPr>
            <w:r w:rsidRPr="00A70743">
              <w:rPr>
                <w:b/>
                <w:lang w:eastAsia="en-US"/>
              </w:rPr>
              <w:lastRenderedPageBreak/>
              <w:t xml:space="preserve">9. </w:t>
            </w:r>
            <w:r w:rsidRPr="00A70743">
              <w:rPr>
                <w:b/>
                <w:bCs/>
              </w:rPr>
              <w:t xml:space="preserve">Siūlomas </w:t>
            </w:r>
            <w:r w:rsidRPr="00C962E6">
              <w:rPr>
                <w:b/>
                <w:bCs/>
              </w:rPr>
              <w:t xml:space="preserve">VPSB modelis kibernetinio saugumo kompetencijų ugdymo </w:t>
            </w:r>
            <w:r w:rsidRPr="00F72335">
              <w:rPr>
                <w:b/>
                <w:bCs/>
              </w:rPr>
              <w:t>srityje</w:t>
            </w:r>
          </w:p>
        </w:tc>
      </w:tr>
      <w:tr w:rsidR="00E763EA" w14:paraId="4E9C3437" w14:textId="77777777" w:rsidTr="002446FE">
        <w:trPr>
          <w:trHeight w:val="620"/>
        </w:trPr>
        <w:tc>
          <w:tcPr>
            <w:tcW w:w="4981" w:type="dxa"/>
          </w:tcPr>
          <w:p w14:paraId="0D7F79DB" w14:textId="6E7290CF" w:rsidR="00E763EA" w:rsidRDefault="00A70743" w:rsidP="008459CD">
            <w:pPr>
              <w:pStyle w:val="ListParagraph"/>
              <w:tabs>
                <w:tab w:val="left" w:pos="851"/>
                <w:tab w:val="left" w:pos="1134"/>
              </w:tabs>
              <w:ind w:left="0"/>
              <w:jc w:val="both"/>
            </w:pPr>
            <w:r w:rsidRPr="00C962E6">
              <w:t xml:space="preserve">Siūlomas VPSB modelis, be kitų paslaugos teikėjo pasiūlymų, turi būti paremtas išanalizuota gerąja užsienio šalių praktika (įtraukiant bent vieną Lietuvai kultūriškai artimiausią </w:t>
            </w:r>
            <w:r w:rsidRPr="00355C3B">
              <w:t>Europos Sąjungos</w:t>
            </w:r>
            <w:r w:rsidRPr="00C962E6">
              <w:t xml:space="preserve"> šalį) ir </w:t>
            </w:r>
            <w:r w:rsidRPr="00332833">
              <w:t>analizės, apklausų ir interviu metu gautais duomenimis ir informacija</w:t>
            </w:r>
            <w:r>
              <w:t>.</w:t>
            </w:r>
          </w:p>
          <w:p w14:paraId="0C583230" w14:textId="3F23C1DA" w:rsidR="00A70743" w:rsidRPr="00A51ED7" w:rsidRDefault="00A70743" w:rsidP="008459CD">
            <w:pPr>
              <w:pStyle w:val="ListParagraph"/>
              <w:tabs>
                <w:tab w:val="left" w:pos="851"/>
                <w:tab w:val="left" w:pos="1134"/>
              </w:tabs>
              <w:ind w:left="0"/>
              <w:jc w:val="both"/>
            </w:pPr>
            <w:r w:rsidRPr="00332833">
              <w:t>Siūlomas VPSB modelis, be kitų paslaugos teikėjo pasiūlymų, turi apimti</w:t>
            </w:r>
            <w:r>
              <w:t>:</w:t>
            </w:r>
          </w:p>
        </w:tc>
        <w:tc>
          <w:tcPr>
            <w:tcW w:w="4981" w:type="dxa"/>
          </w:tcPr>
          <w:p w14:paraId="0517B33A" w14:textId="77777777" w:rsidR="00171C5B" w:rsidRDefault="00171C5B" w:rsidP="00F86851">
            <w:pPr>
              <w:jc w:val="center"/>
              <w:rPr>
                <w:i/>
                <w:color w:val="FF0000"/>
              </w:rPr>
            </w:pPr>
          </w:p>
          <w:p w14:paraId="79436998" w14:textId="77777777" w:rsidR="00171C5B" w:rsidRDefault="00171C5B" w:rsidP="00F86851">
            <w:pPr>
              <w:jc w:val="center"/>
              <w:rPr>
                <w:i/>
                <w:color w:val="FF0000"/>
              </w:rPr>
            </w:pPr>
          </w:p>
          <w:p w14:paraId="0920476F" w14:textId="77777777" w:rsidR="00F86851" w:rsidRDefault="00F86851" w:rsidP="00F86851">
            <w:pPr>
              <w:jc w:val="center"/>
              <w:rPr>
                <w:i/>
                <w:color w:val="FF0000"/>
              </w:rPr>
            </w:pPr>
            <w:r w:rsidRPr="008C10B5">
              <w:rPr>
                <w:i/>
                <w:color w:val="FF0000"/>
              </w:rPr>
              <w:t>Taip/Ne</w:t>
            </w:r>
          </w:p>
          <w:p w14:paraId="2E8A25D8" w14:textId="77777777" w:rsidR="00E763EA" w:rsidRDefault="00E763EA" w:rsidP="002446FE">
            <w:pPr>
              <w:suppressAutoHyphens/>
              <w:spacing w:line="276" w:lineRule="auto"/>
              <w:jc w:val="center"/>
              <w:rPr>
                <w:color w:val="FF0000"/>
                <w:lang w:eastAsia="en-US"/>
              </w:rPr>
            </w:pPr>
          </w:p>
          <w:p w14:paraId="4FFD9725" w14:textId="7AE71091" w:rsidR="008C10B5" w:rsidRDefault="008C10B5" w:rsidP="008C10B5">
            <w:pPr>
              <w:suppressAutoHyphens/>
              <w:spacing w:line="276" w:lineRule="auto"/>
              <w:jc w:val="center"/>
              <w:rPr>
                <w:color w:val="FF0000"/>
                <w:lang w:eastAsia="en-US"/>
              </w:rPr>
            </w:pPr>
          </w:p>
        </w:tc>
      </w:tr>
      <w:tr w:rsidR="00E763EA" w14:paraId="53DB2398" w14:textId="77777777" w:rsidTr="00171C5B">
        <w:trPr>
          <w:trHeight w:val="613"/>
        </w:trPr>
        <w:tc>
          <w:tcPr>
            <w:tcW w:w="4981" w:type="dxa"/>
          </w:tcPr>
          <w:p w14:paraId="598C10A6" w14:textId="1B23AC82" w:rsidR="00E763EA" w:rsidRPr="00A51ED7" w:rsidRDefault="00A70743" w:rsidP="008459CD">
            <w:pPr>
              <w:pStyle w:val="ListParagraph"/>
              <w:tabs>
                <w:tab w:val="left" w:pos="851"/>
                <w:tab w:val="left" w:pos="1134"/>
              </w:tabs>
              <w:ind w:left="0"/>
              <w:jc w:val="both"/>
            </w:pPr>
            <w:r>
              <w:t>9</w:t>
            </w:r>
            <w:r w:rsidRPr="00332833">
              <w:t>.1. nustatytas suinteresuotas dalyvaujančias šalis ir jų įsipareigojimus, naudą ir galimus kaštus</w:t>
            </w:r>
            <w:r w:rsidR="00171C5B">
              <w:t>;</w:t>
            </w:r>
          </w:p>
        </w:tc>
        <w:tc>
          <w:tcPr>
            <w:tcW w:w="4981" w:type="dxa"/>
          </w:tcPr>
          <w:p w14:paraId="6D9A4F25" w14:textId="56B70E87" w:rsidR="00F86851" w:rsidRPr="00A70743" w:rsidRDefault="00F86851" w:rsidP="00A70743">
            <w:pPr>
              <w:jc w:val="center"/>
              <w:rPr>
                <w:i/>
                <w:color w:val="FF0000"/>
              </w:rPr>
            </w:pPr>
            <w:r w:rsidRPr="008C10B5">
              <w:rPr>
                <w:i/>
                <w:color w:val="FF0000"/>
              </w:rPr>
              <w:t>Taip/Ne</w:t>
            </w:r>
          </w:p>
        </w:tc>
      </w:tr>
      <w:tr w:rsidR="00883527" w14:paraId="106B23A2" w14:textId="77777777" w:rsidTr="00FA1734">
        <w:trPr>
          <w:trHeight w:val="451"/>
        </w:trPr>
        <w:tc>
          <w:tcPr>
            <w:tcW w:w="4981" w:type="dxa"/>
          </w:tcPr>
          <w:p w14:paraId="496B7CA5" w14:textId="50B4EAF9" w:rsidR="00883527" w:rsidRDefault="00A70743" w:rsidP="008459CD">
            <w:pPr>
              <w:pStyle w:val="ListParagraph"/>
              <w:tabs>
                <w:tab w:val="left" w:pos="851"/>
                <w:tab w:val="left" w:pos="1134"/>
              </w:tabs>
              <w:ind w:left="0"/>
              <w:jc w:val="both"/>
            </w:pPr>
            <w:r>
              <w:t>9</w:t>
            </w:r>
            <w:r w:rsidRPr="00332833">
              <w:t>.2. rekomendacijas dėl praktinių įgūdžių suteikimo mokymo programos modelio (pvz., pagrįstą rengiamomis ir nuolat atnaujinamomis praktinių įgūdžių suteikimo programomis ar / ir programomis, paremtomis standartiniais tarptautinių kibernetinio saugumo sertifikatų kursais, mokymo programos trukmės</w:t>
            </w:r>
            <w:r w:rsidRPr="00C962E6">
              <w:t>, optimalaus teorijos ir praktinių mokymų santykio, programų organizavimo Lietuvos aukštojo mokslo institucijose (universitetuose) ir kt.)</w:t>
            </w:r>
            <w:r>
              <w:t>;</w:t>
            </w:r>
          </w:p>
        </w:tc>
        <w:tc>
          <w:tcPr>
            <w:tcW w:w="4981" w:type="dxa"/>
          </w:tcPr>
          <w:p w14:paraId="272B7B17" w14:textId="77777777" w:rsidR="00883527" w:rsidRDefault="00883527" w:rsidP="00FA1734">
            <w:pPr>
              <w:jc w:val="center"/>
              <w:rPr>
                <w:i/>
                <w:color w:val="FF0000"/>
              </w:rPr>
            </w:pPr>
          </w:p>
          <w:p w14:paraId="4A1DF14E" w14:textId="77777777" w:rsidR="00F86851" w:rsidRDefault="00F86851" w:rsidP="00FA1734">
            <w:pPr>
              <w:jc w:val="center"/>
              <w:rPr>
                <w:i/>
                <w:color w:val="FF0000"/>
              </w:rPr>
            </w:pPr>
          </w:p>
          <w:p w14:paraId="79BF0FE7" w14:textId="77777777" w:rsidR="00F86851" w:rsidRDefault="00F86851" w:rsidP="00FA1734">
            <w:pPr>
              <w:jc w:val="center"/>
              <w:rPr>
                <w:i/>
                <w:color w:val="FF0000"/>
              </w:rPr>
            </w:pPr>
          </w:p>
          <w:p w14:paraId="31D21791" w14:textId="77777777" w:rsidR="00F86851" w:rsidRDefault="00F86851" w:rsidP="00F86851">
            <w:pPr>
              <w:jc w:val="center"/>
              <w:rPr>
                <w:i/>
                <w:color w:val="FF0000"/>
              </w:rPr>
            </w:pPr>
            <w:r w:rsidRPr="008C10B5">
              <w:rPr>
                <w:i/>
                <w:color w:val="FF0000"/>
              </w:rPr>
              <w:t>Taip/Ne</w:t>
            </w:r>
          </w:p>
          <w:p w14:paraId="63DED8E2" w14:textId="77777777" w:rsidR="00F86851" w:rsidRDefault="00F86851" w:rsidP="00F86851">
            <w:pPr>
              <w:suppressAutoHyphens/>
              <w:spacing w:line="276" w:lineRule="auto"/>
              <w:jc w:val="center"/>
              <w:rPr>
                <w:color w:val="FF0000"/>
                <w:lang w:eastAsia="en-US"/>
              </w:rPr>
            </w:pPr>
          </w:p>
          <w:p w14:paraId="3B99A567" w14:textId="282E2153" w:rsidR="00F86851" w:rsidRPr="00FA1734" w:rsidRDefault="00F86851" w:rsidP="00FA1734">
            <w:pPr>
              <w:jc w:val="center"/>
              <w:rPr>
                <w:i/>
                <w:color w:val="FF0000"/>
              </w:rPr>
            </w:pPr>
          </w:p>
        </w:tc>
      </w:tr>
      <w:tr w:rsidR="00883527" w14:paraId="4A154A66" w14:textId="77777777" w:rsidTr="002446FE">
        <w:trPr>
          <w:trHeight w:val="620"/>
        </w:trPr>
        <w:tc>
          <w:tcPr>
            <w:tcW w:w="4981" w:type="dxa"/>
          </w:tcPr>
          <w:p w14:paraId="31172E2C" w14:textId="15A15088" w:rsidR="00883527" w:rsidRDefault="00F86851" w:rsidP="008459CD">
            <w:pPr>
              <w:pStyle w:val="ListParagraph"/>
              <w:tabs>
                <w:tab w:val="left" w:pos="851"/>
                <w:tab w:val="left" w:pos="1134"/>
              </w:tabs>
              <w:ind w:left="0"/>
              <w:jc w:val="both"/>
            </w:pPr>
            <w:r>
              <w:t xml:space="preserve"> </w:t>
            </w:r>
            <w:r w:rsidR="00A70743">
              <w:t>9</w:t>
            </w:r>
            <w:r w:rsidR="00A70743" w:rsidRPr="00C962E6">
              <w:t xml:space="preserve">.3. </w:t>
            </w:r>
            <w:r w:rsidR="00A70743">
              <w:t>r</w:t>
            </w:r>
            <w:r w:rsidR="00A70743" w:rsidRPr="00F72335">
              <w:t>ekomendacijas</w:t>
            </w:r>
            <w:r w:rsidR="00A70743" w:rsidRPr="00C962E6">
              <w:t xml:space="preserve"> dėl praktini</w:t>
            </w:r>
            <w:r w:rsidR="00A70743">
              <w:t>ams</w:t>
            </w:r>
            <w:r w:rsidR="00A70743" w:rsidRPr="00C962E6">
              <w:t xml:space="preserve"> įgūdži</w:t>
            </w:r>
            <w:r w:rsidR="00A70743">
              <w:t>ams</w:t>
            </w:r>
            <w:r w:rsidR="00A70743" w:rsidRPr="00C962E6">
              <w:t xml:space="preserve"> suteik</w:t>
            </w:r>
            <w:r w:rsidR="00A70743">
              <w:t>t</w:t>
            </w:r>
            <w:r w:rsidR="00A70743" w:rsidRPr="00C962E6">
              <w:t>i reikalingų įrankių (platformos) (pvz., kibernetinio saugumo laboratorijų (virtuali</w:t>
            </w:r>
            <w:r w:rsidR="00A70743">
              <w:t>ų,</w:t>
            </w:r>
            <w:r w:rsidR="00A70743" w:rsidRPr="00C962E6">
              <w:t xml:space="preserve"> fizin</w:t>
            </w:r>
            <w:r w:rsidR="00A70743">
              <w:t>ių</w:t>
            </w:r>
            <w:r w:rsidR="00A70743" w:rsidRPr="00C962E6">
              <w:t xml:space="preserve"> ar hibridinio modelio), būtin</w:t>
            </w:r>
            <w:r w:rsidR="00A70743">
              <w:t>ų</w:t>
            </w:r>
            <w:r w:rsidR="00A70743" w:rsidRPr="00C962E6">
              <w:t xml:space="preserve"> minimali</w:t>
            </w:r>
            <w:r w:rsidR="00A70743">
              <w:t>am</w:t>
            </w:r>
            <w:r w:rsidR="00A70743" w:rsidRPr="00C962E6">
              <w:t xml:space="preserve"> praktinių įgūdžių poreiki</w:t>
            </w:r>
            <w:r w:rsidR="00A70743">
              <w:t>ui</w:t>
            </w:r>
            <w:r w:rsidR="00A70743" w:rsidRPr="00C962E6">
              <w:t xml:space="preserve"> patenkin</w:t>
            </w:r>
            <w:r w:rsidR="00A70743">
              <w:t>t</w:t>
            </w:r>
            <w:r w:rsidR="00A70743" w:rsidRPr="00C962E6">
              <w:t>i</w:t>
            </w:r>
            <w:r w:rsidR="00A70743">
              <w:t>,</w:t>
            </w:r>
            <w:r w:rsidR="00A70743" w:rsidRPr="00C962E6">
              <w:t xml:space="preserve"> fizin</w:t>
            </w:r>
            <w:r w:rsidR="00A70743">
              <w:t>ės</w:t>
            </w:r>
            <w:r w:rsidR="00A70743" w:rsidRPr="00C962E6">
              <w:t xml:space="preserve"> tokių laboratorijų viet</w:t>
            </w:r>
            <w:r w:rsidR="00A70743">
              <w:t>os,</w:t>
            </w:r>
            <w:r w:rsidR="00A70743" w:rsidRPr="00C962E6">
              <w:t xml:space="preserve"> mokymo organizavimo lanoratorijose princip</w:t>
            </w:r>
            <w:r w:rsidR="00A70743">
              <w:t>ų,</w:t>
            </w:r>
            <w:r w:rsidR="00A70743" w:rsidRPr="00C962E6">
              <w:t xml:space="preserve"> siūlom</w:t>
            </w:r>
            <w:r w:rsidR="00A70743">
              <w:t>os</w:t>
            </w:r>
            <w:r w:rsidR="00A70743" w:rsidRPr="00C962E6">
              <w:t xml:space="preserve"> laboratorijų nuosavybės form</w:t>
            </w:r>
            <w:r w:rsidR="00A70743">
              <w:t>os</w:t>
            </w:r>
            <w:r w:rsidR="00A70743" w:rsidRPr="00C962E6">
              <w:t xml:space="preserve"> ir pan.)</w:t>
            </w:r>
            <w:r w:rsidR="00A70743">
              <w:t>;</w:t>
            </w:r>
          </w:p>
        </w:tc>
        <w:tc>
          <w:tcPr>
            <w:tcW w:w="4981" w:type="dxa"/>
          </w:tcPr>
          <w:p w14:paraId="6E78C4F9" w14:textId="77777777" w:rsidR="00171C5B" w:rsidRDefault="00171C5B" w:rsidP="00F86851">
            <w:pPr>
              <w:jc w:val="center"/>
              <w:rPr>
                <w:i/>
                <w:color w:val="FF0000"/>
              </w:rPr>
            </w:pPr>
          </w:p>
          <w:p w14:paraId="2A297F7E" w14:textId="77777777" w:rsidR="00171C5B" w:rsidRDefault="00171C5B" w:rsidP="00F86851">
            <w:pPr>
              <w:jc w:val="center"/>
              <w:rPr>
                <w:i/>
                <w:color w:val="FF0000"/>
              </w:rPr>
            </w:pPr>
          </w:p>
          <w:p w14:paraId="150CCD88" w14:textId="77777777" w:rsidR="00171C5B" w:rsidRDefault="00171C5B" w:rsidP="00F86851">
            <w:pPr>
              <w:jc w:val="center"/>
              <w:rPr>
                <w:i/>
                <w:color w:val="FF0000"/>
              </w:rPr>
            </w:pPr>
          </w:p>
          <w:p w14:paraId="61530C8C" w14:textId="2309F27B" w:rsidR="00883527" w:rsidRPr="00F86851" w:rsidRDefault="00F86851" w:rsidP="00F86851">
            <w:pPr>
              <w:jc w:val="center"/>
              <w:rPr>
                <w:i/>
                <w:color w:val="FF0000"/>
              </w:rPr>
            </w:pPr>
            <w:r w:rsidRPr="008C10B5">
              <w:rPr>
                <w:i/>
                <w:color w:val="FF0000"/>
              </w:rPr>
              <w:t>Taip/Ne</w:t>
            </w:r>
          </w:p>
        </w:tc>
      </w:tr>
      <w:tr w:rsidR="00A70743" w14:paraId="7DE3E2B2" w14:textId="77777777" w:rsidTr="00A70743">
        <w:trPr>
          <w:trHeight w:val="620"/>
        </w:trPr>
        <w:tc>
          <w:tcPr>
            <w:tcW w:w="4981" w:type="dxa"/>
          </w:tcPr>
          <w:p w14:paraId="0C59752D" w14:textId="1BA0C641" w:rsidR="00A70743" w:rsidRDefault="00A70743" w:rsidP="00C04FF2">
            <w:pPr>
              <w:pStyle w:val="ListParagraph"/>
              <w:tabs>
                <w:tab w:val="left" w:pos="851"/>
                <w:tab w:val="left" w:pos="1134"/>
              </w:tabs>
              <w:ind w:left="0"/>
              <w:jc w:val="both"/>
            </w:pPr>
            <w:r>
              <w:t>9</w:t>
            </w:r>
            <w:r w:rsidRPr="00C962E6">
              <w:t xml:space="preserve">.4. </w:t>
            </w:r>
            <w:r>
              <w:t>p</w:t>
            </w:r>
            <w:r w:rsidRPr="00F72335">
              <w:t>opuliariausių</w:t>
            </w:r>
            <w:r w:rsidRPr="00C962E6">
              <w:t xml:space="preserve"> kibernetinio saugumo sertifikatų suteikimo galimybes kibernetinio saugumo program</w:t>
            </w:r>
            <w:r>
              <w:t>ų</w:t>
            </w:r>
            <w:r w:rsidRPr="00C962E6">
              <w:t xml:space="preserve"> studentams (pvz., sertifikatus suskirstant į bazinius, kurių turėjimas būtų naudingas studentams kaip pirmas žingsnis į darbo rinką</w:t>
            </w:r>
            <w:r>
              <w:t>,</w:t>
            </w:r>
            <w:r w:rsidRPr="00C962E6">
              <w:t xml:space="preserve"> ir kitus, kuriuos įgyti gali atitinkamą </w:t>
            </w:r>
            <w:r w:rsidRPr="00C962E6">
              <w:lastRenderedPageBreak/>
              <w:t>patirtį turintis darbuotojas) ir siūlomą tokių sertifikatų sąrašą</w:t>
            </w:r>
            <w:r>
              <w:t>;</w:t>
            </w:r>
          </w:p>
        </w:tc>
        <w:tc>
          <w:tcPr>
            <w:tcW w:w="4981" w:type="dxa"/>
          </w:tcPr>
          <w:p w14:paraId="5EF0E75C" w14:textId="77777777" w:rsidR="00A70743" w:rsidRDefault="00A70743" w:rsidP="00C04FF2">
            <w:pPr>
              <w:jc w:val="center"/>
              <w:rPr>
                <w:i/>
                <w:color w:val="FF0000"/>
              </w:rPr>
            </w:pPr>
          </w:p>
          <w:p w14:paraId="3128DD44" w14:textId="77777777" w:rsidR="00171C5B" w:rsidRDefault="00171C5B" w:rsidP="00C04FF2">
            <w:pPr>
              <w:jc w:val="center"/>
              <w:rPr>
                <w:i/>
                <w:color w:val="FF0000"/>
              </w:rPr>
            </w:pPr>
          </w:p>
          <w:p w14:paraId="5AE88E1C" w14:textId="77777777" w:rsidR="00A70743" w:rsidRDefault="00A70743" w:rsidP="00C04FF2">
            <w:pPr>
              <w:jc w:val="center"/>
              <w:rPr>
                <w:i/>
                <w:color w:val="FF0000"/>
              </w:rPr>
            </w:pPr>
            <w:r w:rsidRPr="008C10B5">
              <w:rPr>
                <w:i/>
                <w:color w:val="FF0000"/>
              </w:rPr>
              <w:t>Taip/Ne</w:t>
            </w:r>
          </w:p>
          <w:p w14:paraId="26A0B246" w14:textId="77777777" w:rsidR="00A70743" w:rsidRDefault="00A70743" w:rsidP="00C04FF2">
            <w:pPr>
              <w:jc w:val="center"/>
              <w:rPr>
                <w:color w:val="FF0000"/>
                <w:lang w:eastAsia="en-US"/>
              </w:rPr>
            </w:pPr>
          </w:p>
        </w:tc>
      </w:tr>
      <w:tr w:rsidR="00A70743" w14:paraId="7F9E8334" w14:textId="77777777" w:rsidTr="00A70743">
        <w:trPr>
          <w:trHeight w:val="620"/>
        </w:trPr>
        <w:tc>
          <w:tcPr>
            <w:tcW w:w="4981" w:type="dxa"/>
          </w:tcPr>
          <w:p w14:paraId="6CE65BD0" w14:textId="18956792" w:rsidR="00A70743" w:rsidRDefault="00A70743" w:rsidP="00C04FF2">
            <w:pPr>
              <w:pStyle w:val="ListParagraph"/>
              <w:tabs>
                <w:tab w:val="left" w:pos="851"/>
                <w:tab w:val="left" w:pos="1134"/>
              </w:tabs>
              <w:ind w:left="0"/>
              <w:jc w:val="both"/>
            </w:pPr>
            <w:r>
              <w:t>9</w:t>
            </w:r>
            <w:r w:rsidRPr="00C962E6">
              <w:t xml:space="preserve">.5. </w:t>
            </w:r>
            <w:r w:rsidRPr="003C7C70">
              <w:t>siūlomas modelio dalyvių skatinimo priemones, atitinkančias galiojančius Lietuvos teisės aktus</w:t>
            </w:r>
            <w:r>
              <w:t>,</w:t>
            </w:r>
            <w:r w:rsidRPr="003C7C70">
              <w:t xml:space="preserve"> ir, jei bus nustatytas toks poreikis, pasiūlymus dėl atitinkamų teisės aktų pakeitimų</w:t>
            </w:r>
            <w:r>
              <w:t>;</w:t>
            </w:r>
          </w:p>
        </w:tc>
        <w:tc>
          <w:tcPr>
            <w:tcW w:w="4981" w:type="dxa"/>
          </w:tcPr>
          <w:p w14:paraId="6F04852A" w14:textId="77777777" w:rsidR="00A70743" w:rsidRDefault="00A70743" w:rsidP="00C04FF2">
            <w:pPr>
              <w:jc w:val="center"/>
              <w:rPr>
                <w:i/>
                <w:color w:val="FF0000"/>
              </w:rPr>
            </w:pPr>
          </w:p>
          <w:p w14:paraId="1B759A97" w14:textId="77777777" w:rsidR="00171C5B" w:rsidRDefault="00171C5B" w:rsidP="00171C5B">
            <w:pPr>
              <w:jc w:val="center"/>
              <w:rPr>
                <w:i/>
                <w:color w:val="FF0000"/>
              </w:rPr>
            </w:pPr>
            <w:r w:rsidRPr="008C10B5">
              <w:rPr>
                <w:i/>
                <w:color w:val="FF0000"/>
              </w:rPr>
              <w:t>Taip/Ne</w:t>
            </w:r>
          </w:p>
          <w:p w14:paraId="5C5D3A9D" w14:textId="77777777" w:rsidR="00171C5B" w:rsidRDefault="00171C5B" w:rsidP="00C04FF2">
            <w:pPr>
              <w:jc w:val="center"/>
              <w:rPr>
                <w:i/>
                <w:color w:val="FF0000"/>
              </w:rPr>
            </w:pPr>
          </w:p>
        </w:tc>
      </w:tr>
      <w:tr w:rsidR="00A70743" w14:paraId="5FE3CC89" w14:textId="77777777" w:rsidTr="00A70743">
        <w:trPr>
          <w:trHeight w:val="620"/>
        </w:trPr>
        <w:tc>
          <w:tcPr>
            <w:tcW w:w="4981" w:type="dxa"/>
          </w:tcPr>
          <w:p w14:paraId="72E416F5" w14:textId="04AF0A31" w:rsidR="00A70743" w:rsidRDefault="00A70743" w:rsidP="00C04FF2">
            <w:pPr>
              <w:pStyle w:val="ListParagraph"/>
              <w:tabs>
                <w:tab w:val="left" w:pos="851"/>
                <w:tab w:val="left" w:pos="1134"/>
              </w:tabs>
              <w:ind w:left="0"/>
              <w:jc w:val="both"/>
            </w:pPr>
            <w:r>
              <w:t>9</w:t>
            </w:r>
            <w:r w:rsidRPr="003C7C70">
              <w:t>.6. modelio įgyvendinimo veiksmų plano projektą, atitinkantį Lietuvos teisės aktų, gerosios viešojo valdymo praktikos reikalavimus</w:t>
            </w:r>
            <w:r>
              <w:t>;</w:t>
            </w:r>
          </w:p>
        </w:tc>
        <w:tc>
          <w:tcPr>
            <w:tcW w:w="4981" w:type="dxa"/>
          </w:tcPr>
          <w:p w14:paraId="09B84FED" w14:textId="77777777" w:rsidR="00A70743" w:rsidRDefault="00A70743" w:rsidP="00C04FF2">
            <w:pPr>
              <w:jc w:val="center"/>
              <w:rPr>
                <w:i/>
                <w:color w:val="FF0000"/>
              </w:rPr>
            </w:pPr>
          </w:p>
          <w:p w14:paraId="7EDEEBFE" w14:textId="77777777" w:rsidR="00171C5B" w:rsidRDefault="00171C5B" w:rsidP="00171C5B">
            <w:pPr>
              <w:jc w:val="center"/>
              <w:rPr>
                <w:i/>
                <w:color w:val="FF0000"/>
              </w:rPr>
            </w:pPr>
            <w:r w:rsidRPr="008C10B5">
              <w:rPr>
                <w:i/>
                <w:color w:val="FF0000"/>
              </w:rPr>
              <w:t>Taip/Ne</w:t>
            </w:r>
          </w:p>
          <w:p w14:paraId="3351B043" w14:textId="77777777" w:rsidR="00171C5B" w:rsidRDefault="00171C5B" w:rsidP="00C04FF2">
            <w:pPr>
              <w:jc w:val="center"/>
              <w:rPr>
                <w:i/>
                <w:color w:val="FF0000"/>
              </w:rPr>
            </w:pPr>
          </w:p>
        </w:tc>
      </w:tr>
      <w:tr w:rsidR="00A70743" w14:paraId="5EF84125" w14:textId="77777777" w:rsidTr="00A70743">
        <w:trPr>
          <w:trHeight w:val="620"/>
        </w:trPr>
        <w:tc>
          <w:tcPr>
            <w:tcW w:w="4981" w:type="dxa"/>
          </w:tcPr>
          <w:p w14:paraId="055832C6" w14:textId="42B6773E" w:rsidR="00A70743" w:rsidRDefault="00A70743" w:rsidP="00C04FF2">
            <w:pPr>
              <w:pStyle w:val="ListParagraph"/>
              <w:tabs>
                <w:tab w:val="left" w:pos="851"/>
                <w:tab w:val="left" w:pos="1134"/>
              </w:tabs>
              <w:ind w:left="0"/>
              <w:jc w:val="both"/>
            </w:pPr>
            <w:r>
              <w:t>9</w:t>
            </w:r>
            <w:r w:rsidRPr="003C7C70">
              <w:t>.7. argumentuotą pasiūlymą dėl bandomojo modelio projekto įgyvendinimo (pvz., galimi suinteresuoti bandomojo projekto dalyviai, siūlomi projekto praktinio įgyvendinimo etapai, projekto trukmė, reikalingi įgyvendinimo kaštai ir kt.)</w:t>
            </w:r>
            <w:r>
              <w:t>;</w:t>
            </w:r>
          </w:p>
        </w:tc>
        <w:tc>
          <w:tcPr>
            <w:tcW w:w="4981" w:type="dxa"/>
          </w:tcPr>
          <w:p w14:paraId="4910789E" w14:textId="77777777" w:rsidR="00A70743" w:rsidRDefault="00A70743" w:rsidP="00C04FF2">
            <w:pPr>
              <w:jc w:val="center"/>
              <w:rPr>
                <w:i/>
                <w:color w:val="FF0000"/>
              </w:rPr>
            </w:pPr>
          </w:p>
          <w:p w14:paraId="17F01D4B" w14:textId="77777777" w:rsidR="00171C5B" w:rsidRDefault="00171C5B" w:rsidP="00C04FF2">
            <w:pPr>
              <w:jc w:val="center"/>
              <w:rPr>
                <w:i/>
                <w:color w:val="FF0000"/>
              </w:rPr>
            </w:pPr>
          </w:p>
          <w:p w14:paraId="71A07C31" w14:textId="77777777" w:rsidR="00171C5B" w:rsidRDefault="00171C5B" w:rsidP="00171C5B">
            <w:pPr>
              <w:jc w:val="center"/>
              <w:rPr>
                <w:i/>
                <w:color w:val="FF0000"/>
              </w:rPr>
            </w:pPr>
            <w:r w:rsidRPr="008C10B5">
              <w:rPr>
                <w:i/>
                <w:color w:val="FF0000"/>
              </w:rPr>
              <w:t>Taip/Ne</w:t>
            </w:r>
          </w:p>
          <w:p w14:paraId="23A07D6B" w14:textId="77777777" w:rsidR="00171C5B" w:rsidRDefault="00171C5B" w:rsidP="00C04FF2">
            <w:pPr>
              <w:jc w:val="center"/>
              <w:rPr>
                <w:i/>
                <w:color w:val="FF0000"/>
              </w:rPr>
            </w:pPr>
          </w:p>
        </w:tc>
      </w:tr>
      <w:tr w:rsidR="00A70743" w14:paraId="269B7232" w14:textId="77777777" w:rsidTr="00A70743">
        <w:trPr>
          <w:trHeight w:val="620"/>
        </w:trPr>
        <w:tc>
          <w:tcPr>
            <w:tcW w:w="4981" w:type="dxa"/>
          </w:tcPr>
          <w:p w14:paraId="3DA114E2" w14:textId="7725D45B" w:rsidR="00A70743" w:rsidRDefault="00A70743" w:rsidP="00C04FF2">
            <w:pPr>
              <w:pStyle w:val="ListParagraph"/>
              <w:tabs>
                <w:tab w:val="left" w:pos="851"/>
                <w:tab w:val="left" w:pos="1134"/>
              </w:tabs>
              <w:ind w:left="0"/>
              <w:jc w:val="both"/>
            </w:pPr>
            <w:r>
              <w:t>9</w:t>
            </w:r>
            <w:r w:rsidRPr="003C7C70">
              <w:t>.8. identifikuotas pagrindines rizikas siūlomam modeliui įgyvendinti ir siūlomus nustatytų rizikų mažinimo ir valdymo būdus</w:t>
            </w:r>
            <w:r>
              <w:t>;</w:t>
            </w:r>
          </w:p>
        </w:tc>
        <w:tc>
          <w:tcPr>
            <w:tcW w:w="4981" w:type="dxa"/>
          </w:tcPr>
          <w:p w14:paraId="00A5BCD9" w14:textId="77777777" w:rsidR="00A70743" w:rsidRDefault="00A70743" w:rsidP="00C04FF2">
            <w:pPr>
              <w:jc w:val="center"/>
              <w:rPr>
                <w:i/>
                <w:color w:val="FF0000"/>
              </w:rPr>
            </w:pPr>
          </w:p>
          <w:p w14:paraId="714A9264" w14:textId="77777777" w:rsidR="00AA59D1" w:rsidRDefault="00AA59D1" w:rsidP="00AA59D1">
            <w:pPr>
              <w:jc w:val="center"/>
              <w:rPr>
                <w:i/>
                <w:color w:val="FF0000"/>
              </w:rPr>
            </w:pPr>
            <w:r w:rsidRPr="008C10B5">
              <w:rPr>
                <w:i/>
                <w:color w:val="FF0000"/>
              </w:rPr>
              <w:t>Taip/Ne</w:t>
            </w:r>
          </w:p>
          <w:p w14:paraId="67AB02E8" w14:textId="77777777" w:rsidR="00AA59D1" w:rsidRDefault="00AA59D1" w:rsidP="00C04FF2">
            <w:pPr>
              <w:jc w:val="center"/>
              <w:rPr>
                <w:i/>
                <w:color w:val="FF0000"/>
              </w:rPr>
            </w:pPr>
          </w:p>
        </w:tc>
      </w:tr>
      <w:tr w:rsidR="00A70743" w14:paraId="3766A9B4" w14:textId="77777777" w:rsidTr="00A70743">
        <w:trPr>
          <w:trHeight w:val="620"/>
        </w:trPr>
        <w:tc>
          <w:tcPr>
            <w:tcW w:w="4981" w:type="dxa"/>
          </w:tcPr>
          <w:p w14:paraId="031D3352" w14:textId="13C7B88E" w:rsidR="00A70743" w:rsidRDefault="00A70743" w:rsidP="00C04FF2">
            <w:pPr>
              <w:pStyle w:val="ListParagraph"/>
              <w:tabs>
                <w:tab w:val="left" w:pos="851"/>
                <w:tab w:val="left" w:pos="1134"/>
              </w:tabs>
              <w:ind w:left="0"/>
              <w:jc w:val="both"/>
            </w:pPr>
            <w:r>
              <w:t>9</w:t>
            </w:r>
            <w:r w:rsidRPr="003C7C70">
              <w:t xml:space="preserve">.9. kitus </w:t>
            </w:r>
            <w:r w:rsidRPr="00E66C6A">
              <w:t>paslaugos teikėjo siūlomus</w:t>
            </w:r>
            <w:r w:rsidRPr="003C7C70">
              <w:t xml:space="preserve"> aspektus (esant poreikiui)</w:t>
            </w:r>
            <w:r>
              <w:t>.</w:t>
            </w:r>
          </w:p>
        </w:tc>
        <w:tc>
          <w:tcPr>
            <w:tcW w:w="4981" w:type="dxa"/>
          </w:tcPr>
          <w:p w14:paraId="0AAB90E3" w14:textId="77777777" w:rsidR="00AA59D1" w:rsidRDefault="00AA59D1" w:rsidP="00AA59D1">
            <w:pPr>
              <w:jc w:val="center"/>
              <w:rPr>
                <w:i/>
                <w:color w:val="FF0000"/>
              </w:rPr>
            </w:pPr>
            <w:r w:rsidRPr="008C10B5">
              <w:rPr>
                <w:i/>
                <w:color w:val="FF0000"/>
              </w:rPr>
              <w:t>Taip/Ne</w:t>
            </w:r>
          </w:p>
          <w:p w14:paraId="12468B9C" w14:textId="77777777" w:rsidR="00AA59D1" w:rsidRDefault="00AA59D1" w:rsidP="00C04FF2">
            <w:pPr>
              <w:jc w:val="center"/>
              <w:rPr>
                <w:i/>
                <w:color w:val="FF0000"/>
              </w:rPr>
            </w:pPr>
          </w:p>
        </w:tc>
      </w:tr>
      <w:tr w:rsidR="00A70743" w:rsidRPr="008847A3" w14:paraId="7A5A9ACC" w14:textId="77777777" w:rsidTr="00C04FF2">
        <w:trPr>
          <w:trHeight w:val="620"/>
        </w:trPr>
        <w:tc>
          <w:tcPr>
            <w:tcW w:w="9962" w:type="dxa"/>
            <w:gridSpan w:val="2"/>
            <w:shd w:val="clear" w:color="auto" w:fill="E7E6E6" w:themeFill="background2"/>
          </w:tcPr>
          <w:p w14:paraId="010FBE58" w14:textId="77777777" w:rsidR="00A70743" w:rsidRPr="00C962E6" w:rsidRDefault="00A70743" w:rsidP="00AA59D1">
            <w:pPr>
              <w:pStyle w:val="ListParagraph"/>
              <w:ind w:left="0"/>
            </w:pPr>
            <w:r w:rsidRPr="00A70743">
              <w:rPr>
                <w:b/>
                <w:bCs/>
              </w:rPr>
              <w:t>10.</w:t>
            </w:r>
            <w:r w:rsidRPr="00C962E6">
              <w:rPr>
                <w:b/>
                <w:bCs/>
              </w:rPr>
              <w:t xml:space="preserve"> Išvados ir </w:t>
            </w:r>
            <w:r w:rsidRPr="00F72335">
              <w:rPr>
                <w:b/>
                <w:bCs/>
              </w:rPr>
              <w:t>rekomendacijos</w:t>
            </w:r>
            <w:r w:rsidRPr="00C962E6">
              <w:t xml:space="preserve"> </w:t>
            </w:r>
          </w:p>
          <w:p w14:paraId="4BAE575E" w14:textId="490C89D0" w:rsidR="00A70743" w:rsidRPr="004F20CB" w:rsidRDefault="00A70743" w:rsidP="00C04FF2">
            <w:pPr>
              <w:pStyle w:val="ListParagraph"/>
              <w:ind w:left="792"/>
              <w:jc w:val="both"/>
            </w:pPr>
          </w:p>
        </w:tc>
      </w:tr>
      <w:tr w:rsidR="004F20CB" w:rsidRPr="008847A3" w14:paraId="57E8190B" w14:textId="77777777" w:rsidTr="002446FE">
        <w:trPr>
          <w:trHeight w:val="620"/>
        </w:trPr>
        <w:tc>
          <w:tcPr>
            <w:tcW w:w="9962" w:type="dxa"/>
            <w:gridSpan w:val="2"/>
            <w:shd w:val="clear" w:color="auto" w:fill="E7E6E6" w:themeFill="background2"/>
          </w:tcPr>
          <w:p w14:paraId="2D988BB4" w14:textId="77777777" w:rsidR="00A70743" w:rsidRPr="00C962E6" w:rsidRDefault="00A70743" w:rsidP="00AA59D1">
            <w:pPr>
              <w:pStyle w:val="ListParagraph"/>
              <w:ind w:left="0"/>
              <w:jc w:val="both"/>
            </w:pPr>
            <w:r w:rsidRPr="00F72335">
              <w:t>Pateikti</w:t>
            </w:r>
            <w:r w:rsidRPr="00C962E6">
              <w:t xml:space="preserve"> svarbiausi galimybių studijos rezultatai</w:t>
            </w:r>
            <w:r w:rsidRPr="00F72335">
              <w:t>:</w:t>
            </w:r>
          </w:p>
          <w:p w14:paraId="5253120B" w14:textId="00F0B691" w:rsidR="004F20CB" w:rsidRPr="004F20CB" w:rsidRDefault="004F20CB" w:rsidP="004F20CB">
            <w:pPr>
              <w:pStyle w:val="ListParagraph"/>
              <w:ind w:left="792"/>
              <w:jc w:val="both"/>
            </w:pPr>
          </w:p>
        </w:tc>
      </w:tr>
      <w:tr w:rsidR="00883527" w14:paraId="666A6B43" w14:textId="77777777" w:rsidTr="002446FE">
        <w:trPr>
          <w:trHeight w:val="620"/>
        </w:trPr>
        <w:tc>
          <w:tcPr>
            <w:tcW w:w="4981" w:type="dxa"/>
          </w:tcPr>
          <w:p w14:paraId="569119AA" w14:textId="4C24BBFC" w:rsidR="00883527" w:rsidRDefault="00FE1BF4" w:rsidP="00AA59D1">
            <w:pPr>
              <w:pStyle w:val="ListParagraph"/>
              <w:ind w:left="0"/>
              <w:jc w:val="both"/>
            </w:pPr>
            <w:r>
              <w:t>10</w:t>
            </w:r>
            <w:r w:rsidRPr="00C962E6">
              <w:t xml:space="preserve">.1. </w:t>
            </w:r>
            <w:r>
              <w:t>n</w:t>
            </w:r>
            <w:r w:rsidRPr="00C962E6">
              <w:t>ustatytos esamos ir perspektyvios VPSB kryptys;</w:t>
            </w:r>
          </w:p>
        </w:tc>
        <w:tc>
          <w:tcPr>
            <w:tcW w:w="4981" w:type="dxa"/>
          </w:tcPr>
          <w:p w14:paraId="17926647" w14:textId="384CA27E" w:rsidR="00883527" w:rsidRPr="00AA59D1" w:rsidRDefault="004F20CB" w:rsidP="00D04920">
            <w:pPr>
              <w:jc w:val="center"/>
              <w:rPr>
                <w:i/>
                <w:color w:val="FF0000"/>
              </w:rPr>
            </w:pPr>
            <w:r w:rsidRPr="008C10B5">
              <w:rPr>
                <w:i/>
                <w:color w:val="FF0000"/>
              </w:rPr>
              <w:t>Taip/Ne</w:t>
            </w:r>
          </w:p>
        </w:tc>
      </w:tr>
      <w:tr w:rsidR="00883527" w14:paraId="23173DA9" w14:textId="77777777" w:rsidTr="002446FE">
        <w:trPr>
          <w:trHeight w:val="620"/>
        </w:trPr>
        <w:tc>
          <w:tcPr>
            <w:tcW w:w="4981" w:type="dxa"/>
          </w:tcPr>
          <w:p w14:paraId="2068EF89" w14:textId="4EA34943" w:rsidR="00883527" w:rsidRDefault="004F20CB" w:rsidP="00AA59D1">
            <w:pPr>
              <w:pStyle w:val="ListParagraph"/>
              <w:ind w:left="0"/>
              <w:jc w:val="both"/>
            </w:pPr>
            <w:r>
              <w:t xml:space="preserve"> </w:t>
            </w:r>
            <w:r w:rsidR="00FE1BF4">
              <w:t>10</w:t>
            </w:r>
            <w:r w:rsidR="00FE1BF4" w:rsidRPr="00C962E6">
              <w:t xml:space="preserve">.2. </w:t>
            </w:r>
            <w:r w:rsidR="00FE1BF4">
              <w:t>p</w:t>
            </w:r>
            <w:r w:rsidR="00FE1BF4" w:rsidRPr="00C962E6">
              <w:t>ateikta svarbiausia apibendrinta informacija, išvados ir siūlymai atlikus VPSB</w:t>
            </w:r>
            <w:r w:rsidR="00FE1BF4" w:rsidRPr="00C962E6">
              <w:rPr>
                <w:bCs/>
              </w:rPr>
              <w:t xml:space="preserve"> kibernetinio saugumo kompetencijų ugdymo srityje poreikio analizę;</w:t>
            </w:r>
            <w:r w:rsidR="00FE1BF4" w:rsidRPr="00C962E6">
              <w:t xml:space="preserve">  </w:t>
            </w:r>
          </w:p>
        </w:tc>
        <w:tc>
          <w:tcPr>
            <w:tcW w:w="4981" w:type="dxa"/>
          </w:tcPr>
          <w:p w14:paraId="47FE3153" w14:textId="77777777" w:rsidR="00883527" w:rsidRDefault="00883527" w:rsidP="00D04920">
            <w:pPr>
              <w:jc w:val="center"/>
              <w:rPr>
                <w:i/>
                <w:color w:val="FF0000"/>
              </w:rPr>
            </w:pPr>
          </w:p>
          <w:p w14:paraId="7DB70FCB" w14:textId="77777777" w:rsidR="004F20CB" w:rsidRDefault="004F20CB" w:rsidP="004F20CB">
            <w:pPr>
              <w:jc w:val="center"/>
              <w:rPr>
                <w:i/>
                <w:color w:val="FF0000"/>
              </w:rPr>
            </w:pPr>
            <w:r w:rsidRPr="008C10B5">
              <w:rPr>
                <w:i/>
                <w:color w:val="FF0000"/>
              </w:rPr>
              <w:t>Taip/Ne</w:t>
            </w:r>
          </w:p>
          <w:p w14:paraId="74BA1DD4" w14:textId="4FBD2381" w:rsidR="004F20CB" w:rsidRPr="00D04920" w:rsidRDefault="004F20CB" w:rsidP="00D04920">
            <w:pPr>
              <w:jc w:val="center"/>
              <w:rPr>
                <w:i/>
                <w:color w:val="FF0000"/>
              </w:rPr>
            </w:pPr>
          </w:p>
        </w:tc>
      </w:tr>
      <w:tr w:rsidR="00883527" w14:paraId="67F606E6" w14:textId="77777777" w:rsidTr="002446FE">
        <w:trPr>
          <w:trHeight w:val="620"/>
        </w:trPr>
        <w:tc>
          <w:tcPr>
            <w:tcW w:w="4981" w:type="dxa"/>
          </w:tcPr>
          <w:p w14:paraId="5AC0A3C7" w14:textId="62FA768C" w:rsidR="00883527" w:rsidRDefault="00FE1BF4" w:rsidP="008459CD">
            <w:pPr>
              <w:pStyle w:val="ListParagraph"/>
              <w:tabs>
                <w:tab w:val="left" w:pos="851"/>
                <w:tab w:val="left" w:pos="1134"/>
              </w:tabs>
              <w:ind w:left="0"/>
              <w:jc w:val="both"/>
            </w:pPr>
            <w:r>
              <w:t>10</w:t>
            </w:r>
            <w:r w:rsidRPr="00C962E6">
              <w:t xml:space="preserve">.3. </w:t>
            </w:r>
            <w:r>
              <w:t>p</w:t>
            </w:r>
            <w:r w:rsidRPr="00C962E6">
              <w:t>asiūlytas VPSB modelis kibernetinio saugumo kompetencijų ugdymo srityje ir pateiktos j</w:t>
            </w:r>
            <w:r>
              <w:t>o</w:t>
            </w:r>
            <w:r w:rsidRPr="00C962E6">
              <w:t xml:space="preserve"> įgyvendin</w:t>
            </w:r>
            <w:r>
              <w:t>imo</w:t>
            </w:r>
            <w:r w:rsidRPr="006A0EB5">
              <w:t xml:space="preserve"> </w:t>
            </w:r>
            <w:r w:rsidRPr="00C962E6">
              <w:t>rekomendacijos</w:t>
            </w:r>
            <w:r>
              <w:t>.</w:t>
            </w:r>
          </w:p>
        </w:tc>
        <w:tc>
          <w:tcPr>
            <w:tcW w:w="4981" w:type="dxa"/>
          </w:tcPr>
          <w:p w14:paraId="78961C73" w14:textId="77777777" w:rsidR="00883527" w:rsidRDefault="00883527" w:rsidP="002446FE">
            <w:pPr>
              <w:suppressAutoHyphens/>
              <w:spacing w:line="276" w:lineRule="auto"/>
              <w:jc w:val="center"/>
              <w:rPr>
                <w:color w:val="FF0000"/>
                <w:lang w:eastAsia="en-US"/>
              </w:rPr>
            </w:pPr>
          </w:p>
          <w:p w14:paraId="1C5AD057" w14:textId="77777777" w:rsidR="004F20CB" w:rsidRDefault="004F20CB" w:rsidP="004F20CB">
            <w:pPr>
              <w:jc w:val="center"/>
              <w:rPr>
                <w:i/>
                <w:color w:val="FF0000"/>
              </w:rPr>
            </w:pPr>
            <w:r w:rsidRPr="008C10B5">
              <w:rPr>
                <w:i/>
                <w:color w:val="FF0000"/>
              </w:rPr>
              <w:t>Taip/Ne</w:t>
            </w:r>
          </w:p>
          <w:p w14:paraId="2B57F245" w14:textId="6999F8C5" w:rsidR="00883527" w:rsidRDefault="00883527" w:rsidP="00D04920">
            <w:pPr>
              <w:jc w:val="center"/>
              <w:rPr>
                <w:color w:val="FF0000"/>
                <w:lang w:eastAsia="en-US"/>
              </w:rPr>
            </w:pPr>
          </w:p>
        </w:tc>
      </w:tr>
      <w:tr w:rsidR="004F20CB" w:rsidRPr="008847A3" w14:paraId="74CF4A30" w14:textId="77777777" w:rsidTr="002446FE">
        <w:trPr>
          <w:trHeight w:val="620"/>
        </w:trPr>
        <w:tc>
          <w:tcPr>
            <w:tcW w:w="9962" w:type="dxa"/>
            <w:gridSpan w:val="2"/>
            <w:shd w:val="clear" w:color="auto" w:fill="E7E6E6" w:themeFill="background2"/>
          </w:tcPr>
          <w:p w14:paraId="63420678" w14:textId="77777777" w:rsidR="00FE1BF4" w:rsidRPr="00C962E6" w:rsidRDefault="00FE1BF4" w:rsidP="00FE1BF4">
            <w:pPr>
              <w:jc w:val="center"/>
              <w:rPr>
                <w:b/>
              </w:rPr>
            </w:pPr>
            <w:r w:rsidRPr="00C962E6">
              <w:rPr>
                <w:b/>
              </w:rPr>
              <w:t>IV SKYRIUS</w:t>
            </w:r>
          </w:p>
          <w:p w14:paraId="76FF0767" w14:textId="77777777" w:rsidR="00FE1BF4" w:rsidRPr="00C962E6" w:rsidRDefault="00FE1BF4" w:rsidP="00FE1BF4">
            <w:pPr>
              <w:jc w:val="center"/>
              <w:rPr>
                <w:b/>
              </w:rPr>
            </w:pPr>
            <w:r w:rsidRPr="00C962E6">
              <w:rPr>
                <w:b/>
              </w:rPr>
              <w:t>APIBENDRINAM</w:t>
            </w:r>
            <w:r>
              <w:rPr>
                <w:b/>
              </w:rPr>
              <w:t xml:space="preserve">OJO </w:t>
            </w:r>
            <w:r w:rsidRPr="00C962E6">
              <w:rPr>
                <w:b/>
              </w:rPr>
              <w:t>RENGINI</w:t>
            </w:r>
            <w:r>
              <w:rPr>
                <w:b/>
              </w:rPr>
              <w:t>O</w:t>
            </w:r>
            <w:r w:rsidRPr="00C962E6">
              <w:rPr>
                <w:b/>
              </w:rPr>
              <w:t>-DISKUSIJ</w:t>
            </w:r>
            <w:r>
              <w:rPr>
                <w:b/>
              </w:rPr>
              <w:t>OS</w:t>
            </w:r>
            <w:r w:rsidRPr="001E76D6">
              <w:rPr>
                <w:b/>
              </w:rPr>
              <w:t xml:space="preserve"> </w:t>
            </w:r>
            <w:r w:rsidRPr="00C962E6">
              <w:rPr>
                <w:b/>
              </w:rPr>
              <w:t>REIKALAVIMAI</w:t>
            </w:r>
          </w:p>
          <w:p w14:paraId="7CA5843E" w14:textId="64B76842" w:rsidR="004F20CB" w:rsidRPr="004F20CB" w:rsidRDefault="004F20CB" w:rsidP="002446FE">
            <w:pPr>
              <w:pStyle w:val="ListParagraph"/>
              <w:ind w:left="792"/>
              <w:jc w:val="both"/>
            </w:pPr>
          </w:p>
        </w:tc>
      </w:tr>
      <w:tr w:rsidR="00FE1BF4" w14:paraId="74CA731B" w14:textId="77777777" w:rsidTr="00C04FF2">
        <w:trPr>
          <w:trHeight w:val="620"/>
        </w:trPr>
        <w:tc>
          <w:tcPr>
            <w:tcW w:w="9962" w:type="dxa"/>
            <w:gridSpan w:val="2"/>
            <w:shd w:val="clear" w:color="auto" w:fill="E7E6E6" w:themeFill="background2"/>
          </w:tcPr>
          <w:p w14:paraId="0C04EF68" w14:textId="0FFB39D2" w:rsidR="00FE1BF4" w:rsidRPr="00503DEC" w:rsidRDefault="00FE1BF4" w:rsidP="00AA59D1">
            <w:pPr>
              <w:pStyle w:val="ListParagraph"/>
              <w:ind w:left="0"/>
              <w:contextualSpacing w:val="0"/>
            </w:pPr>
            <w:r>
              <w:rPr>
                <w:b/>
                <w:bCs/>
              </w:rPr>
              <w:t xml:space="preserve">11. </w:t>
            </w:r>
            <w:r w:rsidRPr="00503DEC">
              <w:rPr>
                <w:b/>
              </w:rPr>
              <w:t>Renginio vietos reikalavimai:</w:t>
            </w:r>
          </w:p>
          <w:p w14:paraId="71F59054" w14:textId="6C978637" w:rsidR="00FE1BF4" w:rsidRPr="00C962E6" w:rsidRDefault="00FE1BF4" w:rsidP="00C04FF2">
            <w:pPr>
              <w:pStyle w:val="ListParagraph"/>
              <w:ind w:left="360"/>
              <w:jc w:val="center"/>
            </w:pPr>
          </w:p>
          <w:p w14:paraId="74AEE66A" w14:textId="77777777" w:rsidR="00FE1BF4" w:rsidRPr="00CD0A46" w:rsidRDefault="00FE1BF4" w:rsidP="00C04FF2">
            <w:pPr>
              <w:pStyle w:val="ListParagraph"/>
              <w:suppressAutoHyphens/>
              <w:spacing w:before="120" w:line="276" w:lineRule="auto"/>
              <w:ind w:left="0"/>
              <w:jc w:val="both"/>
              <w:rPr>
                <w:b/>
                <w:lang w:eastAsia="en-US"/>
              </w:rPr>
            </w:pPr>
          </w:p>
        </w:tc>
      </w:tr>
      <w:tr w:rsidR="00FE1BF4" w14:paraId="48F32AD7" w14:textId="77777777" w:rsidTr="00C04FF2">
        <w:trPr>
          <w:trHeight w:val="620"/>
        </w:trPr>
        <w:tc>
          <w:tcPr>
            <w:tcW w:w="4981" w:type="dxa"/>
          </w:tcPr>
          <w:p w14:paraId="5BF0E40F" w14:textId="2D8E0521" w:rsidR="00FE1BF4" w:rsidRDefault="00FE1BF4" w:rsidP="00C04FF2">
            <w:pPr>
              <w:pStyle w:val="ListParagraph"/>
              <w:tabs>
                <w:tab w:val="left" w:pos="851"/>
                <w:tab w:val="left" w:pos="1134"/>
              </w:tabs>
              <w:ind w:left="0"/>
              <w:jc w:val="both"/>
            </w:pPr>
            <w:r>
              <w:t xml:space="preserve">11.1. </w:t>
            </w:r>
            <w:r w:rsidRPr="00503DEC">
              <w:t>Apibendrinamasis renginys-diskusija (toliau – renginys) privalo būti organizuotas vienoje iš Vilniaus mieste esančių renginiams ir / ar konferencijoms pritaikytų vietų.</w:t>
            </w:r>
          </w:p>
        </w:tc>
        <w:tc>
          <w:tcPr>
            <w:tcW w:w="4981" w:type="dxa"/>
          </w:tcPr>
          <w:p w14:paraId="4369F7EE" w14:textId="77777777" w:rsidR="00FE1BF4" w:rsidRDefault="00FE1BF4" w:rsidP="00C04FF2">
            <w:pPr>
              <w:suppressAutoHyphens/>
              <w:spacing w:line="276" w:lineRule="auto"/>
              <w:jc w:val="center"/>
              <w:rPr>
                <w:color w:val="FF0000"/>
                <w:lang w:eastAsia="en-US"/>
              </w:rPr>
            </w:pPr>
          </w:p>
          <w:p w14:paraId="53592F31" w14:textId="77777777" w:rsidR="00FE1BF4" w:rsidRDefault="00FE1BF4" w:rsidP="00C04FF2">
            <w:pPr>
              <w:jc w:val="center"/>
              <w:rPr>
                <w:i/>
                <w:color w:val="FF0000"/>
              </w:rPr>
            </w:pPr>
            <w:r w:rsidRPr="008C10B5">
              <w:rPr>
                <w:i/>
                <w:color w:val="FF0000"/>
              </w:rPr>
              <w:t>Taip/Ne</w:t>
            </w:r>
          </w:p>
          <w:p w14:paraId="1F743A74" w14:textId="77777777" w:rsidR="00FE1BF4" w:rsidRDefault="00FE1BF4" w:rsidP="00C04FF2">
            <w:pPr>
              <w:jc w:val="center"/>
              <w:rPr>
                <w:color w:val="FF0000"/>
                <w:lang w:eastAsia="en-US"/>
              </w:rPr>
            </w:pPr>
          </w:p>
        </w:tc>
      </w:tr>
      <w:tr w:rsidR="00FE1BF4" w14:paraId="338C658F" w14:textId="77777777" w:rsidTr="00C04FF2">
        <w:trPr>
          <w:trHeight w:val="620"/>
        </w:trPr>
        <w:tc>
          <w:tcPr>
            <w:tcW w:w="4981" w:type="dxa"/>
          </w:tcPr>
          <w:p w14:paraId="33BF4483" w14:textId="4026AA46" w:rsidR="00FE1BF4" w:rsidRDefault="00FE1BF4" w:rsidP="00C04FF2">
            <w:pPr>
              <w:pStyle w:val="ListParagraph"/>
              <w:tabs>
                <w:tab w:val="left" w:pos="851"/>
                <w:tab w:val="left" w:pos="1134"/>
              </w:tabs>
              <w:ind w:left="0"/>
              <w:jc w:val="both"/>
            </w:pPr>
            <w:r>
              <w:lastRenderedPageBreak/>
              <w:t xml:space="preserve"> </w:t>
            </w:r>
            <w:r>
              <w:t xml:space="preserve">11.2. </w:t>
            </w:r>
            <w:r w:rsidRPr="00C962E6">
              <w:t>Konkreti vieta turi būti derinama</w:t>
            </w:r>
            <w:r>
              <w:t xml:space="preserve"> su Perkančiąja organizacija</w:t>
            </w:r>
            <w:r>
              <w:t>.</w:t>
            </w:r>
          </w:p>
        </w:tc>
        <w:tc>
          <w:tcPr>
            <w:tcW w:w="4981" w:type="dxa"/>
          </w:tcPr>
          <w:p w14:paraId="4BB4173A" w14:textId="77777777" w:rsidR="00FE1BF4" w:rsidRPr="004F20CB" w:rsidRDefault="00FE1BF4" w:rsidP="00C04FF2">
            <w:pPr>
              <w:jc w:val="center"/>
              <w:rPr>
                <w:i/>
                <w:color w:val="FF0000"/>
              </w:rPr>
            </w:pPr>
            <w:r w:rsidRPr="008C10B5">
              <w:rPr>
                <w:i/>
                <w:color w:val="FF0000"/>
              </w:rPr>
              <w:t>Taip/Ne</w:t>
            </w:r>
          </w:p>
          <w:p w14:paraId="56EBEA67" w14:textId="77777777" w:rsidR="00FE1BF4" w:rsidRDefault="00FE1BF4" w:rsidP="00C04FF2">
            <w:pPr>
              <w:jc w:val="center"/>
              <w:rPr>
                <w:color w:val="FF0000"/>
                <w:lang w:eastAsia="en-US"/>
              </w:rPr>
            </w:pPr>
          </w:p>
        </w:tc>
      </w:tr>
      <w:tr w:rsidR="00FE1BF4" w14:paraId="0B5A1F94" w14:textId="77777777" w:rsidTr="00C04FF2">
        <w:trPr>
          <w:trHeight w:val="620"/>
        </w:trPr>
        <w:tc>
          <w:tcPr>
            <w:tcW w:w="4981" w:type="dxa"/>
          </w:tcPr>
          <w:p w14:paraId="7EB7AF72" w14:textId="5B8C9F42" w:rsidR="00FE1BF4" w:rsidRDefault="00FE1BF4" w:rsidP="00C04FF2">
            <w:pPr>
              <w:pStyle w:val="ListParagraph"/>
              <w:tabs>
                <w:tab w:val="left" w:pos="851"/>
                <w:tab w:val="left" w:pos="1134"/>
              </w:tabs>
              <w:ind w:left="0"/>
              <w:jc w:val="both"/>
            </w:pPr>
            <w:r>
              <w:t xml:space="preserve">11.3. </w:t>
            </w:r>
            <w:r w:rsidRPr="00503DEC">
              <w:t>Paslaugos teikėjas pasirūpina, kad renginio vieta būtų pritaikyta ne daugiau kaip 100 dalyvių auditorijai ir tiesioginei transliacijai Perkančios organizacijos socialinių tinklų paskyroje, bendravimo ir kitai su renginiu susijusiai veiklai, taip pat renginio dalyvių maitinimui (užkandžiams) su tam reikalingais baldais</w:t>
            </w:r>
            <w:r>
              <w:t>.</w:t>
            </w:r>
          </w:p>
        </w:tc>
        <w:tc>
          <w:tcPr>
            <w:tcW w:w="4981" w:type="dxa"/>
          </w:tcPr>
          <w:p w14:paraId="67D2B653" w14:textId="77777777" w:rsidR="00FE1BF4" w:rsidRDefault="00FE1BF4" w:rsidP="00C04FF2">
            <w:pPr>
              <w:suppressAutoHyphens/>
              <w:spacing w:line="276" w:lineRule="auto"/>
              <w:jc w:val="center"/>
              <w:rPr>
                <w:color w:val="FF0000"/>
                <w:lang w:eastAsia="en-US"/>
              </w:rPr>
            </w:pPr>
          </w:p>
          <w:p w14:paraId="32BD8F69" w14:textId="77777777" w:rsidR="00AA59D1" w:rsidRDefault="00AA59D1" w:rsidP="00C04FF2">
            <w:pPr>
              <w:jc w:val="center"/>
              <w:rPr>
                <w:i/>
                <w:color w:val="FF0000"/>
              </w:rPr>
            </w:pPr>
          </w:p>
          <w:p w14:paraId="19A98F8E" w14:textId="77777777" w:rsidR="00FE1BF4" w:rsidRDefault="00FE1BF4" w:rsidP="00C04FF2">
            <w:pPr>
              <w:jc w:val="center"/>
              <w:rPr>
                <w:i/>
                <w:color w:val="FF0000"/>
              </w:rPr>
            </w:pPr>
            <w:r w:rsidRPr="008C10B5">
              <w:rPr>
                <w:i/>
                <w:color w:val="FF0000"/>
              </w:rPr>
              <w:t>Taip/Ne</w:t>
            </w:r>
          </w:p>
          <w:p w14:paraId="18F508AA" w14:textId="77777777" w:rsidR="00FE1BF4" w:rsidRDefault="00FE1BF4" w:rsidP="00C04FF2">
            <w:pPr>
              <w:jc w:val="center"/>
              <w:rPr>
                <w:color w:val="FF0000"/>
                <w:lang w:eastAsia="en-US"/>
              </w:rPr>
            </w:pPr>
          </w:p>
        </w:tc>
      </w:tr>
      <w:tr w:rsidR="00FE1BF4" w14:paraId="1B9EE19B" w14:textId="77777777" w:rsidTr="00C04FF2">
        <w:trPr>
          <w:trHeight w:val="620"/>
        </w:trPr>
        <w:tc>
          <w:tcPr>
            <w:tcW w:w="4981" w:type="dxa"/>
          </w:tcPr>
          <w:p w14:paraId="1B7A1EA0" w14:textId="1255E2A3" w:rsidR="00FE1BF4" w:rsidRDefault="00FE1BF4" w:rsidP="00C04FF2">
            <w:pPr>
              <w:pStyle w:val="ListParagraph"/>
              <w:tabs>
                <w:tab w:val="left" w:pos="851"/>
                <w:tab w:val="left" w:pos="1134"/>
              </w:tabs>
              <w:ind w:left="0"/>
              <w:jc w:val="both"/>
            </w:pPr>
            <w:r>
              <w:t xml:space="preserve"> </w:t>
            </w:r>
            <w:r>
              <w:t xml:space="preserve">11.4. </w:t>
            </w:r>
            <w:r>
              <w:t>V</w:t>
            </w:r>
            <w:r w:rsidRPr="00C962E6">
              <w:t>ieta turi turėti visą renginiui reikalingą infrastruktūrą</w:t>
            </w:r>
            <w:r>
              <w:t xml:space="preserve">, </w:t>
            </w:r>
            <w:r w:rsidRPr="00C962E6">
              <w:t>dalyvi</w:t>
            </w:r>
            <w:r>
              <w:t>ams</w:t>
            </w:r>
            <w:r w:rsidRPr="00C962E6">
              <w:t xml:space="preserve"> </w:t>
            </w:r>
            <w:r>
              <w:t>turi būti</w:t>
            </w:r>
            <w:r w:rsidRPr="00C962E6">
              <w:t xml:space="preserve"> </w:t>
            </w:r>
            <w:r>
              <w:t>sudarytos</w:t>
            </w:r>
            <w:r w:rsidRPr="00C962E6">
              <w:t xml:space="preserve"> sąlygos pasidėti viršutinius drabužius, pateiktos rodyklės iki renginio salės</w:t>
            </w:r>
            <w:r>
              <w:t>.</w:t>
            </w:r>
          </w:p>
        </w:tc>
        <w:tc>
          <w:tcPr>
            <w:tcW w:w="4981" w:type="dxa"/>
          </w:tcPr>
          <w:p w14:paraId="2D338A09" w14:textId="77777777" w:rsidR="00AA59D1" w:rsidRDefault="00AA59D1" w:rsidP="00C04FF2">
            <w:pPr>
              <w:jc w:val="center"/>
              <w:rPr>
                <w:i/>
                <w:color w:val="FF0000"/>
              </w:rPr>
            </w:pPr>
          </w:p>
          <w:p w14:paraId="36F599E5" w14:textId="77777777" w:rsidR="00FE1BF4" w:rsidRPr="004F20CB" w:rsidRDefault="00FE1BF4" w:rsidP="00C04FF2">
            <w:pPr>
              <w:jc w:val="center"/>
              <w:rPr>
                <w:i/>
                <w:color w:val="FF0000"/>
              </w:rPr>
            </w:pPr>
            <w:r w:rsidRPr="008C10B5">
              <w:rPr>
                <w:i/>
                <w:color w:val="FF0000"/>
              </w:rPr>
              <w:t>Taip/Ne</w:t>
            </w:r>
          </w:p>
          <w:p w14:paraId="071DC1C2" w14:textId="77777777" w:rsidR="00FE1BF4" w:rsidRDefault="00FE1BF4" w:rsidP="00C04FF2">
            <w:pPr>
              <w:jc w:val="center"/>
              <w:rPr>
                <w:color w:val="FF0000"/>
                <w:lang w:eastAsia="en-US"/>
              </w:rPr>
            </w:pPr>
          </w:p>
        </w:tc>
      </w:tr>
      <w:tr w:rsidR="00883527" w14:paraId="45F0C4F8" w14:textId="77777777" w:rsidTr="002446FE">
        <w:trPr>
          <w:trHeight w:val="620"/>
        </w:trPr>
        <w:tc>
          <w:tcPr>
            <w:tcW w:w="4981" w:type="dxa"/>
          </w:tcPr>
          <w:p w14:paraId="1F4379D6" w14:textId="4D1244F5" w:rsidR="00883527" w:rsidRDefault="004F20CB" w:rsidP="00AA59D1">
            <w:pPr>
              <w:pStyle w:val="ListParagraph"/>
              <w:tabs>
                <w:tab w:val="left" w:pos="851"/>
                <w:tab w:val="left" w:pos="1134"/>
              </w:tabs>
              <w:ind w:left="0"/>
              <w:jc w:val="both"/>
            </w:pPr>
            <w:r>
              <w:t xml:space="preserve"> </w:t>
            </w:r>
            <w:r w:rsidR="00FE1BF4">
              <w:t xml:space="preserve">11.5. </w:t>
            </w:r>
            <w:r w:rsidR="00FE1BF4" w:rsidRPr="00C962E6">
              <w:t xml:space="preserve">Matomoje vietoje turi būti pakabintas informacinis plakatas (ar pastatytas stendas) su informaciniu ženklu, kad renginys vykdomas naudojant </w:t>
            </w:r>
            <w:r w:rsidR="00FE1BF4" w:rsidRPr="00C962E6">
              <w:rPr>
                <w:shd w:val="clear" w:color="auto" w:fill="FFFFFF"/>
              </w:rPr>
              <w:t>Ekonomikos gaivinimo ir atsparumo didinimo priemonės (EGADP) lėšas</w:t>
            </w:r>
          </w:p>
        </w:tc>
        <w:tc>
          <w:tcPr>
            <w:tcW w:w="4981" w:type="dxa"/>
          </w:tcPr>
          <w:p w14:paraId="426F2A99" w14:textId="77777777" w:rsidR="00883527" w:rsidRDefault="00883527" w:rsidP="002446FE">
            <w:pPr>
              <w:suppressAutoHyphens/>
              <w:spacing w:line="276" w:lineRule="auto"/>
              <w:jc w:val="center"/>
              <w:rPr>
                <w:color w:val="FF0000"/>
                <w:lang w:eastAsia="en-US"/>
              </w:rPr>
            </w:pPr>
          </w:p>
          <w:p w14:paraId="27DB7868" w14:textId="77777777" w:rsidR="004F20CB" w:rsidRDefault="004F20CB" w:rsidP="004F20CB">
            <w:pPr>
              <w:jc w:val="center"/>
              <w:rPr>
                <w:i/>
                <w:color w:val="FF0000"/>
              </w:rPr>
            </w:pPr>
            <w:r w:rsidRPr="008C10B5">
              <w:rPr>
                <w:i/>
                <w:color w:val="FF0000"/>
              </w:rPr>
              <w:t>Taip/Ne</w:t>
            </w:r>
          </w:p>
          <w:p w14:paraId="7AA5CE85" w14:textId="5C839105" w:rsidR="00883527" w:rsidRDefault="00883527" w:rsidP="00D04920">
            <w:pPr>
              <w:jc w:val="center"/>
              <w:rPr>
                <w:color w:val="FF0000"/>
                <w:lang w:eastAsia="en-US"/>
              </w:rPr>
            </w:pPr>
          </w:p>
        </w:tc>
      </w:tr>
      <w:tr w:rsidR="00883527" w14:paraId="403F47B8" w14:textId="77777777" w:rsidTr="002446FE">
        <w:trPr>
          <w:trHeight w:val="620"/>
        </w:trPr>
        <w:tc>
          <w:tcPr>
            <w:tcW w:w="4981" w:type="dxa"/>
          </w:tcPr>
          <w:p w14:paraId="11A1CFE7" w14:textId="39166C58" w:rsidR="00883527" w:rsidRDefault="004F20CB" w:rsidP="008459CD">
            <w:pPr>
              <w:pStyle w:val="ListParagraph"/>
              <w:tabs>
                <w:tab w:val="left" w:pos="851"/>
                <w:tab w:val="left" w:pos="1134"/>
              </w:tabs>
              <w:ind w:left="0"/>
              <w:jc w:val="both"/>
            </w:pPr>
            <w:r>
              <w:t xml:space="preserve"> </w:t>
            </w:r>
            <w:r w:rsidR="00FE1BF4">
              <w:t xml:space="preserve">11.6. </w:t>
            </w:r>
            <w:r w:rsidR="00FE1BF4" w:rsidRPr="00C962E6">
              <w:t>Tiekėjas turi pasirūpinti erdvių interjer</w:t>
            </w:r>
            <w:r w:rsidR="00FE1BF4">
              <w:t>u</w:t>
            </w:r>
            <w:r w:rsidR="00FE1BF4" w:rsidRPr="00C962E6">
              <w:t xml:space="preserve"> bei patalpų ventiliacija, kėdėmis, staliukais. Erdvės turi būti pritaikytos negalią turintiems asmenims</w:t>
            </w:r>
          </w:p>
        </w:tc>
        <w:tc>
          <w:tcPr>
            <w:tcW w:w="4981" w:type="dxa"/>
          </w:tcPr>
          <w:p w14:paraId="09245952" w14:textId="3C0C57B6" w:rsidR="00883527" w:rsidRPr="004F20CB" w:rsidRDefault="004F20CB" w:rsidP="004F20CB">
            <w:pPr>
              <w:jc w:val="center"/>
              <w:rPr>
                <w:i/>
                <w:color w:val="FF0000"/>
              </w:rPr>
            </w:pPr>
            <w:r w:rsidRPr="008C10B5">
              <w:rPr>
                <w:i/>
                <w:color w:val="FF0000"/>
              </w:rPr>
              <w:t>Taip/Ne</w:t>
            </w:r>
          </w:p>
          <w:p w14:paraId="07B184C6" w14:textId="6608403B" w:rsidR="00883527" w:rsidRDefault="00883527" w:rsidP="00D04920">
            <w:pPr>
              <w:jc w:val="center"/>
              <w:rPr>
                <w:color w:val="FF0000"/>
                <w:lang w:eastAsia="en-US"/>
              </w:rPr>
            </w:pPr>
          </w:p>
        </w:tc>
      </w:tr>
      <w:tr w:rsidR="00D33226" w14:paraId="1B189923" w14:textId="77777777" w:rsidTr="002446FE">
        <w:trPr>
          <w:trHeight w:val="620"/>
        </w:trPr>
        <w:tc>
          <w:tcPr>
            <w:tcW w:w="9962" w:type="dxa"/>
            <w:gridSpan w:val="2"/>
            <w:shd w:val="clear" w:color="auto" w:fill="E7E6E6" w:themeFill="background2"/>
          </w:tcPr>
          <w:p w14:paraId="0D233799" w14:textId="50848D40" w:rsidR="00D33226" w:rsidRPr="00AA59D1" w:rsidRDefault="00FE1BF4" w:rsidP="00AA59D1">
            <w:pPr>
              <w:pStyle w:val="ListParagraph"/>
              <w:ind w:left="0"/>
            </w:pPr>
            <w:r>
              <w:rPr>
                <w:b/>
                <w:bCs/>
              </w:rPr>
              <w:t>12. Renginio turinio reikalavimai:</w:t>
            </w:r>
          </w:p>
        </w:tc>
      </w:tr>
      <w:tr w:rsidR="00934E7C" w14:paraId="6F8C5524" w14:textId="77777777" w:rsidTr="002446FE">
        <w:trPr>
          <w:trHeight w:val="620"/>
        </w:trPr>
        <w:tc>
          <w:tcPr>
            <w:tcW w:w="4981" w:type="dxa"/>
          </w:tcPr>
          <w:p w14:paraId="0E9179F8" w14:textId="1FA122BF" w:rsidR="00934E7C" w:rsidRPr="00FE1BF4" w:rsidRDefault="00FE1BF4" w:rsidP="00AA59D1">
            <w:pPr>
              <w:pStyle w:val="ListParagraph"/>
              <w:tabs>
                <w:tab w:val="left" w:pos="851"/>
                <w:tab w:val="left" w:pos="1134"/>
              </w:tabs>
              <w:ind w:left="0"/>
              <w:jc w:val="both"/>
            </w:pPr>
            <w:r>
              <w:t xml:space="preserve">12.1. </w:t>
            </w:r>
            <w:r w:rsidRPr="00503DEC">
              <w:t>Renginys turi būti sudarytas iš bent dviejų struktūrinių dalių</w:t>
            </w:r>
            <w:r>
              <w:t>:</w:t>
            </w:r>
            <w:r>
              <w:tab/>
            </w:r>
          </w:p>
        </w:tc>
        <w:tc>
          <w:tcPr>
            <w:tcW w:w="4981" w:type="dxa"/>
          </w:tcPr>
          <w:p w14:paraId="4D3FCA00" w14:textId="77777777" w:rsidR="00D33226" w:rsidRPr="004F20CB" w:rsidRDefault="00D33226" w:rsidP="00D33226">
            <w:pPr>
              <w:jc w:val="center"/>
              <w:rPr>
                <w:i/>
                <w:color w:val="FF0000"/>
              </w:rPr>
            </w:pPr>
            <w:r w:rsidRPr="008C10B5">
              <w:rPr>
                <w:i/>
                <w:color w:val="FF0000"/>
              </w:rPr>
              <w:t>Taip/Ne</w:t>
            </w:r>
          </w:p>
          <w:p w14:paraId="196FC2AE" w14:textId="0109EC36" w:rsidR="00CD0A46" w:rsidRPr="004F20CB" w:rsidRDefault="00CD0A46" w:rsidP="004F20CB">
            <w:pPr>
              <w:jc w:val="center"/>
              <w:rPr>
                <w:i/>
                <w:color w:val="FF0000"/>
              </w:rPr>
            </w:pPr>
          </w:p>
        </w:tc>
      </w:tr>
      <w:tr w:rsidR="00934E7C" w14:paraId="2BE86657" w14:textId="77777777" w:rsidTr="002446FE">
        <w:trPr>
          <w:trHeight w:val="620"/>
        </w:trPr>
        <w:tc>
          <w:tcPr>
            <w:tcW w:w="4981" w:type="dxa"/>
          </w:tcPr>
          <w:p w14:paraId="27B3B6D5" w14:textId="52F3530B" w:rsidR="00934E7C" w:rsidRPr="00D33226" w:rsidRDefault="00FE1BF4" w:rsidP="008459CD">
            <w:pPr>
              <w:pStyle w:val="ListParagraph"/>
              <w:tabs>
                <w:tab w:val="left" w:pos="851"/>
                <w:tab w:val="left" w:pos="1134"/>
              </w:tabs>
              <w:ind w:left="0"/>
              <w:jc w:val="both"/>
            </w:pPr>
            <w:r>
              <w:t xml:space="preserve">12.1.1. </w:t>
            </w:r>
            <w:r w:rsidRPr="00C962E6">
              <w:t>galimybių studijos rezultatų ir aktualios tyrimo medžiagos pristatymo</w:t>
            </w:r>
            <w:r>
              <w:t>;</w:t>
            </w:r>
          </w:p>
        </w:tc>
        <w:tc>
          <w:tcPr>
            <w:tcW w:w="4981" w:type="dxa"/>
          </w:tcPr>
          <w:p w14:paraId="431C334A" w14:textId="2C79EBFD" w:rsidR="00D33226" w:rsidRPr="00AA59D1" w:rsidRDefault="00D33226" w:rsidP="004F20CB">
            <w:pPr>
              <w:jc w:val="center"/>
              <w:rPr>
                <w:i/>
                <w:color w:val="FF0000"/>
              </w:rPr>
            </w:pPr>
            <w:r w:rsidRPr="008C10B5">
              <w:rPr>
                <w:i/>
                <w:color w:val="FF0000"/>
              </w:rPr>
              <w:t>Taip/Ne</w:t>
            </w:r>
          </w:p>
        </w:tc>
      </w:tr>
      <w:tr w:rsidR="00FE1BF4" w14:paraId="309D0A3F" w14:textId="77777777" w:rsidTr="00C04FF2">
        <w:trPr>
          <w:trHeight w:val="620"/>
        </w:trPr>
        <w:tc>
          <w:tcPr>
            <w:tcW w:w="4981" w:type="dxa"/>
          </w:tcPr>
          <w:p w14:paraId="007ADD47" w14:textId="1F251FA1" w:rsidR="00FE1BF4" w:rsidRPr="00A51ED7" w:rsidRDefault="00FE1BF4" w:rsidP="00C04FF2">
            <w:pPr>
              <w:pStyle w:val="ListParagraph"/>
              <w:tabs>
                <w:tab w:val="left" w:pos="851"/>
                <w:tab w:val="left" w:pos="1134"/>
              </w:tabs>
              <w:ind w:left="0"/>
              <w:jc w:val="both"/>
            </w:pPr>
            <w:r>
              <w:t xml:space="preserve">12.1.2. </w:t>
            </w:r>
            <w:r w:rsidRPr="00C962E6">
              <w:t>tema besidominčių dalyvių diskusijos galimybių studijos tema</w:t>
            </w:r>
            <w:r>
              <w:t>.</w:t>
            </w:r>
          </w:p>
        </w:tc>
        <w:tc>
          <w:tcPr>
            <w:tcW w:w="4981" w:type="dxa"/>
          </w:tcPr>
          <w:p w14:paraId="0D7A8716" w14:textId="5C5F07A0" w:rsidR="00FE1BF4" w:rsidRPr="00AA59D1" w:rsidRDefault="00FE1BF4" w:rsidP="00C04FF2">
            <w:pPr>
              <w:jc w:val="center"/>
              <w:rPr>
                <w:i/>
                <w:color w:val="FF0000"/>
              </w:rPr>
            </w:pPr>
            <w:r w:rsidRPr="008C10B5">
              <w:rPr>
                <w:i/>
                <w:color w:val="FF0000"/>
              </w:rPr>
              <w:t>Taip/Ne</w:t>
            </w:r>
          </w:p>
        </w:tc>
      </w:tr>
      <w:tr w:rsidR="00FE1BF4" w14:paraId="6ECBFD60" w14:textId="77777777" w:rsidTr="00C04FF2">
        <w:trPr>
          <w:trHeight w:val="620"/>
        </w:trPr>
        <w:tc>
          <w:tcPr>
            <w:tcW w:w="4981" w:type="dxa"/>
          </w:tcPr>
          <w:p w14:paraId="139ECFA8" w14:textId="1DF12EC5" w:rsidR="00FE1BF4" w:rsidRPr="00A51ED7" w:rsidRDefault="00FE1BF4" w:rsidP="00C04FF2">
            <w:pPr>
              <w:pStyle w:val="ListParagraph"/>
              <w:tabs>
                <w:tab w:val="left" w:pos="851"/>
                <w:tab w:val="left" w:pos="1134"/>
              </w:tabs>
              <w:ind w:left="0"/>
              <w:jc w:val="both"/>
            </w:pPr>
            <w:r>
              <w:t xml:space="preserve">12.2. </w:t>
            </w:r>
            <w:r w:rsidRPr="00C962E6">
              <w:t>Paslaugos teikėjas su Perkanči</w:t>
            </w:r>
            <w:r>
              <w:t>ą</w:t>
            </w:r>
            <w:r w:rsidRPr="00C962E6">
              <w:t xml:space="preserve">ja organizacija privalo suderinti renginio (jo dalių) trukmę (renginio trukmė su pertraukomis – ne daugiau kaip </w:t>
            </w:r>
            <w:r w:rsidRPr="003C7C70">
              <w:t>3,5 val.; petraukėlių skaičius – 3),</w:t>
            </w:r>
            <w:r w:rsidRPr="00C962E6">
              <w:t xml:space="preserve"> diskusijos dalyvi</w:t>
            </w:r>
            <w:r>
              <w:t>ų skaičių</w:t>
            </w:r>
            <w:r w:rsidRPr="00C962E6">
              <w:t xml:space="preserve"> (minimalus vienos diskusijos dalyvių skaičius – 3</w:t>
            </w:r>
            <w:r>
              <w:t>) ir</w:t>
            </w:r>
            <w:r w:rsidRPr="00C962E6">
              <w:t xml:space="preserve"> </w:t>
            </w:r>
            <w:r>
              <w:t>atstovaujamus sektorius (</w:t>
            </w:r>
            <w:r w:rsidRPr="00C962E6">
              <w:t>dalyviai turi atstovauti vieš</w:t>
            </w:r>
            <w:r>
              <w:t>ajam</w:t>
            </w:r>
            <w:r w:rsidRPr="00C962E6">
              <w:t>, priva</w:t>
            </w:r>
            <w:r>
              <w:t>čiajam</w:t>
            </w:r>
            <w:r w:rsidRPr="00C962E6">
              <w:t xml:space="preserve"> ir akademi</w:t>
            </w:r>
            <w:r>
              <w:t>niam</w:t>
            </w:r>
            <w:r w:rsidRPr="00C962E6">
              <w:t xml:space="preserve"> sektori</w:t>
            </w:r>
            <w:r>
              <w:t>am</w:t>
            </w:r>
            <w:r w:rsidRPr="00C962E6">
              <w:t>s), diskusijos temas (klausimus)</w:t>
            </w:r>
            <w:r>
              <w:t>.</w:t>
            </w:r>
          </w:p>
        </w:tc>
        <w:tc>
          <w:tcPr>
            <w:tcW w:w="4981" w:type="dxa"/>
          </w:tcPr>
          <w:p w14:paraId="4E911F6C" w14:textId="77777777" w:rsidR="00FE1BF4" w:rsidRDefault="00FE1BF4" w:rsidP="00C04FF2">
            <w:pPr>
              <w:jc w:val="center"/>
              <w:rPr>
                <w:color w:val="FF0000"/>
                <w:lang w:eastAsia="en-US"/>
              </w:rPr>
            </w:pPr>
          </w:p>
          <w:p w14:paraId="5FA734F7" w14:textId="77777777" w:rsidR="00AA59D1" w:rsidRDefault="00AA59D1" w:rsidP="00C04FF2">
            <w:pPr>
              <w:jc w:val="center"/>
              <w:rPr>
                <w:i/>
                <w:color w:val="FF0000"/>
              </w:rPr>
            </w:pPr>
          </w:p>
          <w:p w14:paraId="2CA7C5B1" w14:textId="77777777" w:rsidR="00AA59D1" w:rsidRDefault="00AA59D1" w:rsidP="00C04FF2">
            <w:pPr>
              <w:jc w:val="center"/>
              <w:rPr>
                <w:i/>
                <w:color w:val="FF0000"/>
              </w:rPr>
            </w:pPr>
          </w:p>
          <w:p w14:paraId="306F3F56" w14:textId="77777777" w:rsidR="00FE1BF4" w:rsidRPr="004F20CB" w:rsidRDefault="00FE1BF4" w:rsidP="00C04FF2">
            <w:pPr>
              <w:jc w:val="center"/>
              <w:rPr>
                <w:i/>
                <w:color w:val="FF0000"/>
              </w:rPr>
            </w:pPr>
            <w:r w:rsidRPr="008C10B5">
              <w:rPr>
                <w:i/>
                <w:color w:val="FF0000"/>
              </w:rPr>
              <w:t>Taip/Ne</w:t>
            </w:r>
          </w:p>
          <w:p w14:paraId="36DD9C8F" w14:textId="77777777" w:rsidR="00FE1BF4" w:rsidRDefault="00FE1BF4" w:rsidP="00C04FF2">
            <w:pPr>
              <w:jc w:val="center"/>
              <w:rPr>
                <w:color w:val="FF0000"/>
                <w:lang w:eastAsia="en-US"/>
              </w:rPr>
            </w:pPr>
          </w:p>
        </w:tc>
      </w:tr>
      <w:tr w:rsidR="00FE1BF4" w14:paraId="5700A97A" w14:textId="77777777" w:rsidTr="00C04FF2">
        <w:trPr>
          <w:trHeight w:val="620"/>
        </w:trPr>
        <w:tc>
          <w:tcPr>
            <w:tcW w:w="4981" w:type="dxa"/>
          </w:tcPr>
          <w:p w14:paraId="6DC55083" w14:textId="344B0682" w:rsidR="00FE1BF4" w:rsidRPr="00A51ED7" w:rsidRDefault="00FE1BF4" w:rsidP="00C04FF2">
            <w:pPr>
              <w:pStyle w:val="ListParagraph"/>
              <w:tabs>
                <w:tab w:val="left" w:pos="851"/>
                <w:tab w:val="left" w:pos="1134"/>
              </w:tabs>
              <w:ind w:left="0"/>
              <w:jc w:val="both"/>
            </w:pPr>
            <w:r>
              <w:t xml:space="preserve">12.3. </w:t>
            </w:r>
            <w:r w:rsidRPr="00C962E6">
              <w:t>Paslaugos teikėjas turi užtikrinti sklandų viso renginio moderavimą, įskaitant diskusijos moderavimą.</w:t>
            </w:r>
          </w:p>
        </w:tc>
        <w:tc>
          <w:tcPr>
            <w:tcW w:w="4981" w:type="dxa"/>
          </w:tcPr>
          <w:p w14:paraId="45AEACFF" w14:textId="77777777" w:rsidR="00FE1BF4" w:rsidRDefault="00FE1BF4" w:rsidP="00C04FF2">
            <w:pPr>
              <w:jc w:val="center"/>
              <w:rPr>
                <w:color w:val="FF0000"/>
                <w:lang w:eastAsia="en-US"/>
              </w:rPr>
            </w:pPr>
          </w:p>
          <w:p w14:paraId="592F92C5" w14:textId="77777777" w:rsidR="00FE1BF4" w:rsidRPr="004F20CB" w:rsidRDefault="00FE1BF4" w:rsidP="00C04FF2">
            <w:pPr>
              <w:jc w:val="center"/>
              <w:rPr>
                <w:i/>
                <w:color w:val="FF0000"/>
              </w:rPr>
            </w:pPr>
            <w:r w:rsidRPr="008C10B5">
              <w:rPr>
                <w:i/>
                <w:color w:val="FF0000"/>
              </w:rPr>
              <w:t>Taip/Ne</w:t>
            </w:r>
          </w:p>
          <w:p w14:paraId="111E6B22" w14:textId="77777777" w:rsidR="00FE1BF4" w:rsidRDefault="00FE1BF4" w:rsidP="00C04FF2">
            <w:pPr>
              <w:jc w:val="center"/>
              <w:rPr>
                <w:color w:val="FF0000"/>
                <w:lang w:eastAsia="en-US"/>
              </w:rPr>
            </w:pPr>
          </w:p>
        </w:tc>
      </w:tr>
      <w:tr w:rsidR="00934E7C" w14:paraId="2B926B2C" w14:textId="77777777" w:rsidTr="002446FE">
        <w:trPr>
          <w:trHeight w:val="620"/>
        </w:trPr>
        <w:tc>
          <w:tcPr>
            <w:tcW w:w="4981" w:type="dxa"/>
          </w:tcPr>
          <w:p w14:paraId="0DAAE3E3" w14:textId="530C13E4" w:rsidR="00934E7C" w:rsidRPr="00A51ED7" w:rsidRDefault="00FE1BF4" w:rsidP="008459CD">
            <w:pPr>
              <w:pStyle w:val="ListParagraph"/>
              <w:tabs>
                <w:tab w:val="left" w:pos="851"/>
                <w:tab w:val="left" w:pos="1134"/>
              </w:tabs>
              <w:ind w:left="0"/>
              <w:jc w:val="both"/>
            </w:pPr>
            <w:r>
              <w:t xml:space="preserve">12.4. </w:t>
            </w:r>
            <w:r w:rsidRPr="00C962E6">
              <w:t>Renginio moderatoriaus pasirinkimas turi būti suderintas su Perkančiąja organizacija</w:t>
            </w:r>
            <w:r>
              <w:t>.</w:t>
            </w:r>
          </w:p>
        </w:tc>
        <w:tc>
          <w:tcPr>
            <w:tcW w:w="4981" w:type="dxa"/>
          </w:tcPr>
          <w:p w14:paraId="6FF52B7E" w14:textId="3B57E899" w:rsidR="00D33226" w:rsidRPr="00AA59D1" w:rsidRDefault="00D33226" w:rsidP="004F20CB">
            <w:pPr>
              <w:jc w:val="center"/>
              <w:rPr>
                <w:i/>
                <w:color w:val="FF0000"/>
              </w:rPr>
            </w:pPr>
            <w:r w:rsidRPr="008C10B5">
              <w:rPr>
                <w:i/>
                <w:color w:val="FF0000"/>
              </w:rPr>
              <w:t>Taip/Ne</w:t>
            </w:r>
          </w:p>
        </w:tc>
      </w:tr>
      <w:tr w:rsidR="00D33226" w14:paraId="061EE420" w14:textId="77777777" w:rsidTr="002446FE">
        <w:trPr>
          <w:trHeight w:val="620"/>
        </w:trPr>
        <w:tc>
          <w:tcPr>
            <w:tcW w:w="9962" w:type="dxa"/>
            <w:gridSpan w:val="2"/>
            <w:shd w:val="clear" w:color="auto" w:fill="E7E6E6" w:themeFill="background2"/>
          </w:tcPr>
          <w:p w14:paraId="4E2AC7B7" w14:textId="087AFA13" w:rsidR="00D33226" w:rsidRPr="00C962E6" w:rsidRDefault="00FE1BF4" w:rsidP="00AA59D1">
            <w:pPr>
              <w:pStyle w:val="ListParagraph"/>
              <w:ind w:left="0"/>
              <w:contextualSpacing w:val="0"/>
            </w:pPr>
            <w:r>
              <w:rPr>
                <w:b/>
              </w:rPr>
              <w:lastRenderedPageBreak/>
              <w:t xml:space="preserve">13. </w:t>
            </w:r>
            <w:r>
              <w:rPr>
                <w:b/>
              </w:rPr>
              <w:t>R</w:t>
            </w:r>
            <w:r w:rsidRPr="00C962E6">
              <w:rPr>
                <w:b/>
              </w:rPr>
              <w:t>enginio technini</w:t>
            </w:r>
            <w:r>
              <w:rPr>
                <w:b/>
              </w:rPr>
              <w:t>o</w:t>
            </w:r>
            <w:r w:rsidRPr="00C962E6">
              <w:rPr>
                <w:b/>
              </w:rPr>
              <w:t xml:space="preserve"> ap</w:t>
            </w:r>
            <w:r>
              <w:rPr>
                <w:b/>
              </w:rPr>
              <w:t>rūpinimo</w:t>
            </w:r>
            <w:r w:rsidRPr="00C962E6">
              <w:rPr>
                <w:b/>
              </w:rPr>
              <w:t xml:space="preserve"> ir tiesiogin</w:t>
            </w:r>
            <w:r>
              <w:rPr>
                <w:b/>
              </w:rPr>
              <w:t>ės</w:t>
            </w:r>
            <w:r w:rsidRPr="00C962E6">
              <w:rPr>
                <w:b/>
              </w:rPr>
              <w:t xml:space="preserve"> įrašo transliacij</w:t>
            </w:r>
            <w:r>
              <w:rPr>
                <w:b/>
              </w:rPr>
              <w:t>os</w:t>
            </w:r>
            <w:r w:rsidRPr="00C262DD">
              <w:rPr>
                <w:b/>
              </w:rPr>
              <w:t xml:space="preserve"> </w:t>
            </w:r>
            <w:r>
              <w:rPr>
                <w:b/>
              </w:rPr>
              <w:t>r</w:t>
            </w:r>
            <w:r w:rsidRPr="00C962E6">
              <w:rPr>
                <w:b/>
              </w:rPr>
              <w:t>eikalavimai</w:t>
            </w:r>
            <w:r>
              <w:rPr>
                <w:b/>
              </w:rPr>
              <w:t>:</w:t>
            </w:r>
          </w:p>
          <w:p w14:paraId="278A77B3" w14:textId="2ECECA11" w:rsidR="00D33226" w:rsidRPr="00CD0A46" w:rsidRDefault="00D33226" w:rsidP="00D33226">
            <w:pPr>
              <w:jc w:val="center"/>
              <w:rPr>
                <w:b/>
              </w:rPr>
            </w:pPr>
          </w:p>
        </w:tc>
      </w:tr>
      <w:tr w:rsidR="00934E7C" w14:paraId="35819D7A" w14:textId="77777777" w:rsidTr="002446FE">
        <w:trPr>
          <w:trHeight w:val="620"/>
        </w:trPr>
        <w:tc>
          <w:tcPr>
            <w:tcW w:w="4981" w:type="dxa"/>
          </w:tcPr>
          <w:p w14:paraId="0F35B611" w14:textId="77777777" w:rsidR="006E1F6F" w:rsidRPr="00C962E6" w:rsidRDefault="006E1F6F" w:rsidP="006E1F6F">
            <w:pPr>
              <w:jc w:val="both"/>
            </w:pPr>
            <w:r>
              <w:t xml:space="preserve">13.1. </w:t>
            </w:r>
            <w:r w:rsidRPr="00C962E6">
              <w:t xml:space="preserve">Paslaugos teikėjas turi užtikrinti kokybišką techninį renginio </w:t>
            </w:r>
            <w:r>
              <w:t>aprūpinimą</w:t>
            </w:r>
            <w:r w:rsidRPr="00C962E6">
              <w:t xml:space="preserve">: </w:t>
            </w:r>
          </w:p>
          <w:p w14:paraId="283F6080" w14:textId="14884D5F" w:rsidR="00934E7C" w:rsidRPr="00A51ED7" w:rsidRDefault="006E1F6F" w:rsidP="006E1F6F">
            <w:pPr>
              <w:pStyle w:val="ListParagraph"/>
              <w:tabs>
                <w:tab w:val="left" w:pos="851"/>
                <w:tab w:val="left" w:pos="1134"/>
              </w:tabs>
              <w:ind w:left="0"/>
              <w:jc w:val="both"/>
            </w:pPr>
            <w:r w:rsidRPr="00404264">
              <w:t>pasirūpinti pristatymui skirto ekrano bei kita garso ir vaizdo įranga, tiesioginei transliacijai vykdyti reikalinga įranga ir tam reikalinga apšvietimo įranga, esant poreikiui, įrangos transportavimu, sumontavimo ir išmontavimo darbais, mikrofonais diskusijos dalyviam</w:t>
            </w:r>
            <w:r>
              <w:t>s.</w:t>
            </w:r>
          </w:p>
        </w:tc>
        <w:tc>
          <w:tcPr>
            <w:tcW w:w="4981" w:type="dxa"/>
          </w:tcPr>
          <w:p w14:paraId="3E5F9FA9" w14:textId="3CAD1916" w:rsidR="00CD0A46" w:rsidRDefault="00CD0A46" w:rsidP="00CD0A46">
            <w:pPr>
              <w:jc w:val="center"/>
              <w:rPr>
                <w:i/>
                <w:color w:val="FF0000"/>
              </w:rPr>
            </w:pPr>
          </w:p>
          <w:p w14:paraId="77C17358" w14:textId="77777777" w:rsidR="00934E7C" w:rsidRDefault="00934E7C" w:rsidP="00CD0A46">
            <w:pPr>
              <w:suppressAutoHyphens/>
              <w:spacing w:line="276" w:lineRule="auto"/>
              <w:jc w:val="center"/>
              <w:rPr>
                <w:color w:val="FF0000"/>
                <w:lang w:eastAsia="en-US"/>
              </w:rPr>
            </w:pPr>
          </w:p>
          <w:p w14:paraId="5372F73F" w14:textId="77777777" w:rsidR="00D33226" w:rsidRDefault="00D33226" w:rsidP="00CD0A46">
            <w:pPr>
              <w:suppressAutoHyphens/>
              <w:spacing w:line="276" w:lineRule="auto"/>
              <w:jc w:val="center"/>
              <w:rPr>
                <w:color w:val="FF0000"/>
                <w:lang w:eastAsia="en-US"/>
              </w:rPr>
            </w:pPr>
          </w:p>
          <w:p w14:paraId="7C840486" w14:textId="77777777" w:rsidR="00D33226" w:rsidRPr="004F20CB" w:rsidRDefault="00D33226" w:rsidP="00D33226">
            <w:pPr>
              <w:jc w:val="center"/>
              <w:rPr>
                <w:i/>
                <w:color w:val="FF0000"/>
              </w:rPr>
            </w:pPr>
            <w:r w:rsidRPr="008C10B5">
              <w:rPr>
                <w:i/>
                <w:color w:val="FF0000"/>
              </w:rPr>
              <w:t>Taip/Ne</w:t>
            </w:r>
          </w:p>
          <w:p w14:paraId="2265C6A0" w14:textId="6CAEF8B1" w:rsidR="00D33226" w:rsidRDefault="00D33226" w:rsidP="00CD0A46">
            <w:pPr>
              <w:suppressAutoHyphens/>
              <w:spacing w:line="276" w:lineRule="auto"/>
              <w:jc w:val="center"/>
              <w:rPr>
                <w:color w:val="FF0000"/>
                <w:lang w:eastAsia="en-US"/>
              </w:rPr>
            </w:pPr>
          </w:p>
        </w:tc>
      </w:tr>
      <w:tr w:rsidR="00934E7C" w14:paraId="6DA76AAD" w14:textId="77777777" w:rsidTr="002446FE">
        <w:trPr>
          <w:trHeight w:val="620"/>
        </w:trPr>
        <w:tc>
          <w:tcPr>
            <w:tcW w:w="4981" w:type="dxa"/>
          </w:tcPr>
          <w:p w14:paraId="3A29A367" w14:textId="4BCC0FC1" w:rsidR="00934E7C" w:rsidRPr="00FA1734" w:rsidRDefault="006E1F6F" w:rsidP="008459CD">
            <w:pPr>
              <w:pStyle w:val="ListParagraph"/>
              <w:tabs>
                <w:tab w:val="left" w:pos="851"/>
                <w:tab w:val="left" w:pos="1134"/>
              </w:tabs>
              <w:ind w:left="0"/>
              <w:jc w:val="both"/>
            </w:pPr>
            <w:r>
              <w:t xml:space="preserve">13.2. </w:t>
            </w:r>
            <w:r w:rsidRPr="00C962E6">
              <w:t xml:space="preserve">Paslaugos teikėjas turi sukurti renginio anonsą ir jį paskelbti Perkančiosios organizacijos </w:t>
            </w:r>
            <w:r w:rsidRPr="00404264">
              <w:rPr>
                <w:i/>
              </w:rPr>
              <w:t>Youtube</w:t>
            </w:r>
            <w:r w:rsidRPr="00C962E6">
              <w:t xml:space="preserve"> ir kit</w:t>
            </w:r>
            <w:r>
              <w:t>uose</w:t>
            </w:r>
            <w:r w:rsidRPr="00C962E6">
              <w:t xml:space="preserve"> socialin</w:t>
            </w:r>
            <w:r>
              <w:t>ės</w:t>
            </w:r>
            <w:r w:rsidRPr="00C962E6">
              <w:t xml:space="preserve"> medij</w:t>
            </w:r>
            <w:r>
              <w:t>os</w:t>
            </w:r>
            <w:r w:rsidRPr="00C962E6">
              <w:t xml:space="preserve"> </w:t>
            </w:r>
            <w:r>
              <w:t>kanaluose</w:t>
            </w:r>
            <w:r>
              <w:t>.</w:t>
            </w:r>
          </w:p>
        </w:tc>
        <w:tc>
          <w:tcPr>
            <w:tcW w:w="4981" w:type="dxa"/>
          </w:tcPr>
          <w:p w14:paraId="2A1E8740" w14:textId="77777777" w:rsidR="00934E7C" w:rsidRDefault="00934E7C" w:rsidP="004F20CB">
            <w:pPr>
              <w:jc w:val="center"/>
              <w:rPr>
                <w:color w:val="FF0000"/>
                <w:lang w:eastAsia="en-US"/>
              </w:rPr>
            </w:pPr>
          </w:p>
          <w:p w14:paraId="70375A25" w14:textId="77777777" w:rsidR="00D33226" w:rsidRPr="004F20CB" w:rsidRDefault="00D33226" w:rsidP="00D33226">
            <w:pPr>
              <w:jc w:val="center"/>
              <w:rPr>
                <w:i/>
                <w:color w:val="FF0000"/>
              </w:rPr>
            </w:pPr>
            <w:r w:rsidRPr="008C10B5">
              <w:rPr>
                <w:i/>
                <w:color w:val="FF0000"/>
              </w:rPr>
              <w:t>Taip/Ne</w:t>
            </w:r>
          </w:p>
          <w:p w14:paraId="673EC20D" w14:textId="5F702E0C" w:rsidR="00D33226" w:rsidRDefault="00D33226" w:rsidP="004F20CB">
            <w:pPr>
              <w:jc w:val="center"/>
              <w:rPr>
                <w:color w:val="FF0000"/>
                <w:lang w:eastAsia="en-US"/>
              </w:rPr>
            </w:pPr>
          </w:p>
        </w:tc>
      </w:tr>
      <w:tr w:rsidR="00934E7C" w14:paraId="47F11E25" w14:textId="77777777" w:rsidTr="002446FE">
        <w:trPr>
          <w:trHeight w:val="620"/>
        </w:trPr>
        <w:tc>
          <w:tcPr>
            <w:tcW w:w="4981" w:type="dxa"/>
          </w:tcPr>
          <w:p w14:paraId="4AB455A6" w14:textId="0CC802C7" w:rsidR="00934E7C" w:rsidRPr="00A51ED7" w:rsidRDefault="006E1F6F" w:rsidP="008459CD">
            <w:pPr>
              <w:pStyle w:val="ListParagraph"/>
              <w:tabs>
                <w:tab w:val="left" w:pos="851"/>
                <w:tab w:val="left" w:pos="1134"/>
              </w:tabs>
              <w:ind w:left="0"/>
              <w:jc w:val="both"/>
            </w:pPr>
            <w:r>
              <w:t xml:space="preserve">13.3. </w:t>
            </w:r>
            <w:r w:rsidRPr="00404264">
              <w:rPr>
                <w:i/>
              </w:rPr>
              <w:t>Youtube</w:t>
            </w:r>
            <w:r w:rsidRPr="00404264">
              <w:t xml:space="preserve"> kanale turėtų būti aktyvuotas „Pranešti man“ (angl. </w:t>
            </w:r>
            <w:r w:rsidRPr="00404264">
              <w:rPr>
                <w:i/>
              </w:rPr>
              <w:t>Notify me</w:t>
            </w:r>
            <w:r w:rsidRPr="00404264">
              <w:t>) funkcionalumas,  kad dalyviai būtų informuoti apie renginio pradžią</w:t>
            </w:r>
            <w:r>
              <w:t>.</w:t>
            </w:r>
          </w:p>
        </w:tc>
        <w:tc>
          <w:tcPr>
            <w:tcW w:w="4981" w:type="dxa"/>
          </w:tcPr>
          <w:p w14:paraId="28C317AE" w14:textId="77777777" w:rsidR="00FA1734" w:rsidRDefault="00FA1734" w:rsidP="00CD0A46">
            <w:pPr>
              <w:jc w:val="center"/>
              <w:rPr>
                <w:i/>
                <w:color w:val="FF0000"/>
              </w:rPr>
            </w:pPr>
          </w:p>
          <w:p w14:paraId="40939E8C" w14:textId="77777777" w:rsidR="00D33226" w:rsidRDefault="00D33226" w:rsidP="00D33226">
            <w:pPr>
              <w:jc w:val="center"/>
              <w:rPr>
                <w:color w:val="FF0000"/>
                <w:lang w:eastAsia="en-US"/>
              </w:rPr>
            </w:pPr>
          </w:p>
          <w:p w14:paraId="7A362B1C" w14:textId="77777777" w:rsidR="00D33226" w:rsidRPr="004F20CB" w:rsidRDefault="00D33226" w:rsidP="00D33226">
            <w:pPr>
              <w:jc w:val="center"/>
              <w:rPr>
                <w:i/>
                <w:color w:val="FF0000"/>
              </w:rPr>
            </w:pPr>
            <w:r w:rsidRPr="008C10B5">
              <w:rPr>
                <w:i/>
                <w:color w:val="FF0000"/>
              </w:rPr>
              <w:t>Taip/Ne</w:t>
            </w:r>
          </w:p>
          <w:p w14:paraId="0346A33D" w14:textId="57A8386F" w:rsidR="00934E7C" w:rsidRDefault="00934E7C" w:rsidP="00CD0A46">
            <w:pPr>
              <w:suppressAutoHyphens/>
              <w:spacing w:line="276" w:lineRule="auto"/>
              <w:jc w:val="center"/>
              <w:rPr>
                <w:color w:val="FF0000"/>
                <w:lang w:eastAsia="en-US"/>
              </w:rPr>
            </w:pPr>
          </w:p>
        </w:tc>
      </w:tr>
      <w:tr w:rsidR="00934E7C" w14:paraId="73D22F0D" w14:textId="77777777" w:rsidTr="002446FE">
        <w:trPr>
          <w:trHeight w:val="620"/>
        </w:trPr>
        <w:tc>
          <w:tcPr>
            <w:tcW w:w="4981" w:type="dxa"/>
          </w:tcPr>
          <w:p w14:paraId="081E5A1F" w14:textId="4742F7C0" w:rsidR="00934E7C" w:rsidRPr="00A51ED7" w:rsidRDefault="006E1F6F" w:rsidP="008459CD">
            <w:pPr>
              <w:pStyle w:val="ListParagraph"/>
              <w:tabs>
                <w:tab w:val="left" w:pos="851"/>
                <w:tab w:val="left" w:pos="1134"/>
              </w:tabs>
              <w:ind w:left="0"/>
              <w:jc w:val="both"/>
            </w:pPr>
            <w:r>
              <w:t xml:space="preserve">13.4. </w:t>
            </w:r>
            <w:r w:rsidRPr="00C962E6">
              <w:t>Paslaugos teikėjas turi pagal Perkančiosios organizacijos pateiktą informaciją sumaketuoti anonso užsklandą</w:t>
            </w:r>
            <w:r>
              <w:t>.</w:t>
            </w:r>
          </w:p>
        </w:tc>
        <w:tc>
          <w:tcPr>
            <w:tcW w:w="4981" w:type="dxa"/>
          </w:tcPr>
          <w:p w14:paraId="5CB0CD87" w14:textId="77777777" w:rsidR="00D33226" w:rsidRDefault="00D33226" w:rsidP="00D33226">
            <w:pPr>
              <w:jc w:val="center"/>
              <w:rPr>
                <w:i/>
                <w:color w:val="FF0000"/>
              </w:rPr>
            </w:pPr>
          </w:p>
          <w:p w14:paraId="34938C24" w14:textId="19E507C4" w:rsidR="00FA1734" w:rsidRDefault="00D33226" w:rsidP="00AA59D1">
            <w:pPr>
              <w:jc w:val="center"/>
              <w:rPr>
                <w:i/>
                <w:color w:val="FF0000"/>
              </w:rPr>
            </w:pPr>
            <w:r w:rsidRPr="008C10B5">
              <w:rPr>
                <w:i/>
                <w:color w:val="FF0000"/>
              </w:rPr>
              <w:t>Taip/Ne</w:t>
            </w:r>
          </w:p>
          <w:p w14:paraId="0F74183A" w14:textId="6B89D330" w:rsidR="00934E7C" w:rsidRDefault="00934E7C" w:rsidP="002446FE">
            <w:pPr>
              <w:suppressAutoHyphens/>
              <w:spacing w:line="276" w:lineRule="auto"/>
              <w:jc w:val="center"/>
              <w:rPr>
                <w:color w:val="FF0000"/>
                <w:lang w:eastAsia="en-US"/>
              </w:rPr>
            </w:pPr>
          </w:p>
        </w:tc>
      </w:tr>
      <w:tr w:rsidR="00934E7C" w14:paraId="059D6C4B" w14:textId="77777777" w:rsidTr="002446FE">
        <w:trPr>
          <w:trHeight w:val="620"/>
        </w:trPr>
        <w:tc>
          <w:tcPr>
            <w:tcW w:w="4981" w:type="dxa"/>
          </w:tcPr>
          <w:p w14:paraId="6163F896" w14:textId="59D6F9BF" w:rsidR="00934E7C" w:rsidRPr="00A51ED7" w:rsidRDefault="006E1F6F" w:rsidP="008459CD">
            <w:pPr>
              <w:pStyle w:val="ListParagraph"/>
              <w:tabs>
                <w:tab w:val="left" w:pos="851"/>
                <w:tab w:val="left" w:pos="1134"/>
              </w:tabs>
              <w:ind w:left="0"/>
              <w:jc w:val="both"/>
            </w:pPr>
            <w:r>
              <w:t xml:space="preserve">13.5. </w:t>
            </w:r>
            <w:r w:rsidRPr="00C962E6">
              <w:t>Paslaugos teikėjas turi tiesiogi</w:t>
            </w:r>
            <w:r>
              <w:t>ai</w:t>
            </w:r>
            <w:r w:rsidRPr="00C962E6">
              <w:t xml:space="preserve"> transli</w:t>
            </w:r>
            <w:r>
              <w:t>uoti</w:t>
            </w:r>
            <w:r w:rsidRPr="00C962E6">
              <w:t xml:space="preserve"> rengin</w:t>
            </w:r>
            <w:r>
              <w:t>į</w:t>
            </w:r>
            <w:r w:rsidRPr="00C962E6">
              <w:t xml:space="preserve"> Perkančiosios organizacijos </w:t>
            </w:r>
            <w:r w:rsidRPr="00404264">
              <w:rPr>
                <w:i/>
              </w:rPr>
              <w:t>Youtube</w:t>
            </w:r>
            <w:r w:rsidRPr="00C962E6">
              <w:t xml:space="preserve"> kanale, užtikrin</w:t>
            </w:r>
            <w:r>
              <w:t>damas</w:t>
            </w:r>
            <w:r w:rsidRPr="00C962E6">
              <w:t xml:space="preserve"> rengin</w:t>
            </w:r>
            <w:r>
              <w:t>io</w:t>
            </w:r>
            <w:r w:rsidRPr="00C962E6">
              <w:t xml:space="preserve"> auditorijos įsitraukimo galimybę</w:t>
            </w:r>
            <w:r>
              <w:t>.</w:t>
            </w:r>
          </w:p>
        </w:tc>
        <w:tc>
          <w:tcPr>
            <w:tcW w:w="4981" w:type="dxa"/>
          </w:tcPr>
          <w:p w14:paraId="02679870" w14:textId="77777777" w:rsidR="00AA59D1" w:rsidRDefault="00AA59D1" w:rsidP="00D33226">
            <w:pPr>
              <w:jc w:val="center"/>
              <w:rPr>
                <w:i/>
                <w:color w:val="FF0000"/>
              </w:rPr>
            </w:pPr>
          </w:p>
          <w:p w14:paraId="5233251B" w14:textId="77777777" w:rsidR="00D33226" w:rsidRPr="004F20CB" w:rsidRDefault="00D33226" w:rsidP="00D33226">
            <w:pPr>
              <w:jc w:val="center"/>
              <w:rPr>
                <w:i/>
                <w:color w:val="FF0000"/>
              </w:rPr>
            </w:pPr>
            <w:r w:rsidRPr="008C10B5">
              <w:rPr>
                <w:i/>
                <w:color w:val="FF0000"/>
              </w:rPr>
              <w:t>Taip/Ne</w:t>
            </w:r>
          </w:p>
          <w:p w14:paraId="53447DDD" w14:textId="232D5FA4" w:rsidR="00CD0A46" w:rsidRDefault="00CD0A46" w:rsidP="004F20CB">
            <w:pPr>
              <w:suppressAutoHyphens/>
              <w:spacing w:line="276" w:lineRule="auto"/>
              <w:jc w:val="center"/>
              <w:rPr>
                <w:color w:val="FF0000"/>
                <w:lang w:eastAsia="en-US"/>
              </w:rPr>
            </w:pPr>
          </w:p>
        </w:tc>
      </w:tr>
      <w:tr w:rsidR="00CD0A46" w14:paraId="4B8A00E5" w14:textId="77777777" w:rsidTr="002446FE">
        <w:trPr>
          <w:trHeight w:val="620"/>
        </w:trPr>
        <w:tc>
          <w:tcPr>
            <w:tcW w:w="4981" w:type="dxa"/>
          </w:tcPr>
          <w:p w14:paraId="375587E5" w14:textId="2648FF63" w:rsidR="00CD0A46" w:rsidRDefault="006E1F6F" w:rsidP="008459CD">
            <w:pPr>
              <w:pStyle w:val="ListParagraph"/>
              <w:tabs>
                <w:tab w:val="left" w:pos="851"/>
                <w:tab w:val="left" w:pos="1134"/>
              </w:tabs>
              <w:ind w:left="0"/>
              <w:jc w:val="both"/>
            </w:pPr>
            <w:r>
              <w:t xml:space="preserve">13.6. </w:t>
            </w:r>
            <w:r w:rsidRPr="00C962E6">
              <w:t xml:space="preserve">Paslaugos teikėjas turi sukurti vieną 30 sek. trukmės įvykusio renginio </w:t>
            </w:r>
            <w:r>
              <w:t>vaizdo</w:t>
            </w:r>
            <w:r w:rsidRPr="00C962E6">
              <w:t xml:space="preserve"> klipą pagal su </w:t>
            </w:r>
            <w:r w:rsidRPr="003C7C70">
              <w:t>Perkančiąją organizacija atrinktas</w:t>
            </w:r>
            <w:r w:rsidRPr="00C962E6">
              <w:t xml:space="preserve"> svarbiausias, labiausiai įsimintinas renginio akimirkas</w:t>
            </w:r>
            <w:r>
              <w:t>.</w:t>
            </w:r>
          </w:p>
        </w:tc>
        <w:tc>
          <w:tcPr>
            <w:tcW w:w="4981" w:type="dxa"/>
          </w:tcPr>
          <w:p w14:paraId="5B4FB6EF" w14:textId="77777777" w:rsidR="00AA59D1" w:rsidRDefault="00AA59D1" w:rsidP="00D33226">
            <w:pPr>
              <w:jc w:val="center"/>
              <w:rPr>
                <w:i/>
                <w:color w:val="FF0000"/>
              </w:rPr>
            </w:pPr>
          </w:p>
          <w:p w14:paraId="6D3F4836" w14:textId="77777777" w:rsidR="00D33226" w:rsidRPr="004F20CB" w:rsidRDefault="00D33226" w:rsidP="00D33226">
            <w:pPr>
              <w:jc w:val="center"/>
              <w:rPr>
                <w:i/>
                <w:color w:val="FF0000"/>
              </w:rPr>
            </w:pPr>
            <w:r w:rsidRPr="008C10B5">
              <w:rPr>
                <w:i/>
                <w:color w:val="FF0000"/>
              </w:rPr>
              <w:t>Taip/Ne</w:t>
            </w:r>
          </w:p>
          <w:p w14:paraId="674B3701" w14:textId="2177C29D" w:rsidR="00CD0A46" w:rsidRPr="008C10B5" w:rsidRDefault="00CD0A46" w:rsidP="002446FE">
            <w:pPr>
              <w:suppressAutoHyphens/>
              <w:spacing w:line="276" w:lineRule="auto"/>
              <w:jc w:val="center"/>
              <w:rPr>
                <w:i/>
                <w:color w:val="FF0000"/>
              </w:rPr>
            </w:pPr>
          </w:p>
        </w:tc>
      </w:tr>
      <w:tr w:rsidR="00CD0A46" w14:paraId="5AB155D1" w14:textId="77777777" w:rsidTr="002446FE">
        <w:trPr>
          <w:trHeight w:val="620"/>
        </w:trPr>
        <w:tc>
          <w:tcPr>
            <w:tcW w:w="4981" w:type="dxa"/>
          </w:tcPr>
          <w:p w14:paraId="4E3CF34F" w14:textId="7BD36812" w:rsidR="00CD0A46" w:rsidRDefault="006E1F6F" w:rsidP="00AA59D1">
            <w:pPr>
              <w:pStyle w:val="ListParagraph"/>
              <w:tabs>
                <w:tab w:val="left" w:pos="851"/>
                <w:tab w:val="left" w:pos="1134"/>
              </w:tabs>
              <w:ind w:left="0"/>
              <w:jc w:val="both"/>
            </w:pPr>
            <w:r>
              <w:t xml:space="preserve">13.7. </w:t>
            </w:r>
            <w:r w:rsidRPr="00C962E6">
              <w:t xml:space="preserve">Paslaugos teikėjas turi pateikti grafinio dizaino sprendimus (užsklandos, pranešėjų </w:t>
            </w:r>
            <w:r>
              <w:t>pristatymo</w:t>
            </w:r>
            <w:r w:rsidRPr="00C962E6">
              <w:t xml:space="preserve"> (angl. </w:t>
            </w:r>
            <w:r w:rsidRPr="00404264">
              <w:rPr>
                <w:i/>
              </w:rPr>
              <w:t>lower third</w:t>
            </w:r>
            <w:r w:rsidRPr="00C962E6">
              <w:t>), Perkančiosios organizacijos nurodyti renginio organizatorių logotipai ir kiti reikalingi viešinimo ženklai)</w:t>
            </w:r>
            <w:r>
              <w:t>.</w:t>
            </w:r>
          </w:p>
        </w:tc>
        <w:tc>
          <w:tcPr>
            <w:tcW w:w="4981" w:type="dxa"/>
          </w:tcPr>
          <w:p w14:paraId="1C29DC26" w14:textId="77777777" w:rsidR="00AA59D1" w:rsidRDefault="00AA59D1" w:rsidP="00427030">
            <w:pPr>
              <w:jc w:val="center"/>
              <w:rPr>
                <w:i/>
                <w:color w:val="FF0000"/>
              </w:rPr>
            </w:pPr>
          </w:p>
          <w:p w14:paraId="51633BD6" w14:textId="77777777" w:rsidR="00427030" w:rsidRPr="004F20CB" w:rsidRDefault="00427030" w:rsidP="00427030">
            <w:pPr>
              <w:jc w:val="center"/>
              <w:rPr>
                <w:i/>
                <w:color w:val="FF0000"/>
              </w:rPr>
            </w:pPr>
            <w:r w:rsidRPr="008C10B5">
              <w:rPr>
                <w:i/>
                <w:color w:val="FF0000"/>
              </w:rPr>
              <w:t>Taip/Ne</w:t>
            </w:r>
          </w:p>
          <w:p w14:paraId="134F0CF9" w14:textId="0A71C35A" w:rsidR="00CD0A46" w:rsidRPr="008C10B5" w:rsidRDefault="00CD0A46" w:rsidP="002446FE">
            <w:pPr>
              <w:suppressAutoHyphens/>
              <w:spacing w:line="276" w:lineRule="auto"/>
              <w:jc w:val="center"/>
              <w:rPr>
                <w:i/>
                <w:color w:val="FF0000"/>
              </w:rPr>
            </w:pPr>
          </w:p>
        </w:tc>
      </w:tr>
      <w:tr w:rsidR="00CD0A46" w14:paraId="091A9324" w14:textId="77777777" w:rsidTr="002446FE">
        <w:trPr>
          <w:trHeight w:val="620"/>
        </w:trPr>
        <w:tc>
          <w:tcPr>
            <w:tcW w:w="4981" w:type="dxa"/>
          </w:tcPr>
          <w:p w14:paraId="447BCD9D" w14:textId="784C71AC" w:rsidR="00CD0A46" w:rsidRPr="006E1F6F" w:rsidRDefault="006E1F6F" w:rsidP="00AA59D1">
            <w:pPr>
              <w:pStyle w:val="ListParagraph"/>
              <w:tabs>
                <w:tab w:val="left" w:pos="851"/>
                <w:tab w:val="left" w:pos="1134"/>
              </w:tabs>
              <w:ind w:left="0"/>
              <w:jc w:val="both"/>
            </w:pPr>
            <w:r>
              <w:t xml:space="preserve">13.8. </w:t>
            </w:r>
            <w:r w:rsidRPr="00C962E6">
              <w:t xml:space="preserve">Paslaugos teikėjas turi užtikrinti įrašo pritaikymą </w:t>
            </w:r>
            <w:r>
              <w:t>kelti</w:t>
            </w:r>
            <w:r w:rsidRPr="00C962E6">
              <w:t xml:space="preserve"> į soc</w:t>
            </w:r>
            <w:r>
              <w:t>ialinius</w:t>
            </w:r>
            <w:r w:rsidRPr="00C962E6">
              <w:t xml:space="preserve"> tinklus</w:t>
            </w:r>
            <w:r>
              <w:t>.</w:t>
            </w:r>
          </w:p>
        </w:tc>
        <w:tc>
          <w:tcPr>
            <w:tcW w:w="4981" w:type="dxa"/>
          </w:tcPr>
          <w:p w14:paraId="4545A8AB" w14:textId="77777777" w:rsidR="00427030" w:rsidRPr="004F20CB" w:rsidRDefault="00427030" w:rsidP="00427030">
            <w:pPr>
              <w:jc w:val="center"/>
              <w:rPr>
                <w:i/>
                <w:color w:val="FF0000"/>
              </w:rPr>
            </w:pPr>
            <w:r w:rsidRPr="008C10B5">
              <w:rPr>
                <w:i/>
                <w:color w:val="FF0000"/>
              </w:rPr>
              <w:t>Taip/Ne</w:t>
            </w:r>
          </w:p>
          <w:p w14:paraId="0FDF6B0D" w14:textId="495FFDA8" w:rsidR="00427030" w:rsidRPr="008C10B5" w:rsidRDefault="00427030" w:rsidP="002446FE">
            <w:pPr>
              <w:suppressAutoHyphens/>
              <w:spacing w:line="276" w:lineRule="auto"/>
              <w:jc w:val="center"/>
              <w:rPr>
                <w:i/>
                <w:color w:val="FF0000"/>
              </w:rPr>
            </w:pPr>
          </w:p>
        </w:tc>
      </w:tr>
      <w:tr w:rsidR="00934E7C" w14:paraId="6E19C8FC" w14:textId="77777777" w:rsidTr="002446FE">
        <w:trPr>
          <w:trHeight w:val="620"/>
        </w:trPr>
        <w:tc>
          <w:tcPr>
            <w:tcW w:w="4981" w:type="dxa"/>
          </w:tcPr>
          <w:p w14:paraId="5EEBCF70" w14:textId="22B96E01" w:rsidR="00934E7C" w:rsidRPr="00A51ED7" w:rsidRDefault="00427030" w:rsidP="008459CD">
            <w:pPr>
              <w:pStyle w:val="ListParagraph"/>
              <w:tabs>
                <w:tab w:val="left" w:pos="851"/>
                <w:tab w:val="left" w:pos="1134"/>
              </w:tabs>
              <w:ind w:left="0"/>
              <w:jc w:val="both"/>
            </w:pPr>
            <w:r>
              <w:t xml:space="preserve"> </w:t>
            </w:r>
            <w:r w:rsidR="006E1F6F">
              <w:t xml:space="preserve">13.9. </w:t>
            </w:r>
            <w:r w:rsidR="006E1F6F" w:rsidRPr="00C962E6">
              <w:t>Paslaugos teikėjas turi užtikrinti tinkamą techninę pagalbą renginio metu</w:t>
            </w:r>
            <w:r w:rsidR="006E1F6F">
              <w:t>.</w:t>
            </w:r>
          </w:p>
        </w:tc>
        <w:tc>
          <w:tcPr>
            <w:tcW w:w="4981" w:type="dxa"/>
          </w:tcPr>
          <w:p w14:paraId="1781EACF" w14:textId="27B1CC7F" w:rsidR="00427030" w:rsidRPr="00AA59D1" w:rsidRDefault="00427030" w:rsidP="00AA59D1">
            <w:pPr>
              <w:jc w:val="center"/>
              <w:rPr>
                <w:i/>
                <w:color w:val="FF0000"/>
              </w:rPr>
            </w:pPr>
            <w:r w:rsidRPr="008C10B5">
              <w:rPr>
                <w:i/>
                <w:color w:val="FF0000"/>
              </w:rPr>
              <w:t>Taip/Ne</w:t>
            </w:r>
          </w:p>
        </w:tc>
      </w:tr>
      <w:tr w:rsidR="00FA1734" w14:paraId="0BB56A69" w14:textId="77777777" w:rsidTr="002446FE">
        <w:trPr>
          <w:trHeight w:val="620"/>
        </w:trPr>
        <w:tc>
          <w:tcPr>
            <w:tcW w:w="9962" w:type="dxa"/>
            <w:gridSpan w:val="2"/>
            <w:shd w:val="clear" w:color="auto" w:fill="E7E6E6" w:themeFill="background2"/>
          </w:tcPr>
          <w:p w14:paraId="0FDB7D87" w14:textId="612D1CCA" w:rsidR="00427030" w:rsidRPr="00C962E6" w:rsidRDefault="006E1F6F" w:rsidP="00AA59D1">
            <w:pPr>
              <w:pStyle w:val="ListParagraph"/>
              <w:ind w:left="0"/>
              <w:contextualSpacing w:val="0"/>
              <w:jc w:val="both"/>
              <w:rPr>
                <w:b/>
              </w:rPr>
            </w:pPr>
            <w:r>
              <w:rPr>
                <w:b/>
              </w:rPr>
              <w:t xml:space="preserve">14. </w:t>
            </w:r>
            <w:r>
              <w:rPr>
                <w:b/>
              </w:rPr>
              <w:t>R</w:t>
            </w:r>
            <w:r w:rsidRPr="00C962E6">
              <w:rPr>
                <w:b/>
              </w:rPr>
              <w:t>enginio organizavim</w:t>
            </w:r>
            <w:r>
              <w:rPr>
                <w:b/>
              </w:rPr>
              <w:t>o</w:t>
            </w:r>
            <w:r w:rsidRPr="00397636">
              <w:rPr>
                <w:b/>
              </w:rPr>
              <w:t xml:space="preserve"> </w:t>
            </w:r>
            <w:r>
              <w:rPr>
                <w:b/>
              </w:rPr>
              <w:t>r</w:t>
            </w:r>
            <w:r w:rsidRPr="00C962E6">
              <w:rPr>
                <w:b/>
              </w:rPr>
              <w:t>eikalavimai</w:t>
            </w:r>
            <w:r>
              <w:rPr>
                <w:b/>
              </w:rPr>
              <w:t>:</w:t>
            </w:r>
          </w:p>
          <w:p w14:paraId="044FFD4F" w14:textId="0B8AC591" w:rsidR="00FA1734" w:rsidRPr="00CD0A46" w:rsidRDefault="00FA1734" w:rsidP="002446FE">
            <w:pPr>
              <w:pStyle w:val="ListParagraph"/>
              <w:suppressAutoHyphens/>
              <w:spacing w:before="120" w:line="276" w:lineRule="auto"/>
              <w:ind w:left="0"/>
              <w:jc w:val="both"/>
              <w:rPr>
                <w:b/>
                <w:lang w:eastAsia="en-US"/>
              </w:rPr>
            </w:pPr>
          </w:p>
        </w:tc>
      </w:tr>
      <w:tr w:rsidR="00934E7C" w14:paraId="79305300" w14:textId="77777777" w:rsidTr="002446FE">
        <w:trPr>
          <w:trHeight w:val="620"/>
        </w:trPr>
        <w:tc>
          <w:tcPr>
            <w:tcW w:w="4981" w:type="dxa"/>
          </w:tcPr>
          <w:p w14:paraId="1D05DD06" w14:textId="02E6C33A" w:rsidR="00934E7C" w:rsidRPr="006E1F6F" w:rsidRDefault="006E1F6F" w:rsidP="00AA59D1">
            <w:pPr>
              <w:pStyle w:val="ListParagraph"/>
              <w:tabs>
                <w:tab w:val="left" w:pos="851"/>
                <w:tab w:val="left" w:pos="1134"/>
              </w:tabs>
              <w:ind w:left="0"/>
              <w:jc w:val="both"/>
            </w:pPr>
            <w:r>
              <w:t xml:space="preserve">14.1. </w:t>
            </w:r>
            <w:r w:rsidRPr="00C962E6">
              <w:t>Paslaugos teikėjas turi su Perkanči</w:t>
            </w:r>
            <w:r>
              <w:t>ą</w:t>
            </w:r>
            <w:r w:rsidRPr="00C962E6">
              <w:t>ja organizacija suderinti ir sumaketuoti renginio kvietimą, pasirūpinti renginio anonsavimu su Perkanči</w:t>
            </w:r>
            <w:r>
              <w:t>ą</w:t>
            </w:r>
            <w:r w:rsidRPr="00C962E6">
              <w:t xml:space="preserve">ja organizacija suderintu būdu (ne trumpiau nei </w:t>
            </w:r>
            <w:r>
              <w:t>likus</w:t>
            </w:r>
            <w:r w:rsidRPr="00C962E6">
              <w:t xml:space="preserve"> 1 mėn. </w:t>
            </w:r>
            <w:r>
              <w:t>iki</w:t>
            </w:r>
            <w:r w:rsidRPr="00C962E6">
              <w:t xml:space="preserve"> rengin</w:t>
            </w:r>
            <w:r>
              <w:t>io</w:t>
            </w:r>
            <w:r w:rsidRPr="00C962E6">
              <w:t>)</w:t>
            </w:r>
            <w:r>
              <w:t>.</w:t>
            </w:r>
          </w:p>
        </w:tc>
        <w:tc>
          <w:tcPr>
            <w:tcW w:w="4981" w:type="dxa"/>
          </w:tcPr>
          <w:p w14:paraId="69DC48A8" w14:textId="77777777" w:rsidR="00AA59D1" w:rsidRDefault="00AA59D1" w:rsidP="002446FE">
            <w:pPr>
              <w:suppressAutoHyphens/>
              <w:spacing w:line="276" w:lineRule="auto"/>
              <w:jc w:val="center"/>
              <w:rPr>
                <w:i/>
                <w:color w:val="FF0000"/>
              </w:rPr>
            </w:pPr>
          </w:p>
          <w:p w14:paraId="0376A1F8" w14:textId="2327C9CB" w:rsidR="00934E7C" w:rsidRDefault="00427030" w:rsidP="002446FE">
            <w:pPr>
              <w:suppressAutoHyphens/>
              <w:spacing w:line="276" w:lineRule="auto"/>
              <w:jc w:val="center"/>
              <w:rPr>
                <w:color w:val="FF0000"/>
                <w:lang w:eastAsia="en-US"/>
              </w:rPr>
            </w:pPr>
            <w:r w:rsidRPr="008C10B5">
              <w:rPr>
                <w:i/>
                <w:color w:val="FF0000"/>
              </w:rPr>
              <w:t>Taip/Ne</w:t>
            </w:r>
          </w:p>
        </w:tc>
      </w:tr>
      <w:tr w:rsidR="00934E7C" w14:paraId="25D2F0D3" w14:textId="77777777" w:rsidTr="002446FE">
        <w:trPr>
          <w:trHeight w:val="620"/>
        </w:trPr>
        <w:tc>
          <w:tcPr>
            <w:tcW w:w="4981" w:type="dxa"/>
          </w:tcPr>
          <w:p w14:paraId="2C1E4BD8" w14:textId="06A9AC8E" w:rsidR="00934E7C" w:rsidRPr="00A51ED7" w:rsidRDefault="00427030" w:rsidP="008459CD">
            <w:pPr>
              <w:pStyle w:val="ListParagraph"/>
              <w:tabs>
                <w:tab w:val="left" w:pos="851"/>
                <w:tab w:val="left" w:pos="1134"/>
              </w:tabs>
              <w:ind w:left="0"/>
              <w:jc w:val="both"/>
            </w:pPr>
            <w:r>
              <w:lastRenderedPageBreak/>
              <w:t xml:space="preserve"> </w:t>
            </w:r>
            <w:r w:rsidR="006E1F6F">
              <w:t xml:space="preserve">14.2. </w:t>
            </w:r>
            <w:r w:rsidR="006E1F6F" w:rsidRPr="00C962E6">
              <w:t>Paslaugos teikėjas turi užtikrinti renginio ir diskusijos dalyvių registraciją</w:t>
            </w:r>
            <w:r w:rsidR="006E1F6F">
              <w:t>.</w:t>
            </w:r>
          </w:p>
        </w:tc>
        <w:tc>
          <w:tcPr>
            <w:tcW w:w="4981" w:type="dxa"/>
          </w:tcPr>
          <w:p w14:paraId="21506F84" w14:textId="174C23AB" w:rsidR="00934E7C" w:rsidRPr="00AA59D1" w:rsidRDefault="00427030" w:rsidP="002446FE">
            <w:pPr>
              <w:suppressAutoHyphens/>
              <w:spacing w:line="276" w:lineRule="auto"/>
              <w:jc w:val="center"/>
              <w:rPr>
                <w:i/>
                <w:color w:val="FF0000"/>
              </w:rPr>
            </w:pPr>
            <w:r w:rsidRPr="008C10B5">
              <w:rPr>
                <w:i/>
                <w:color w:val="FF0000"/>
              </w:rPr>
              <w:t>Taip/Ne</w:t>
            </w:r>
          </w:p>
        </w:tc>
      </w:tr>
      <w:tr w:rsidR="006E1F6F" w14:paraId="42931692" w14:textId="77777777" w:rsidTr="00C04FF2">
        <w:trPr>
          <w:trHeight w:val="620"/>
        </w:trPr>
        <w:tc>
          <w:tcPr>
            <w:tcW w:w="9962" w:type="dxa"/>
            <w:gridSpan w:val="2"/>
            <w:shd w:val="clear" w:color="auto" w:fill="E7E6E6" w:themeFill="background2"/>
          </w:tcPr>
          <w:p w14:paraId="4AF5D8C4" w14:textId="32DD6CFE" w:rsidR="006E1F6F" w:rsidRPr="00C962E6" w:rsidRDefault="006E1F6F" w:rsidP="00AA59D1">
            <w:pPr>
              <w:pStyle w:val="ListParagraph"/>
              <w:ind w:left="0"/>
              <w:contextualSpacing w:val="0"/>
              <w:jc w:val="both"/>
              <w:rPr>
                <w:b/>
              </w:rPr>
            </w:pPr>
            <w:r>
              <w:rPr>
                <w:b/>
              </w:rPr>
              <w:t xml:space="preserve">15. </w:t>
            </w:r>
            <w:r>
              <w:rPr>
                <w:b/>
              </w:rPr>
              <w:t>R</w:t>
            </w:r>
            <w:r w:rsidRPr="00C962E6">
              <w:rPr>
                <w:b/>
              </w:rPr>
              <w:t>enginio maitinim</w:t>
            </w:r>
            <w:r>
              <w:rPr>
                <w:b/>
              </w:rPr>
              <w:t>o</w:t>
            </w:r>
            <w:r w:rsidRPr="00397636">
              <w:rPr>
                <w:b/>
              </w:rPr>
              <w:t xml:space="preserve"> </w:t>
            </w:r>
            <w:r>
              <w:rPr>
                <w:b/>
              </w:rPr>
              <w:t>r</w:t>
            </w:r>
            <w:r w:rsidRPr="00C962E6">
              <w:rPr>
                <w:b/>
              </w:rPr>
              <w:t>eikalavimai</w:t>
            </w:r>
            <w:r>
              <w:rPr>
                <w:b/>
              </w:rPr>
              <w:t>:</w:t>
            </w:r>
          </w:p>
          <w:p w14:paraId="5489B935" w14:textId="77777777" w:rsidR="006E1F6F" w:rsidRPr="00CD0A46" w:rsidRDefault="006E1F6F" w:rsidP="00C04FF2">
            <w:pPr>
              <w:pStyle w:val="ListParagraph"/>
              <w:suppressAutoHyphens/>
              <w:spacing w:before="120" w:line="276" w:lineRule="auto"/>
              <w:ind w:left="0"/>
              <w:jc w:val="both"/>
              <w:rPr>
                <w:b/>
                <w:lang w:eastAsia="en-US"/>
              </w:rPr>
            </w:pPr>
          </w:p>
        </w:tc>
      </w:tr>
      <w:tr w:rsidR="00934E7C" w14:paraId="7B0F00D1" w14:textId="77777777" w:rsidTr="002446FE">
        <w:trPr>
          <w:trHeight w:val="620"/>
        </w:trPr>
        <w:tc>
          <w:tcPr>
            <w:tcW w:w="4981" w:type="dxa"/>
          </w:tcPr>
          <w:p w14:paraId="286D8846" w14:textId="2B6057AF" w:rsidR="00934E7C" w:rsidRPr="00A51ED7" w:rsidRDefault="006E1F6F" w:rsidP="008459CD">
            <w:pPr>
              <w:pStyle w:val="ListParagraph"/>
              <w:tabs>
                <w:tab w:val="left" w:pos="851"/>
                <w:tab w:val="left" w:pos="1134"/>
              </w:tabs>
              <w:ind w:left="0"/>
              <w:jc w:val="both"/>
            </w:pPr>
            <w:r>
              <w:t xml:space="preserve">15.1. </w:t>
            </w:r>
            <w:r w:rsidRPr="003C7C70">
              <w:t>Paslaugos teikėjas turi užtikrinti, kad renginio dalyviams būt</w:t>
            </w:r>
            <w:r>
              <w:t>ų</w:t>
            </w:r>
            <w:r w:rsidRPr="003C7C70">
              <w:t xml:space="preserve"> suorganizuotos kavos pertraukos su užkandžiais</w:t>
            </w:r>
            <w:r>
              <w:t>.</w:t>
            </w:r>
          </w:p>
        </w:tc>
        <w:tc>
          <w:tcPr>
            <w:tcW w:w="4981" w:type="dxa"/>
          </w:tcPr>
          <w:p w14:paraId="04D9AD66" w14:textId="77777777" w:rsidR="00427030" w:rsidRDefault="00427030" w:rsidP="00427030">
            <w:pPr>
              <w:suppressAutoHyphens/>
              <w:spacing w:line="276" w:lineRule="auto"/>
              <w:jc w:val="center"/>
              <w:rPr>
                <w:i/>
                <w:color w:val="FF0000"/>
              </w:rPr>
            </w:pPr>
          </w:p>
          <w:p w14:paraId="2DDDC845" w14:textId="77777777" w:rsidR="00427030" w:rsidRDefault="00427030" w:rsidP="00427030">
            <w:pPr>
              <w:suppressAutoHyphens/>
              <w:spacing w:line="276" w:lineRule="auto"/>
              <w:jc w:val="center"/>
              <w:rPr>
                <w:i/>
                <w:color w:val="FF0000"/>
              </w:rPr>
            </w:pPr>
            <w:r w:rsidRPr="008C10B5">
              <w:rPr>
                <w:i/>
                <w:color w:val="FF0000"/>
              </w:rPr>
              <w:t>Taip/Ne</w:t>
            </w:r>
          </w:p>
          <w:p w14:paraId="0D11B30F" w14:textId="67A6D11F" w:rsidR="00934E7C" w:rsidRDefault="00934E7C" w:rsidP="002446FE">
            <w:pPr>
              <w:suppressAutoHyphens/>
              <w:spacing w:line="276" w:lineRule="auto"/>
              <w:jc w:val="center"/>
              <w:rPr>
                <w:color w:val="FF0000"/>
                <w:lang w:eastAsia="en-US"/>
              </w:rPr>
            </w:pPr>
          </w:p>
        </w:tc>
      </w:tr>
      <w:tr w:rsidR="00221857" w14:paraId="7A617D7B" w14:textId="77777777" w:rsidTr="002446FE">
        <w:trPr>
          <w:trHeight w:val="620"/>
        </w:trPr>
        <w:tc>
          <w:tcPr>
            <w:tcW w:w="4981" w:type="dxa"/>
          </w:tcPr>
          <w:p w14:paraId="3B8AFC4C" w14:textId="709F4880" w:rsidR="00221857" w:rsidRDefault="006E1F6F" w:rsidP="008459CD">
            <w:pPr>
              <w:pStyle w:val="ListParagraph"/>
              <w:tabs>
                <w:tab w:val="left" w:pos="851"/>
                <w:tab w:val="left" w:pos="1134"/>
              </w:tabs>
              <w:ind w:left="0"/>
              <w:jc w:val="both"/>
            </w:pPr>
            <w:r>
              <w:t xml:space="preserve">15.2. </w:t>
            </w:r>
            <w:r w:rsidRPr="003C7C70">
              <w:t>Kiekvienos kavos</w:t>
            </w:r>
            <w:r w:rsidRPr="00C962E6">
              <w:t xml:space="preserve"> pertraukos metu renginio dalyviams turi būti patiekta: kava, arbata, pienas (gyvulinės ir augalinės kilmės) ir / ar grietinėlė, vanduo (negazuotas), cukrus, 3 rūšių desertai</w:t>
            </w:r>
            <w:r>
              <w:t xml:space="preserve"> </w:t>
            </w:r>
            <w:r w:rsidRPr="00C962E6">
              <w:t xml:space="preserve">ir ne mažiau kaip 3 skirtingų rūšių vieno kąsnio </w:t>
            </w:r>
            <w:r w:rsidRPr="00B56946">
              <w:t>užkandžių (ne</w:t>
            </w:r>
            <w:r w:rsidRPr="00C962E6">
              <w:t xml:space="preserve"> mažiau kaip 4 vnt. vienam renginio dalyviui). Viso renginio metu dalyviams turi būti prieinamas vanduo (negazuotas)</w:t>
            </w:r>
            <w:r>
              <w:t>.</w:t>
            </w:r>
          </w:p>
        </w:tc>
        <w:tc>
          <w:tcPr>
            <w:tcW w:w="4981" w:type="dxa"/>
          </w:tcPr>
          <w:p w14:paraId="3D0C56A2" w14:textId="77777777" w:rsidR="008C10B5" w:rsidRDefault="008C10B5" w:rsidP="002446FE">
            <w:pPr>
              <w:suppressAutoHyphens/>
              <w:spacing w:line="276" w:lineRule="auto"/>
              <w:jc w:val="center"/>
              <w:rPr>
                <w:color w:val="FF0000"/>
                <w:lang w:eastAsia="en-US"/>
              </w:rPr>
            </w:pPr>
          </w:p>
          <w:p w14:paraId="6EB664BD" w14:textId="77777777" w:rsidR="00AA59D1" w:rsidRDefault="00AA59D1" w:rsidP="00427030">
            <w:pPr>
              <w:suppressAutoHyphens/>
              <w:spacing w:line="276" w:lineRule="auto"/>
              <w:jc w:val="center"/>
              <w:rPr>
                <w:i/>
                <w:color w:val="FF0000"/>
              </w:rPr>
            </w:pPr>
          </w:p>
          <w:p w14:paraId="1D644824" w14:textId="77777777" w:rsidR="00427030" w:rsidRDefault="00427030" w:rsidP="00427030">
            <w:pPr>
              <w:suppressAutoHyphens/>
              <w:spacing w:line="276" w:lineRule="auto"/>
              <w:jc w:val="center"/>
              <w:rPr>
                <w:i/>
                <w:color w:val="FF0000"/>
              </w:rPr>
            </w:pPr>
            <w:r w:rsidRPr="008C10B5">
              <w:rPr>
                <w:i/>
                <w:color w:val="FF0000"/>
              </w:rPr>
              <w:t>Taip/Ne</w:t>
            </w:r>
          </w:p>
          <w:p w14:paraId="693D93F1" w14:textId="05B1807C" w:rsidR="00427030" w:rsidRDefault="00427030" w:rsidP="002446FE">
            <w:pPr>
              <w:suppressAutoHyphens/>
              <w:spacing w:line="276" w:lineRule="auto"/>
              <w:jc w:val="center"/>
              <w:rPr>
                <w:color w:val="FF0000"/>
                <w:lang w:eastAsia="en-US"/>
              </w:rPr>
            </w:pPr>
          </w:p>
        </w:tc>
      </w:tr>
      <w:tr w:rsidR="00C32B56" w14:paraId="2332BB24" w14:textId="77777777" w:rsidTr="002446FE">
        <w:trPr>
          <w:trHeight w:val="620"/>
        </w:trPr>
        <w:tc>
          <w:tcPr>
            <w:tcW w:w="4981" w:type="dxa"/>
          </w:tcPr>
          <w:p w14:paraId="77E34FAD" w14:textId="05AB326E" w:rsidR="00C32B56" w:rsidRDefault="006E1F6F" w:rsidP="008459CD">
            <w:pPr>
              <w:pStyle w:val="ListParagraph"/>
              <w:tabs>
                <w:tab w:val="left" w:pos="851"/>
                <w:tab w:val="left" w:pos="1134"/>
              </w:tabs>
              <w:ind w:left="0"/>
              <w:jc w:val="both"/>
            </w:pPr>
            <w:r>
              <w:t xml:space="preserve">15.3. </w:t>
            </w:r>
            <w:r w:rsidRPr="00C962E6">
              <w:t>Maistas ir gėrimai turi būti pateikiami naudojant daugkartinio naudojimo stalo įrankius, indus, staltieses ir kitus reikmenis</w:t>
            </w:r>
            <w:r>
              <w:t>.</w:t>
            </w:r>
          </w:p>
        </w:tc>
        <w:tc>
          <w:tcPr>
            <w:tcW w:w="4981" w:type="dxa"/>
          </w:tcPr>
          <w:p w14:paraId="6643A271" w14:textId="77777777" w:rsidR="00AA59D1" w:rsidRDefault="00AA59D1" w:rsidP="00427030">
            <w:pPr>
              <w:suppressAutoHyphens/>
              <w:spacing w:line="276" w:lineRule="auto"/>
              <w:jc w:val="center"/>
              <w:rPr>
                <w:i/>
                <w:color w:val="FF0000"/>
              </w:rPr>
            </w:pPr>
          </w:p>
          <w:p w14:paraId="2FC84F17" w14:textId="77777777" w:rsidR="00427030" w:rsidRDefault="00427030" w:rsidP="00427030">
            <w:pPr>
              <w:suppressAutoHyphens/>
              <w:spacing w:line="276" w:lineRule="auto"/>
              <w:jc w:val="center"/>
              <w:rPr>
                <w:i/>
                <w:color w:val="FF0000"/>
              </w:rPr>
            </w:pPr>
            <w:r w:rsidRPr="008C10B5">
              <w:rPr>
                <w:i/>
                <w:color w:val="FF0000"/>
              </w:rPr>
              <w:t>Taip/Ne</w:t>
            </w:r>
          </w:p>
          <w:p w14:paraId="6674A033" w14:textId="059ACFF2" w:rsidR="00C32B56" w:rsidRDefault="00C32B56" w:rsidP="002446FE">
            <w:pPr>
              <w:suppressAutoHyphens/>
              <w:spacing w:line="276" w:lineRule="auto"/>
              <w:jc w:val="center"/>
              <w:rPr>
                <w:color w:val="FF0000"/>
                <w:lang w:eastAsia="en-US"/>
              </w:rPr>
            </w:pPr>
          </w:p>
        </w:tc>
      </w:tr>
      <w:tr w:rsidR="00C32B56" w14:paraId="25FDCC0C" w14:textId="77777777" w:rsidTr="002446FE">
        <w:trPr>
          <w:trHeight w:val="620"/>
        </w:trPr>
        <w:tc>
          <w:tcPr>
            <w:tcW w:w="4981" w:type="dxa"/>
          </w:tcPr>
          <w:p w14:paraId="08DDD699" w14:textId="7F2FB7EB" w:rsidR="00C32B56" w:rsidRDefault="006E1F6F" w:rsidP="008459CD">
            <w:pPr>
              <w:pStyle w:val="ListParagraph"/>
              <w:tabs>
                <w:tab w:val="left" w:pos="851"/>
                <w:tab w:val="left" w:pos="1134"/>
              </w:tabs>
              <w:ind w:left="0"/>
              <w:jc w:val="both"/>
            </w:pPr>
            <w:r>
              <w:t xml:space="preserve">15.4. </w:t>
            </w:r>
            <w:r w:rsidRPr="00C962E6">
              <w:t>Maitinimo paslaugų teikimo vietoje susidarančios atliekos turi būti tinkamai sutvarkytos</w:t>
            </w:r>
            <w:r>
              <w:t>,</w:t>
            </w:r>
            <w:r w:rsidRPr="00C962E6">
              <w:t xml:space="preserve"> t. y. perduodamos atliekas tvarkančioms ir </w:t>
            </w:r>
            <w:r>
              <w:t xml:space="preserve">/ </w:t>
            </w:r>
            <w:r w:rsidRPr="00C962E6">
              <w:t>ar kompostuojančioms</w:t>
            </w:r>
            <w:r>
              <w:t>,</w:t>
            </w:r>
            <w:r w:rsidRPr="00C962E6">
              <w:t xml:space="preserve"> ir </w:t>
            </w:r>
            <w:r>
              <w:t xml:space="preserve">/ </w:t>
            </w:r>
            <w:r w:rsidRPr="00C962E6">
              <w:t>ar kitaip naudojančioms įmonėms</w:t>
            </w:r>
            <w:r>
              <w:t>.</w:t>
            </w:r>
          </w:p>
        </w:tc>
        <w:tc>
          <w:tcPr>
            <w:tcW w:w="4981" w:type="dxa"/>
          </w:tcPr>
          <w:p w14:paraId="5F1B02F4" w14:textId="77777777" w:rsidR="00AD217E" w:rsidRDefault="00AD217E" w:rsidP="002446FE">
            <w:pPr>
              <w:suppressAutoHyphens/>
              <w:spacing w:line="276" w:lineRule="auto"/>
              <w:jc w:val="center"/>
              <w:rPr>
                <w:i/>
                <w:color w:val="FF0000"/>
              </w:rPr>
            </w:pPr>
          </w:p>
          <w:p w14:paraId="0C27460A" w14:textId="77777777" w:rsidR="00C7399C" w:rsidRDefault="00C7399C" w:rsidP="00C7399C">
            <w:pPr>
              <w:suppressAutoHyphens/>
              <w:spacing w:line="276" w:lineRule="auto"/>
              <w:jc w:val="center"/>
              <w:rPr>
                <w:i/>
                <w:color w:val="FF0000"/>
              </w:rPr>
            </w:pPr>
            <w:r w:rsidRPr="008C10B5">
              <w:rPr>
                <w:i/>
                <w:color w:val="FF0000"/>
              </w:rPr>
              <w:t>Taip/Ne</w:t>
            </w:r>
          </w:p>
          <w:p w14:paraId="417E5132" w14:textId="1F28218D" w:rsidR="00C32B56" w:rsidRDefault="00C32B56" w:rsidP="002446FE">
            <w:pPr>
              <w:suppressAutoHyphens/>
              <w:spacing w:line="276" w:lineRule="auto"/>
              <w:jc w:val="center"/>
              <w:rPr>
                <w:color w:val="FF0000"/>
                <w:lang w:eastAsia="en-US"/>
              </w:rPr>
            </w:pPr>
          </w:p>
        </w:tc>
      </w:tr>
      <w:tr w:rsidR="000F263A" w14:paraId="273084A9" w14:textId="77777777" w:rsidTr="002446FE">
        <w:trPr>
          <w:trHeight w:val="620"/>
        </w:trPr>
        <w:tc>
          <w:tcPr>
            <w:tcW w:w="9962" w:type="dxa"/>
            <w:gridSpan w:val="2"/>
            <w:shd w:val="clear" w:color="auto" w:fill="E7E6E6" w:themeFill="background2"/>
          </w:tcPr>
          <w:p w14:paraId="6754DE38" w14:textId="77777777" w:rsidR="000F263A" w:rsidRPr="00C962E6" w:rsidRDefault="000F263A" w:rsidP="00AA59D1">
            <w:pPr>
              <w:jc w:val="both"/>
            </w:pPr>
          </w:p>
          <w:p w14:paraId="069898F4" w14:textId="604B9A97" w:rsidR="000F263A" w:rsidRPr="00CD0A46" w:rsidRDefault="006E1F6F" w:rsidP="00AA59D1">
            <w:pPr>
              <w:pStyle w:val="ListParagraph"/>
              <w:ind w:left="0"/>
              <w:contextualSpacing w:val="0"/>
              <w:jc w:val="both"/>
              <w:rPr>
                <w:b/>
              </w:rPr>
            </w:pPr>
            <w:r>
              <w:rPr>
                <w:b/>
              </w:rPr>
              <w:t xml:space="preserve">16. </w:t>
            </w:r>
            <w:r>
              <w:rPr>
                <w:b/>
              </w:rPr>
              <w:t>R</w:t>
            </w:r>
            <w:r w:rsidRPr="00C962E6">
              <w:rPr>
                <w:b/>
              </w:rPr>
              <w:t xml:space="preserve">enginio </w:t>
            </w:r>
            <w:r>
              <w:rPr>
                <w:b/>
              </w:rPr>
              <w:t>nuotraukų</w:t>
            </w:r>
            <w:r w:rsidRPr="00355C3B">
              <w:rPr>
                <w:b/>
              </w:rPr>
              <w:t xml:space="preserve"> </w:t>
            </w:r>
            <w:r>
              <w:rPr>
                <w:b/>
              </w:rPr>
              <w:t>r</w:t>
            </w:r>
            <w:r w:rsidRPr="00C962E6">
              <w:rPr>
                <w:b/>
              </w:rPr>
              <w:t>eikalavimai</w:t>
            </w:r>
            <w:r>
              <w:rPr>
                <w:b/>
              </w:rPr>
              <w:t>:</w:t>
            </w:r>
          </w:p>
        </w:tc>
      </w:tr>
      <w:tr w:rsidR="00C32B56" w14:paraId="76D5CFCF" w14:textId="77777777" w:rsidTr="002446FE">
        <w:trPr>
          <w:trHeight w:val="620"/>
        </w:trPr>
        <w:tc>
          <w:tcPr>
            <w:tcW w:w="4981" w:type="dxa"/>
          </w:tcPr>
          <w:p w14:paraId="649EF4D2" w14:textId="43534C04" w:rsidR="00C32B56" w:rsidRDefault="000F263A" w:rsidP="008459CD">
            <w:pPr>
              <w:pStyle w:val="ListParagraph"/>
              <w:tabs>
                <w:tab w:val="left" w:pos="851"/>
                <w:tab w:val="left" w:pos="1134"/>
              </w:tabs>
              <w:ind w:left="0"/>
              <w:jc w:val="both"/>
            </w:pPr>
            <w:r>
              <w:t xml:space="preserve"> </w:t>
            </w:r>
            <w:r w:rsidR="006E1F6F">
              <w:t>R</w:t>
            </w:r>
            <w:r w:rsidR="006E1F6F" w:rsidRPr="00C962E6">
              <w:t>enginiui pasibaigus</w:t>
            </w:r>
            <w:r w:rsidR="006E1F6F">
              <w:t>,</w:t>
            </w:r>
            <w:r w:rsidR="006E1F6F" w:rsidRPr="00C962E6">
              <w:t xml:space="preserve"> per 2 d. d. Perkančiajai organizacijai </w:t>
            </w:r>
            <w:r w:rsidR="006E1F6F" w:rsidRPr="00355C3B">
              <w:t xml:space="preserve">turi būti </w:t>
            </w:r>
            <w:r w:rsidR="006E1F6F">
              <w:t xml:space="preserve">pateikta </w:t>
            </w:r>
            <w:r w:rsidR="006E1F6F" w:rsidRPr="00C962E6">
              <w:t>bent 10 profesionalių nuotraukų iš renginio el. formatu</w:t>
            </w:r>
            <w:r w:rsidR="006E1F6F">
              <w:t>.</w:t>
            </w:r>
          </w:p>
        </w:tc>
        <w:tc>
          <w:tcPr>
            <w:tcW w:w="4981" w:type="dxa"/>
          </w:tcPr>
          <w:p w14:paraId="05E3F1FF" w14:textId="77777777" w:rsidR="00BA3117" w:rsidRDefault="00BA3117" w:rsidP="002446FE">
            <w:pPr>
              <w:suppressAutoHyphens/>
              <w:spacing w:line="276" w:lineRule="auto"/>
              <w:jc w:val="center"/>
              <w:rPr>
                <w:color w:val="FF0000"/>
                <w:lang w:eastAsia="en-US"/>
              </w:rPr>
            </w:pPr>
          </w:p>
          <w:p w14:paraId="3FDE1D73" w14:textId="77777777" w:rsidR="000F263A" w:rsidRPr="00C7399C" w:rsidRDefault="000F263A" w:rsidP="000F263A">
            <w:pPr>
              <w:suppressAutoHyphens/>
              <w:spacing w:line="276" w:lineRule="auto"/>
              <w:jc w:val="center"/>
              <w:rPr>
                <w:i/>
                <w:color w:val="FF0000"/>
              </w:rPr>
            </w:pPr>
            <w:r w:rsidRPr="008C10B5">
              <w:rPr>
                <w:i/>
                <w:color w:val="FF0000"/>
              </w:rPr>
              <w:t>Taip/Ne</w:t>
            </w:r>
          </w:p>
          <w:p w14:paraId="41230078" w14:textId="3049EC59" w:rsidR="00BA3117" w:rsidRDefault="00BA3117" w:rsidP="002446FE">
            <w:pPr>
              <w:suppressAutoHyphens/>
              <w:spacing w:line="276" w:lineRule="auto"/>
              <w:jc w:val="center"/>
              <w:rPr>
                <w:color w:val="FF0000"/>
                <w:lang w:eastAsia="en-US"/>
              </w:rPr>
            </w:pPr>
          </w:p>
        </w:tc>
      </w:tr>
      <w:tr w:rsidR="000F263A" w14:paraId="7034D5D0" w14:textId="77777777" w:rsidTr="002446FE">
        <w:trPr>
          <w:trHeight w:val="620"/>
        </w:trPr>
        <w:tc>
          <w:tcPr>
            <w:tcW w:w="9962" w:type="dxa"/>
            <w:gridSpan w:val="2"/>
            <w:shd w:val="clear" w:color="auto" w:fill="E7E6E6" w:themeFill="background2"/>
          </w:tcPr>
          <w:p w14:paraId="6BF8CCCC" w14:textId="77777777" w:rsidR="006E1F6F" w:rsidRPr="00C962E6" w:rsidRDefault="006E1F6F" w:rsidP="006E1F6F">
            <w:pPr>
              <w:pStyle w:val="ListParagraph"/>
              <w:spacing w:line="276" w:lineRule="auto"/>
              <w:ind w:left="0"/>
              <w:jc w:val="center"/>
              <w:rPr>
                <w:b/>
                <w:bCs/>
              </w:rPr>
            </w:pPr>
            <w:r w:rsidRPr="00C962E6">
              <w:rPr>
                <w:b/>
                <w:bCs/>
              </w:rPr>
              <w:t>V SKYRIUS</w:t>
            </w:r>
          </w:p>
          <w:p w14:paraId="67F9AB7D" w14:textId="15F279D6" w:rsidR="000F263A" w:rsidRPr="006E1F6F" w:rsidRDefault="006E1F6F" w:rsidP="006E1F6F">
            <w:pPr>
              <w:pStyle w:val="ListParagraph"/>
              <w:spacing w:line="276" w:lineRule="auto"/>
              <w:ind w:left="0"/>
              <w:jc w:val="center"/>
              <w:rPr>
                <w:b/>
                <w:bCs/>
              </w:rPr>
            </w:pPr>
            <w:r w:rsidRPr="00C962E6">
              <w:rPr>
                <w:b/>
                <w:bCs/>
              </w:rPr>
              <w:t>KOKYBĖS REIKALAVIMAI</w:t>
            </w:r>
          </w:p>
        </w:tc>
      </w:tr>
      <w:tr w:rsidR="00BA3117" w14:paraId="495E2899" w14:textId="77777777" w:rsidTr="002446FE">
        <w:trPr>
          <w:trHeight w:val="620"/>
        </w:trPr>
        <w:tc>
          <w:tcPr>
            <w:tcW w:w="4981" w:type="dxa"/>
          </w:tcPr>
          <w:p w14:paraId="38A9367A" w14:textId="019D30EE" w:rsidR="00BA3117" w:rsidRDefault="000F263A" w:rsidP="008459CD">
            <w:pPr>
              <w:pStyle w:val="ListParagraph"/>
              <w:tabs>
                <w:tab w:val="left" w:pos="1701"/>
              </w:tabs>
              <w:ind w:left="0"/>
              <w:jc w:val="both"/>
            </w:pPr>
            <w:r>
              <w:t xml:space="preserve"> </w:t>
            </w:r>
            <w:r w:rsidR="006E1F6F">
              <w:rPr>
                <w:bCs/>
              </w:rPr>
              <w:t xml:space="preserve">17. </w:t>
            </w:r>
            <w:r w:rsidR="006E1F6F" w:rsidRPr="00C962E6">
              <w:rPr>
                <w:bCs/>
              </w:rPr>
              <w:t xml:space="preserve">Galimybių studija turi būti parengta </w:t>
            </w:r>
            <w:r w:rsidR="006E1F6F" w:rsidRPr="003C7C70">
              <w:rPr>
                <w:bCs/>
              </w:rPr>
              <w:t>taisyklinga</w:t>
            </w:r>
            <w:r w:rsidR="006E1F6F">
              <w:rPr>
                <w:bCs/>
              </w:rPr>
              <w:t xml:space="preserve"> </w:t>
            </w:r>
            <w:r w:rsidR="006E1F6F" w:rsidRPr="00C962E6">
              <w:rPr>
                <w:bCs/>
              </w:rPr>
              <w:t xml:space="preserve">lietuvių kalba, laikantis akademinės </w:t>
            </w:r>
            <w:r w:rsidR="006E1F6F">
              <w:rPr>
                <w:bCs/>
              </w:rPr>
              <w:t>r</w:t>
            </w:r>
            <w:r w:rsidR="006E1F6F" w:rsidRPr="00C962E6">
              <w:rPr>
                <w:bCs/>
              </w:rPr>
              <w:t>ašymo kultūros principų</w:t>
            </w:r>
            <w:r w:rsidR="006E1F6F">
              <w:rPr>
                <w:bCs/>
              </w:rPr>
              <w:t>.</w:t>
            </w:r>
          </w:p>
        </w:tc>
        <w:tc>
          <w:tcPr>
            <w:tcW w:w="4981" w:type="dxa"/>
          </w:tcPr>
          <w:p w14:paraId="1AF17273" w14:textId="77777777" w:rsidR="000F263A" w:rsidRDefault="000F263A" w:rsidP="000F263A">
            <w:pPr>
              <w:suppressAutoHyphens/>
              <w:spacing w:line="276" w:lineRule="auto"/>
              <w:jc w:val="center"/>
              <w:rPr>
                <w:i/>
                <w:color w:val="FF0000"/>
              </w:rPr>
            </w:pPr>
          </w:p>
          <w:p w14:paraId="4CEF7F3F" w14:textId="77777777" w:rsidR="000F263A" w:rsidRPr="00C7399C" w:rsidRDefault="000F263A" w:rsidP="000F263A">
            <w:pPr>
              <w:suppressAutoHyphens/>
              <w:spacing w:line="276" w:lineRule="auto"/>
              <w:jc w:val="center"/>
              <w:rPr>
                <w:i/>
                <w:color w:val="FF0000"/>
              </w:rPr>
            </w:pPr>
            <w:r w:rsidRPr="008C10B5">
              <w:rPr>
                <w:i/>
                <w:color w:val="FF0000"/>
              </w:rPr>
              <w:t>Taip/Ne</w:t>
            </w:r>
          </w:p>
          <w:p w14:paraId="4E9BC840" w14:textId="77777777" w:rsidR="00BA3117" w:rsidRDefault="00BA3117" w:rsidP="00427030">
            <w:pPr>
              <w:jc w:val="center"/>
              <w:rPr>
                <w:color w:val="FF0000"/>
                <w:lang w:eastAsia="en-US"/>
              </w:rPr>
            </w:pPr>
          </w:p>
        </w:tc>
      </w:tr>
      <w:tr w:rsidR="00BA3117" w14:paraId="35478B06" w14:textId="77777777" w:rsidTr="002446FE">
        <w:trPr>
          <w:trHeight w:val="620"/>
        </w:trPr>
        <w:tc>
          <w:tcPr>
            <w:tcW w:w="4981" w:type="dxa"/>
          </w:tcPr>
          <w:p w14:paraId="3C485E42" w14:textId="535196BB" w:rsidR="00BA3117" w:rsidRDefault="006E1F6F" w:rsidP="008459CD">
            <w:pPr>
              <w:pStyle w:val="ListParagraph"/>
              <w:tabs>
                <w:tab w:val="left" w:pos="851"/>
                <w:tab w:val="left" w:pos="1134"/>
              </w:tabs>
              <w:ind w:left="0"/>
              <w:jc w:val="both"/>
            </w:pPr>
            <w:r>
              <w:rPr>
                <w:bCs/>
              </w:rPr>
              <w:t>18</w:t>
            </w:r>
            <w:r w:rsidRPr="003C7C70">
              <w:rPr>
                <w:bCs/>
              </w:rPr>
              <w:t>. Dokumentas turi būti išsamus, aiškus ir pagrįstas patikimais duomenimis bei aiškiomis metodologijomis</w:t>
            </w:r>
            <w:r>
              <w:rPr>
                <w:bCs/>
              </w:rPr>
              <w:t>.</w:t>
            </w:r>
          </w:p>
        </w:tc>
        <w:tc>
          <w:tcPr>
            <w:tcW w:w="4981" w:type="dxa"/>
          </w:tcPr>
          <w:p w14:paraId="65A66B17" w14:textId="77777777" w:rsidR="00BA3117" w:rsidRDefault="00BA3117" w:rsidP="002446FE">
            <w:pPr>
              <w:suppressAutoHyphens/>
              <w:spacing w:line="276" w:lineRule="auto"/>
              <w:jc w:val="center"/>
              <w:rPr>
                <w:color w:val="FF0000"/>
                <w:lang w:eastAsia="en-US"/>
              </w:rPr>
            </w:pPr>
          </w:p>
          <w:p w14:paraId="3F54DA4D" w14:textId="4F767755" w:rsidR="000F263A" w:rsidRPr="00AA59D1" w:rsidRDefault="000F263A" w:rsidP="00AA59D1">
            <w:pPr>
              <w:suppressAutoHyphens/>
              <w:spacing w:line="276" w:lineRule="auto"/>
              <w:jc w:val="center"/>
              <w:rPr>
                <w:i/>
                <w:color w:val="FF0000"/>
              </w:rPr>
            </w:pPr>
            <w:r w:rsidRPr="008C10B5">
              <w:rPr>
                <w:i/>
                <w:color w:val="FF0000"/>
              </w:rPr>
              <w:t>Taip/Ne</w:t>
            </w:r>
          </w:p>
        </w:tc>
      </w:tr>
      <w:tr w:rsidR="00C32B56" w14:paraId="4BF492B0" w14:textId="77777777" w:rsidTr="002446FE">
        <w:trPr>
          <w:trHeight w:val="620"/>
        </w:trPr>
        <w:tc>
          <w:tcPr>
            <w:tcW w:w="4981" w:type="dxa"/>
          </w:tcPr>
          <w:p w14:paraId="491D66BD" w14:textId="3E18930A" w:rsidR="00C32B56" w:rsidRDefault="006E1F6F" w:rsidP="008459CD">
            <w:pPr>
              <w:pStyle w:val="ListParagraph"/>
              <w:tabs>
                <w:tab w:val="left" w:pos="851"/>
                <w:tab w:val="left" w:pos="1134"/>
              </w:tabs>
              <w:ind w:left="0"/>
              <w:jc w:val="both"/>
            </w:pPr>
            <w:r>
              <w:rPr>
                <w:bCs/>
              </w:rPr>
              <w:t>19</w:t>
            </w:r>
            <w:r w:rsidRPr="003C7C70">
              <w:rPr>
                <w:bCs/>
              </w:rPr>
              <w:t>. Turi būti pasitelkti kokybiniai ir kiekybiniai duomenų rinkimo bei analizės metodai</w:t>
            </w:r>
            <w:r>
              <w:rPr>
                <w:bCs/>
              </w:rPr>
              <w:t>.</w:t>
            </w:r>
          </w:p>
        </w:tc>
        <w:tc>
          <w:tcPr>
            <w:tcW w:w="4981" w:type="dxa"/>
          </w:tcPr>
          <w:p w14:paraId="467863A3" w14:textId="0ECCE7FA" w:rsidR="00C32B56" w:rsidRPr="00AA59D1" w:rsidRDefault="000F263A" w:rsidP="002446FE">
            <w:pPr>
              <w:suppressAutoHyphens/>
              <w:spacing w:line="276" w:lineRule="auto"/>
              <w:jc w:val="center"/>
              <w:rPr>
                <w:i/>
                <w:color w:val="FF0000"/>
              </w:rPr>
            </w:pPr>
            <w:r w:rsidRPr="008C10B5">
              <w:rPr>
                <w:i/>
                <w:color w:val="FF0000"/>
              </w:rPr>
              <w:t>Taip/Ne</w:t>
            </w:r>
          </w:p>
          <w:p w14:paraId="07FB3A34" w14:textId="77777777" w:rsidR="00BA3117" w:rsidRDefault="00BA3117" w:rsidP="00427030">
            <w:pPr>
              <w:jc w:val="center"/>
              <w:rPr>
                <w:color w:val="FF0000"/>
                <w:lang w:eastAsia="en-US"/>
              </w:rPr>
            </w:pPr>
          </w:p>
        </w:tc>
      </w:tr>
      <w:tr w:rsidR="00C32B56" w14:paraId="7A87B7FB" w14:textId="77777777" w:rsidTr="002446FE">
        <w:trPr>
          <w:trHeight w:val="620"/>
        </w:trPr>
        <w:tc>
          <w:tcPr>
            <w:tcW w:w="4981" w:type="dxa"/>
          </w:tcPr>
          <w:p w14:paraId="417E22FF" w14:textId="3D44E9A9" w:rsidR="00C32B56" w:rsidRPr="000F263A" w:rsidRDefault="006E1F6F" w:rsidP="008459CD">
            <w:pPr>
              <w:pStyle w:val="ListParagraph"/>
              <w:tabs>
                <w:tab w:val="left" w:pos="851"/>
                <w:tab w:val="left" w:pos="1134"/>
              </w:tabs>
              <w:ind w:left="0"/>
              <w:jc w:val="both"/>
            </w:pPr>
            <w:r>
              <w:rPr>
                <w:bCs/>
              </w:rPr>
              <w:t>20</w:t>
            </w:r>
            <w:r w:rsidRPr="003C7C70">
              <w:rPr>
                <w:bCs/>
              </w:rPr>
              <w:t>. Galimybių studijoje privalo būti nurodyti visi naudoti šaltiniai</w:t>
            </w:r>
            <w:r>
              <w:rPr>
                <w:bCs/>
              </w:rPr>
              <w:t>.</w:t>
            </w:r>
          </w:p>
        </w:tc>
        <w:tc>
          <w:tcPr>
            <w:tcW w:w="4981" w:type="dxa"/>
          </w:tcPr>
          <w:p w14:paraId="1F116CCD" w14:textId="65EC0B1B" w:rsidR="000F263A" w:rsidRPr="00AA59D1" w:rsidRDefault="000F263A" w:rsidP="00AA59D1">
            <w:pPr>
              <w:suppressAutoHyphens/>
              <w:spacing w:line="276" w:lineRule="auto"/>
              <w:jc w:val="center"/>
              <w:rPr>
                <w:i/>
                <w:color w:val="FF0000"/>
              </w:rPr>
            </w:pPr>
            <w:r w:rsidRPr="008C10B5">
              <w:rPr>
                <w:i/>
                <w:color w:val="FF0000"/>
              </w:rPr>
              <w:t>Taip/Ne</w:t>
            </w:r>
          </w:p>
        </w:tc>
      </w:tr>
      <w:tr w:rsidR="00BA3117" w14:paraId="4B507973" w14:textId="77777777" w:rsidTr="002446FE">
        <w:trPr>
          <w:trHeight w:val="620"/>
        </w:trPr>
        <w:tc>
          <w:tcPr>
            <w:tcW w:w="9962" w:type="dxa"/>
            <w:gridSpan w:val="2"/>
            <w:shd w:val="clear" w:color="auto" w:fill="E7E6E6" w:themeFill="background2"/>
          </w:tcPr>
          <w:p w14:paraId="54A56CFF" w14:textId="77777777" w:rsidR="006E1F6F" w:rsidRPr="00C962E6" w:rsidRDefault="006E1F6F" w:rsidP="006E1F6F">
            <w:pPr>
              <w:pStyle w:val="ListParagraph"/>
              <w:spacing w:line="276" w:lineRule="auto"/>
              <w:ind w:left="0"/>
              <w:jc w:val="center"/>
              <w:rPr>
                <w:b/>
                <w:bCs/>
              </w:rPr>
            </w:pPr>
            <w:r w:rsidRPr="00C962E6">
              <w:rPr>
                <w:b/>
                <w:bCs/>
              </w:rPr>
              <w:t xml:space="preserve">VI SKYRIUS </w:t>
            </w:r>
          </w:p>
          <w:p w14:paraId="6975126B" w14:textId="3B5EF95B" w:rsidR="00BA3117" w:rsidRPr="006E1F6F" w:rsidRDefault="006E1F6F" w:rsidP="006E1F6F">
            <w:pPr>
              <w:pStyle w:val="ListParagraph"/>
              <w:spacing w:line="276" w:lineRule="auto"/>
              <w:ind w:left="0"/>
              <w:jc w:val="center"/>
              <w:rPr>
                <w:b/>
                <w:bCs/>
              </w:rPr>
            </w:pPr>
            <w:r w:rsidRPr="00C962E6">
              <w:rPr>
                <w:b/>
                <w:bCs/>
              </w:rPr>
              <w:t>BENDRIEJI REIKALAVIMAI</w:t>
            </w:r>
          </w:p>
        </w:tc>
      </w:tr>
      <w:tr w:rsidR="00BA3117" w14:paraId="7F8998D0" w14:textId="77777777" w:rsidTr="002446FE">
        <w:trPr>
          <w:trHeight w:val="620"/>
        </w:trPr>
        <w:tc>
          <w:tcPr>
            <w:tcW w:w="4981" w:type="dxa"/>
          </w:tcPr>
          <w:p w14:paraId="3104F4B5" w14:textId="2B72E7DF" w:rsidR="00BA3117" w:rsidRPr="006E1F6F" w:rsidRDefault="006E1F6F" w:rsidP="00AA59D1">
            <w:pPr>
              <w:pStyle w:val="ListParagraph"/>
              <w:tabs>
                <w:tab w:val="left" w:pos="851"/>
                <w:tab w:val="left" w:pos="1134"/>
              </w:tabs>
              <w:ind w:left="0"/>
              <w:jc w:val="both"/>
            </w:pPr>
            <w:r>
              <w:lastRenderedPageBreak/>
              <w:t xml:space="preserve">21. </w:t>
            </w:r>
            <w:r w:rsidRPr="003C7C70">
              <w:t>Sutarties vykdymo metu</w:t>
            </w:r>
            <w:r>
              <w:t xml:space="preserve"> </w:t>
            </w:r>
            <w:r w:rsidRPr="00501BDC">
              <w:t xml:space="preserve">Perkančioji organizacija turi teisę su </w:t>
            </w:r>
            <w:r>
              <w:t>p</w:t>
            </w:r>
            <w:r w:rsidRPr="00501BDC">
              <w:t>aslaugos teikėju</w:t>
            </w:r>
            <w:r w:rsidRPr="00C962E6">
              <w:t xml:space="preserve"> derinti, tikslinti ir prireikus prašyti </w:t>
            </w:r>
            <w:r>
              <w:t>p</w:t>
            </w:r>
            <w:r w:rsidRPr="00C962E6">
              <w:t>aslaugos teikėjo koreguoti pirminį pasiūlymą pagal Perkančiosios organizacijos poreikį</w:t>
            </w:r>
            <w:r>
              <w:t>.</w:t>
            </w:r>
            <w:r>
              <w:tab/>
            </w:r>
          </w:p>
        </w:tc>
        <w:tc>
          <w:tcPr>
            <w:tcW w:w="4981" w:type="dxa"/>
          </w:tcPr>
          <w:p w14:paraId="56D74796" w14:textId="77777777" w:rsidR="00BA3117" w:rsidRDefault="00BA3117" w:rsidP="000F263A">
            <w:pPr>
              <w:jc w:val="center"/>
              <w:rPr>
                <w:color w:val="FF0000"/>
                <w:lang w:eastAsia="en-US"/>
              </w:rPr>
            </w:pPr>
          </w:p>
          <w:p w14:paraId="1BE22F5E" w14:textId="77777777" w:rsidR="000F263A" w:rsidRPr="00C7399C" w:rsidRDefault="000F263A" w:rsidP="000F263A">
            <w:pPr>
              <w:suppressAutoHyphens/>
              <w:spacing w:line="276" w:lineRule="auto"/>
              <w:jc w:val="center"/>
              <w:rPr>
                <w:i/>
                <w:color w:val="FF0000"/>
              </w:rPr>
            </w:pPr>
            <w:r w:rsidRPr="008C10B5">
              <w:rPr>
                <w:i/>
                <w:color w:val="FF0000"/>
              </w:rPr>
              <w:t>Taip/Ne</w:t>
            </w:r>
          </w:p>
          <w:p w14:paraId="005CB49D" w14:textId="77777777" w:rsidR="000F263A" w:rsidRDefault="000F263A" w:rsidP="000F263A">
            <w:pPr>
              <w:jc w:val="center"/>
              <w:rPr>
                <w:color w:val="FF0000"/>
                <w:lang w:eastAsia="en-US"/>
              </w:rPr>
            </w:pPr>
          </w:p>
        </w:tc>
      </w:tr>
      <w:tr w:rsidR="007104B5" w14:paraId="52751116" w14:textId="77777777" w:rsidTr="002446FE">
        <w:trPr>
          <w:trHeight w:val="620"/>
        </w:trPr>
        <w:tc>
          <w:tcPr>
            <w:tcW w:w="4981" w:type="dxa"/>
          </w:tcPr>
          <w:p w14:paraId="2C49EBAA" w14:textId="753FE80E" w:rsidR="007104B5" w:rsidRDefault="006E1F6F" w:rsidP="008459CD">
            <w:pPr>
              <w:pStyle w:val="ListParagraph"/>
              <w:tabs>
                <w:tab w:val="left" w:pos="851"/>
                <w:tab w:val="left" w:pos="1134"/>
              </w:tabs>
              <w:ind w:left="0"/>
              <w:jc w:val="both"/>
            </w:pPr>
            <w:r>
              <w:t xml:space="preserve">22. </w:t>
            </w:r>
            <w:r w:rsidRPr="00C962E6">
              <w:t>Teikdamas paslaugas</w:t>
            </w:r>
            <w:r>
              <w:t>,</w:t>
            </w:r>
            <w:r w:rsidRPr="00C962E6">
              <w:t xml:space="preserve"> </w:t>
            </w:r>
            <w:r>
              <w:t>p</w:t>
            </w:r>
            <w:r w:rsidRPr="00C962E6">
              <w:t xml:space="preserve">aslaugos teikėjas turi teisę iš Perkančiosios organizacijos gauti būtiną informaciją (teisinę, organizacinę, techninę ir kitą). Informacijos prašymas turi būti argumentuotas ir konkretus. Perkančioji organizacija gali atsisakyti teikti informaciją, kuri, jos manymu, nėra susijusi su teikiama </w:t>
            </w:r>
            <w:r>
              <w:t>p</w:t>
            </w:r>
            <w:r w:rsidRPr="00C962E6">
              <w:t>aslauga</w:t>
            </w:r>
            <w:r>
              <w:t>.</w:t>
            </w:r>
          </w:p>
        </w:tc>
        <w:tc>
          <w:tcPr>
            <w:tcW w:w="4981" w:type="dxa"/>
          </w:tcPr>
          <w:p w14:paraId="6DE9B2ED" w14:textId="77777777" w:rsidR="007104B5" w:rsidRDefault="007104B5" w:rsidP="002446FE">
            <w:pPr>
              <w:suppressAutoHyphens/>
              <w:spacing w:line="276" w:lineRule="auto"/>
              <w:jc w:val="center"/>
              <w:rPr>
                <w:color w:val="FF0000"/>
                <w:lang w:eastAsia="en-US"/>
              </w:rPr>
            </w:pPr>
          </w:p>
          <w:p w14:paraId="7236206A" w14:textId="77777777" w:rsidR="00AA59D1" w:rsidRDefault="00AA59D1" w:rsidP="002446FE">
            <w:pPr>
              <w:suppressAutoHyphens/>
              <w:spacing w:line="276" w:lineRule="auto"/>
              <w:jc w:val="center"/>
              <w:rPr>
                <w:i/>
                <w:color w:val="FF0000"/>
              </w:rPr>
            </w:pPr>
          </w:p>
          <w:p w14:paraId="6CF4B2CA" w14:textId="66589993" w:rsidR="002B0DBE" w:rsidRPr="002B0DBE" w:rsidRDefault="002B0DBE" w:rsidP="002446FE">
            <w:pPr>
              <w:suppressAutoHyphens/>
              <w:spacing w:line="276" w:lineRule="auto"/>
              <w:jc w:val="center"/>
              <w:rPr>
                <w:i/>
                <w:color w:val="FF0000"/>
              </w:rPr>
            </w:pPr>
            <w:r w:rsidRPr="008C10B5">
              <w:rPr>
                <w:i/>
                <w:color w:val="FF0000"/>
              </w:rPr>
              <w:t>Taip/Ne</w:t>
            </w:r>
          </w:p>
          <w:p w14:paraId="2AE29B85" w14:textId="7839343C" w:rsidR="007104B5" w:rsidRDefault="007104B5" w:rsidP="007104B5">
            <w:pPr>
              <w:suppressAutoHyphens/>
              <w:spacing w:line="276" w:lineRule="auto"/>
              <w:jc w:val="center"/>
              <w:rPr>
                <w:color w:val="FF0000"/>
                <w:lang w:eastAsia="en-US"/>
              </w:rPr>
            </w:pPr>
          </w:p>
        </w:tc>
      </w:tr>
      <w:tr w:rsidR="007104B5" w14:paraId="57608EF5" w14:textId="77777777" w:rsidTr="002446FE">
        <w:trPr>
          <w:trHeight w:val="620"/>
        </w:trPr>
        <w:tc>
          <w:tcPr>
            <w:tcW w:w="4981" w:type="dxa"/>
          </w:tcPr>
          <w:p w14:paraId="701D55AD" w14:textId="708277A3" w:rsidR="007104B5" w:rsidRDefault="006E1F6F" w:rsidP="008459CD">
            <w:pPr>
              <w:pStyle w:val="ListParagraph"/>
              <w:tabs>
                <w:tab w:val="left" w:pos="851"/>
                <w:tab w:val="left" w:pos="1134"/>
              </w:tabs>
              <w:ind w:left="0"/>
              <w:jc w:val="both"/>
            </w:pPr>
            <w:r>
              <w:t xml:space="preserve">23. </w:t>
            </w:r>
            <w:r w:rsidRPr="00332833">
              <w:t xml:space="preserve">Paslaugos teikėjas per 2 savaites nuo paslaugos sutarties įsigaliojimo turi parengti ir su Perkančiąja organizacija suderinti išsamų paslaugos teikimo planą, nurodydamas atskirus </w:t>
            </w:r>
            <w:r w:rsidRPr="003C7C70">
              <w:t xml:space="preserve">paslaugų </w:t>
            </w:r>
            <w:r w:rsidRPr="00332833">
              <w:t>ir tarpinių ataskaitų teikimo etapus ir įgyvendinimo terminus, pagal kuriuos Perkančioji organizacija vykdys paslaugos teikimo kontrolę</w:t>
            </w:r>
            <w:r>
              <w:t>.</w:t>
            </w:r>
          </w:p>
        </w:tc>
        <w:tc>
          <w:tcPr>
            <w:tcW w:w="4981" w:type="dxa"/>
          </w:tcPr>
          <w:p w14:paraId="64824248" w14:textId="77777777" w:rsidR="007104B5" w:rsidRDefault="007104B5" w:rsidP="002446FE">
            <w:pPr>
              <w:suppressAutoHyphens/>
              <w:spacing w:line="276" w:lineRule="auto"/>
              <w:jc w:val="center"/>
              <w:rPr>
                <w:color w:val="FF0000"/>
                <w:lang w:eastAsia="en-US"/>
              </w:rPr>
            </w:pPr>
          </w:p>
          <w:p w14:paraId="21866A83" w14:textId="77777777" w:rsidR="00AA59D1" w:rsidRDefault="00AA59D1" w:rsidP="002B0DBE">
            <w:pPr>
              <w:suppressAutoHyphens/>
              <w:spacing w:line="276" w:lineRule="auto"/>
              <w:jc w:val="center"/>
              <w:rPr>
                <w:i/>
                <w:color w:val="FF0000"/>
              </w:rPr>
            </w:pPr>
          </w:p>
          <w:p w14:paraId="1ADFB830" w14:textId="77777777" w:rsidR="002B0DBE" w:rsidRPr="002B0DBE" w:rsidRDefault="002B0DBE" w:rsidP="002B0DBE">
            <w:pPr>
              <w:suppressAutoHyphens/>
              <w:spacing w:line="276" w:lineRule="auto"/>
              <w:jc w:val="center"/>
              <w:rPr>
                <w:i/>
                <w:color w:val="FF0000"/>
              </w:rPr>
            </w:pPr>
            <w:r w:rsidRPr="008C10B5">
              <w:rPr>
                <w:i/>
                <w:color w:val="FF0000"/>
              </w:rPr>
              <w:t>Taip/Ne</w:t>
            </w:r>
          </w:p>
          <w:p w14:paraId="306CC223" w14:textId="4C0A92A4" w:rsidR="007104B5" w:rsidRPr="000F263A" w:rsidRDefault="007104B5" w:rsidP="000F263A">
            <w:pPr>
              <w:jc w:val="center"/>
              <w:rPr>
                <w:i/>
                <w:color w:val="FF0000"/>
              </w:rPr>
            </w:pPr>
          </w:p>
        </w:tc>
      </w:tr>
      <w:tr w:rsidR="007104B5" w14:paraId="787656FB" w14:textId="77777777" w:rsidTr="002446FE">
        <w:trPr>
          <w:trHeight w:val="620"/>
        </w:trPr>
        <w:tc>
          <w:tcPr>
            <w:tcW w:w="4981" w:type="dxa"/>
          </w:tcPr>
          <w:p w14:paraId="184D2F86" w14:textId="37611022" w:rsidR="007104B5" w:rsidRDefault="006E1F6F" w:rsidP="008459CD">
            <w:pPr>
              <w:pStyle w:val="ListParagraph"/>
              <w:tabs>
                <w:tab w:val="left" w:pos="851"/>
                <w:tab w:val="left" w:pos="1134"/>
              </w:tabs>
              <w:ind w:left="0"/>
              <w:jc w:val="both"/>
            </w:pPr>
            <w:r>
              <w:t xml:space="preserve">24. </w:t>
            </w:r>
            <w:r w:rsidRPr="00C962E6">
              <w:t xml:space="preserve">Rengdamas planą, </w:t>
            </w:r>
            <w:r>
              <w:t>p</w:t>
            </w:r>
            <w:r w:rsidRPr="00C962E6">
              <w:t xml:space="preserve">aslaugos teikėjas turi glaudžiai bendradarbiauti su Perkančiąja organizacija ir jos ir kitų susijusių institucijų ekspertais, koreguoti pateiktus rezultatus pagal Perkančiosios organizacijos pastabas. Perkančioji organizacija gali kviesti </w:t>
            </w:r>
            <w:r>
              <w:t>p</w:t>
            </w:r>
            <w:r w:rsidRPr="00C962E6">
              <w:t xml:space="preserve">aslaugos teikėją dalyvauti susitikimuose, kad būtų aptariami atskiri </w:t>
            </w:r>
            <w:r>
              <w:t>p</w:t>
            </w:r>
            <w:r w:rsidRPr="00C962E6">
              <w:t xml:space="preserve">aslaugos </w:t>
            </w:r>
            <w:r>
              <w:t xml:space="preserve">teikimo </w:t>
            </w:r>
            <w:r w:rsidRPr="00C962E6">
              <w:t>etapai, rezultatai ir išvados. Perkančioji organizacija gali paprašyti gyvai pristatyti rezultatus Perkančiosios organizacijos sudarytai komisijai ar kitiems įgaliotiems atstovams. Susitikimų vietą nurodo Perkančioji organizacija</w:t>
            </w:r>
            <w:r>
              <w:t>.</w:t>
            </w:r>
          </w:p>
        </w:tc>
        <w:tc>
          <w:tcPr>
            <w:tcW w:w="4981" w:type="dxa"/>
          </w:tcPr>
          <w:p w14:paraId="44EA2D32" w14:textId="77777777" w:rsidR="002446FE" w:rsidRDefault="002446FE" w:rsidP="002446FE">
            <w:pPr>
              <w:suppressAutoHyphens/>
              <w:spacing w:line="276" w:lineRule="auto"/>
              <w:jc w:val="center"/>
              <w:rPr>
                <w:color w:val="FF0000"/>
                <w:lang w:eastAsia="en-US"/>
              </w:rPr>
            </w:pPr>
          </w:p>
          <w:p w14:paraId="3CB0DB90" w14:textId="77777777" w:rsidR="00AA59D1" w:rsidRDefault="00AA59D1" w:rsidP="002446FE">
            <w:pPr>
              <w:suppressAutoHyphens/>
              <w:spacing w:line="276" w:lineRule="auto"/>
              <w:jc w:val="center"/>
              <w:rPr>
                <w:i/>
                <w:color w:val="FF0000"/>
              </w:rPr>
            </w:pPr>
          </w:p>
          <w:p w14:paraId="67E3F116" w14:textId="77777777" w:rsidR="00AA59D1" w:rsidRDefault="00AA59D1" w:rsidP="002446FE">
            <w:pPr>
              <w:suppressAutoHyphens/>
              <w:spacing w:line="276" w:lineRule="auto"/>
              <w:jc w:val="center"/>
              <w:rPr>
                <w:i/>
                <w:color w:val="FF0000"/>
              </w:rPr>
            </w:pPr>
          </w:p>
          <w:p w14:paraId="2EA4C7AA" w14:textId="77777777" w:rsidR="00AA59D1" w:rsidRDefault="00AA59D1" w:rsidP="002446FE">
            <w:pPr>
              <w:suppressAutoHyphens/>
              <w:spacing w:line="276" w:lineRule="auto"/>
              <w:jc w:val="center"/>
              <w:rPr>
                <w:i/>
                <w:color w:val="FF0000"/>
              </w:rPr>
            </w:pPr>
          </w:p>
          <w:p w14:paraId="66D49F2B" w14:textId="77777777" w:rsidR="002446FE" w:rsidRPr="002B0DBE" w:rsidRDefault="002446FE" w:rsidP="002446FE">
            <w:pPr>
              <w:suppressAutoHyphens/>
              <w:spacing w:line="276" w:lineRule="auto"/>
              <w:jc w:val="center"/>
              <w:rPr>
                <w:i/>
                <w:color w:val="FF0000"/>
              </w:rPr>
            </w:pPr>
            <w:r w:rsidRPr="008C10B5">
              <w:rPr>
                <w:i/>
                <w:color w:val="FF0000"/>
              </w:rPr>
              <w:t>Taip/Ne</w:t>
            </w:r>
          </w:p>
          <w:p w14:paraId="6424F275" w14:textId="77777777" w:rsidR="00CB03CB" w:rsidRDefault="00CB03CB" w:rsidP="000F263A">
            <w:pPr>
              <w:jc w:val="center"/>
              <w:rPr>
                <w:color w:val="FF0000"/>
                <w:lang w:eastAsia="en-US"/>
              </w:rPr>
            </w:pPr>
          </w:p>
        </w:tc>
      </w:tr>
      <w:tr w:rsidR="007104B5" w14:paraId="7CFDF62F" w14:textId="77777777" w:rsidTr="002446FE">
        <w:trPr>
          <w:trHeight w:val="620"/>
        </w:trPr>
        <w:tc>
          <w:tcPr>
            <w:tcW w:w="4981" w:type="dxa"/>
          </w:tcPr>
          <w:p w14:paraId="6EF3CB46" w14:textId="6B466C82" w:rsidR="007104B5" w:rsidRDefault="006E1F6F" w:rsidP="008459CD">
            <w:pPr>
              <w:pStyle w:val="ListParagraph"/>
              <w:tabs>
                <w:tab w:val="left" w:pos="851"/>
                <w:tab w:val="left" w:pos="1134"/>
              </w:tabs>
              <w:ind w:left="0"/>
              <w:jc w:val="both"/>
            </w:pPr>
            <w:r>
              <w:t xml:space="preserve">25. </w:t>
            </w:r>
            <w:r>
              <w:t>Paslaugos teikėjas įsipareigoja pateikdamas galutinį produktą (galimybių studiją) Perkančiajai organizacijai, taip pat rengdamas kitus dokumentus (pvz., klausimynus ir kt.), susijusius su galimybių studija, naudoti informacinį ženklą</w:t>
            </w:r>
            <w:r w:rsidRPr="00C962E6">
              <w:t xml:space="preserve">, </w:t>
            </w:r>
            <w:r>
              <w:t xml:space="preserve">informuojantį, </w:t>
            </w:r>
            <w:r w:rsidRPr="00C962E6">
              <w:t xml:space="preserve">kad </w:t>
            </w:r>
            <w:r>
              <w:t xml:space="preserve">galimybių studija rengiama </w:t>
            </w:r>
            <w:r w:rsidRPr="00C962E6">
              <w:t xml:space="preserve">naudojant </w:t>
            </w:r>
            <w:r w:rsidRPr="00C962E6">
              <w:rPr>
                <w:shd w:val="clear" w:color="auto" w:fill="FFFFFF"/>
              </w:rPr>
              <w:t>Ekonomikos gaivinimo ir atsparumo didinimo priemonės (EGADP) lėšas</w:t>
            </w:r>
          </w:p>
        </w:tc>
        <w:tc>
          <w:tcPr>
            <w:tcW w:w="4981" w:type="dxa"/>
          </w:tcPr>
          <w:p w14:paraId="028C831A" w14:textId="77777777" w:rsidR="00AA59D1" w:rsidRDefault="00AA59D1" w:rsidP="002446FE">
            <w:pPr>
              <w:suppressAutoHyphens/>
              <w:spacing w:line="276" w:lineRule="auto"/>
              <w:jc w:val="center"/>
              <w:rPr>
                <w:i/>
                <w:color w:val="FF0000"/>
              </w:rPr>
            </w:pPr>
          </w:p>
          <w:p w14:paraId="638E34B7" w14:textId="77777777" w:rsidR="00AA59D1" w:rsidRDefault="00AA59D1" w:rsidP="002446FE">
            <w:pPr>
              <w:suppressAutoHyphens/>
              <w:spacing w:line="276" w:lineRule="auto"/>
              <w:jc w:val="center"/>
              <w:rPr>
                <w:i/>
                <w:color w:val="FF0000"/>
              </w:rPr>
            </w:pPr>
          </w:p>
          <w:p w14:paraId="6764E0E5" w14:textId="1122612D" w:rsidR="00CB03CB" w:rsidRPr="002446FE" w:rsidRDefault="002446FE" w:rsidP="002446FE">
            <w:pPr>
              <w:suppressAutoHyphens/>
              <w:spacing w:line="276" w:lineRule="auto"/>
              <w:jc w:val="center"/>
              <w:rPr>
                <w:i/>
                <w:color w:val="FF0000"/>
              </w:rPr>
            </w:pPr>
            <w:r w:rsidRPr="008C10B5">
              <w:rPr>
                <w:i/>
                <w:color w:val="FF0000"/>
              </w:rPr>
              <w:t>Taip/Ne</w:t>
            </w:r>
          </w:p>
          <w:p w14:paraId="19CA3272" w14:textId="77777777" w:rsidR="00CB03CB" w:rsidRDefault="00CB03CB" w:rsidP="000F263A">
            <w:pPr>
              <w:jc w:val="center"/>
              <w:rPr>
                <w:color w:val="FF0000"/>
                <w:lang w:eastAsia="en-US"/>
              </w:rPr>
            </w:pPr>
          </w:p>
        </w:tc>
      </w:tr>
    </w:tbl>
    <w:p w14:paraId="07BDAFDD" w14:textId="77777777" w:rsidR="006E1F6F" w:rsidRDefault="006E1F6F" w:rsidP="008459CD">
      <w:pPr>
        <w:jc w:val="both"/>
        <w:rPr>
          <w:b/>
        </w:rPr>
      </w:pPr>
    </w:p>
    <w:p w14:paraId="5D4BB308" w14:textId="5C6F5787" w:rsidR="008459CD" w:rsidRDefault="008459CD" w:rsidP="008459CD">
      <w:pPr>
        <w:jc w:val="both"/>
        <w:rPr>
          <w:b/>
        </w:rPr>
      </w:pPr>
      <w:r w:rsidRPr="00A9420E">
        <w:rPr>
          <w:b/>
        </w:rPr>
        <w:t xml:space="preserve">Pastaba: Perkančioji organizacija </w:t>
      </w:r>
      <w:r>
        <w:rPr>
          <w:b/>
        </w:rPr>
        <w:t>kartu su pirkimo pa</w:t>
      </w:r>
      <w:r w:rsidRPr="00A9420E">
        <w:rPr>
          <w:b/>
        </w:rPr>
        <w:t xml:space="preserve">siūlymu </w:t>
      </w:r>
      <w:r>
        <w:rPr>
          <w:b/>
        </w:rPr>
        <w:t>neprašo pateikti</w:t>
      </w:r>
      <w:r w:rsidRPr="00A9420E">
        <w:rPr>
          <w:b/>
        </w:rPr>
        <w:t xml:space="preserve"> p</w:t>
      </w:r>
      <w:r>
        <w:rPr>
          <w:b/>
        </w:rPr>
        <w:t xml:space="preserve">aslaugos </w:t>
      </w:r>
      <w:r w:rsidRPr="00A9420E">
        <w:rPr>
          <w:b/>
        </w:rPr>
        <w:t>atitiktį pagrindžiančių dokumentų</w:t>
      </w:r>
      <w:r>
        <w:rPr>
          <w:b/>
        </w:rPr>
        <w:t xml:space="preserve"> ar kitų įrodymų.</w:t>
      </w:r>
    </w:p>
    <w:p w14:paraId="3C202BF3" w14:textId="77777777" w:rsidR="008459CD" w:rsidRPr="00212CCC" w:rsidRDefault="008459CD" w:rsidP="008459CD">
      <w:pPr>
        <w:jc w:val="both"/>
      </w:pPr>
      <w:r>
        <w:rPr>
          <w:b/>
        </w:rPr>
        <w:t>*Teikėjas privalo užtikrinti, kad</w:t>
      </w:r>
      <w:r w:rsidRPr="00A9420E">
        <w:rPr>
          <w:b/>
        </w:rPr>
        <w:t xml:space="preserve"> </w:t>
      </w:r>
      <w:r>
        <w:rPr>
          <w:b/>
        </w:rPr>
        <w:t>techninės specifikacijos</w:t>
      </w:r>
      <w:r w:rsidRPr="00A9420E">
        <w:rPr>
          <w:b/>
        </w:rPr>
        <w:t xml:space="preserve"> reikalavimai </w:t>
      </w:r>
      <w:r>
        <w:rPr>
          <w:b/>
        </w:rPr>
        <w:t>būtų</w:t>
      </w:r>
      <w:r w:rsidRPr="00A9420E">
        <w:rPr>
          <w:b/>
        </w:rPr>
        <w:t xml:space="preserve"> užtikrinti sutarties vykdymo metu</w:t>
      </w:r>
      <w:r>
        <w:t>.</w:t>
      </w:r>
      <w:bookmarkStart w:id="0" w:name="_GoBack"/>
      <w:bookmarkEnd w:id="0"/>
    </w:p>
    <w:sectPr w:rsidR="008459CD" w:rsidRPr="00212CCC">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2BDA" w14:textId="77777777" w:rsidR="00D15400" w:rsidRDefault="00D15400" w:rsidP="00A51ED7">
      <w:r>
        <w:separator/>
      </w:r>
    </w:p>
  </w:endnote>
  <w:endnote w:type="continuationSeparator" w:id="0">
    <w:p w14:paraId="55D6EAF8" w14:textId="77777777" w:rsidR="00D15400" w:rsidRDefault="00D15400"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E440E" w14:textId="77777777" w:rsidR="00D15400" w:rsidRDefault="00D15400" w:rsidP="00A51ED7">
      <w:r>
        <w:separator/>
      </w:r>
    </w:p>
  </w:footnote>
  <w:footnote w:type="continuationSeparator" w:id="0">
    <w:p w14:paraId="6A98DECC" w14:textId="77777777" w:rsidR="00D15400" w:rsidRDefault="00D15400"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C9C"/>
    <w:multiLevelType w:val="multilevel"/>
    <w:tmpl w:val="24006460"/>
    <w:lvl w:ilvl="0">
      <w:start w:val="12"/>
      <w:numFmt w:val="decimal"/>
      <w:lvlText w:val="%1."/>
      <w:lvlJc w:val="left"/>
      <w:pPr>
        <w:ind w:left="1331" w:hanging="480"/>
      </w:pPr>
      <w:rPr>
        <w:rFonts w:hint="default"/>
        <w:b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1D027B94"/>
    <w:multiLevelType w:val="multilevel"/>
    <w:tmpl w:val="E3E461F4"/>
    <w:lvl w:ilvl="0">
      <w:start w:val="11"/>
      <w:numFmt w:val="decimal"/>
      <w:lvlText w:val="%1."/>
      <w:lvlJc w:val="left"/>
      <w:pPr>
        <w:ind w:left="1211" w:hanging="360"/>
      </w:pPr>
      <w:rPr>
        <w:rFonts w:hint="default"/>
        <w:b w:val="0"/>
      </w:rPr>
    </w:lvl>
    <w:lvl w:ilvl="1">
      <w:start w:val="1"/>
      <w:numFmt w:val="decimal"/>
      <w:isLgl/>
      <w:lvlText w:val="%1.%2."/>
      <w:lvlJc w:val="left"/>
      <w:pPr>
        <w:ind w:left="1756" w:hanging="48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6"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7"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12"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13"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313432C"/>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7" w15:restartNumberingAfterBreak="0">
    <w:nsid w:val="7E0F6777"/>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9291C"/>
    <w:multiLevelType w:val="hybridMultilevel"/>
    <w:tmpl w:val="A3E89654"/>
    <w:lvl w:ilvl="0" w:tplc="3438C2C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2"/>
  </w:num>
  <w:num w:numId="5">
    <w:abstractNumId w:val="3"/>
  </w:num>
  <w:num w:numId="6">
    <w:abstractNumId w:val="7"/>
  </w:num>
  <w:num w:numId="7">
    <w:abstractNumId w:val="9"/>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18"/>
  </w:num>
  <w:num w:numId="22">
    <w:abstractNumId w:val="11"/>
  </w:num>
  <w:num w:numId="23">
    <w:abstractNumId w:val="8"/>
  </w:num>
  <w:num w:numId="24">
    <w:abstractNumId w:val="14"/>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22051"/>
    <w:rsid w:val="0004107D"/>
    <w:rsid w:val="00051290"/>
    <w:rsid w:val="000A15FE"/>
    <w:rsid w:val="000F263A"/>
    <w:rsid w:val="000F4402"/>
    <w:rsid w:val="000F508C"/>
    <w:rsid w:val="00107DDB"/>
    <w:rsid w:val="0012381E"/>
    <w:rsid w:val="0013473A"/>
    <w:rsid w:val="001627C5"/>
    <w:rsid w:val="00171C5B"/>
    <w:rsid w:val="00221857"/>
    <w:rsid w:val="00242DFF"/>
    <w:rsid w:val="002446FE"/>
    <w:rsid w:val="00266677"/>
    <w:rsid w:val="002B0DBE"/>
    <w:rsid w:val="002D1CD2"/>
    <w:rsid w:val="002F1F4C"/>
    <w:rsid w:val="003061AC"/>
    <w:rsid w:val="003329D6"/>
    <w:rsid w:val="00381CEA"/>
    <w:rsid w:val="003A7B08"/>
    <w:rsid w:val="003B73B6"/>
    <w:rsid w:val="003D197A"/>
    <w:rsid w:val="003D2996"/>
    <w:rsid w:val="003D60FC"/>
    <w:rsid w:val="00416C35"/>
    <w:rsid w:val="00427030"/>
    <w:rsid w:val="00432086"/>
    <w:rsid w:val="00495395"/>
    <w:rsid w:val="004D2A10"/>
    <w:rsid w:val="004F0D2E"/>
    <w:rsid w:val="004F20CB"/>
    <w:rsid w:val="004F5D00"/>
    <w:rsid w:val="005364A0"/>
    <w:rsid w:val="00537416"/>
    <w:rsid w:val="00603277"/>
    <w:rsid w:val="00624B32"/>
    <w:rsid w:val="00630B0F"/>
    <w:rsid w:val="006876C6"/>
    <w:rsid w:val="006A7784"/>
    <w:rsid w:val="006E1F6F"/>
    <w:rsid w:val="007058BA"/>
    <w:rsid w:val="007104B5"/>
    <w:rsid w:val="00721601"/>
    <w:rsid w:val="0073316E"/>
    <w:rsid w:val="00746EB6"/>
    <w:rsid w:val="007B4201"/>
    <w:rsid w:val="007C5BD7"/>
    <w:rsid w:val="007C6781"/>
    <w:rsid w:val="007D3859"/>
    <w:rsid w:val="007D6CB7"/>
    <w:rsid w:val="00806104"/>
    <w:rsid w:val="008240B4"/>
    <w:rsid w:val="008459CD"/>
    <w:rsid w:val="0086410B"/>
    <w:rsid w:val="00883527"/>
    <w:rsid w:val="008B2430"/>
    <w:rsid w:val="008C10B5"/>
    <w:rsid w:val="008D2FBA"/>
    <w:rsid w:val="00906D1D"/>
    <w:rsid w:val="0091020A"/>
    <w:rsid w:val="00934E7C"/>
    <w:rsid w:val="00957247"/>
    <w:rsid w:val="009A7CC0"/>
    <w:rsid w:val="009C5EAA"/>
    <w:rsid w:val="009D063F"/>
    <w:rsid w:val="009E49A3"/>
    <w:rsid w:val="009E78D9"/>
    <w:rsid w:val="009F0DC9"/>
    <w:rsid w:val="009F23FB"/>
    <w:rsid w:val="00A216B0"/>
    <w:rsid w:val="00A51ED7"/>
    <w:rsid w:val="00A70743"/>
    <w:rsid w:val="00AA59D1"/>
    <w:rsid w:val="00AA6909"/>
    <w:rsid w:val="00AA7124"/>
    <w:rsid w:val="00AD217E"/>
    <w:rsid w:val="00AE071B"/>
    <w:rsid w:val="00B65748"/>
    <w:rsid w:val="00B7370E"/>
    <w:rsid w:val="00BA3117"/>
    <w:rsid w:val="00BB544D"/>
    <w:rsid w:val="00BF424F"/>
    <w:rsid w:val="00C16390"/>
    <w:rsid w:val="00C32B56"/>
    <w:rsid w:val="00C56C86"/>
    <w:rsid w:val="00C7399C"/>
    <w:rsid w:val="00CB03CB"/>
    <w:rsid w:val="00CD0A46"/>
    <w:rsid w:val="00CF2C9F"/>
    <w:rsid w:val="00D04920"/>
    <w:rsid w:val="00D15400"/>
    <w:rsid w:val="00D33226"/>
    <w:rsid w:val="00D464CC"/>
    <w:rsid w:val="00DE284B"/>
    <w:rsid w:val="00E763EA"/>
    <w:rsid w:val="00E80156"/>
    <w:rsid w:val="00E87E6F"/>
    <w:rsid w:val="00F419BD"/>
    <w:rsid w:val="00F43E08"/>
    <w:rsid w:val="00F61862"/>
    <w:rsid w:val="00F70CDC"/>
    <w:rsid w:val="00F74AA0"/>
    <w:rsid w:val="00F86851"/>
    <w:rsid w:val="00FA1734"/>
    <w:rsid w:val="00FB3104"/>
    <w:rsid w:val="00FD0CA3"/>
    <w:rsid w:val="00FD7AA9"/>
    <w:rsid w:val="00FE094B"/>
    <w:rsid w:val="00FE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F4"/>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99"/>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semiHidden/>
    <w:unhideWhenUsed/>
    <w:rsid w:val="007B4201"/>
    <w:rPr>
      <w:sz w:val="20"/>
      <w:szCs w:val="20"/>
    </w:rPr>
  </w:style>
  <w:style w:type="character" w:customStyle="1" w:styleId="CommentTextChar">
    <w:name w:val="Comment Text Char"/>
    <w:basedOn w:val="DefaultParagraphFont"/>
    <w:link w:val="CommentText"/>
    <w:uiPriority w:val="99"/>
    <w:semiHidden/>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 w:type="paragraph" w:styleId="NormalWeb">
    <w:name w:val="Normal (Web)"/>
    <w:basedOn w:val="Normal"/>
    <w:uiPriority w:val="99"/>
    <w:unhideWhenUsed/>
    <w:rsid w:val="003A7B08"/>
    <w:pPr>
      <w:spacing w:before="100" w:beforeAutospacing="1" w:after="100" w:afterAutospacing="1"/>
    </w:pPr>
  </w:style>
  <w:style w:type="paragraph" w:customStyle="1" w:styleId="Default">
    <w:name w:val="Default"/>
    <w:rsid w:val="00FE1BF4"/>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0160">
      <w:bodyDiv w:val="1"/>
      <w:marLeft w:val="0"/>
      <w:marRight w:val="0"/>
      <w:marTop w:val="0"/>
      <w:marBottom w:val="0"/>
      <w:divBdr>
        <w:top w:val="none" w:sz="0" w:space="0" w:color="auto"/>
        <w:left w:val="none" w:sz="0" w:space="0" w:color="auto"/>
        <w:bottom w:val="none" w:sz="0" w:space="0" w:color="auto"/>
        <w:right w:val="none" w:sz="0" w:space="0" w:color="auto"/>
      </w:divBdr>
    </w:div>
    <w:div w:id="1134713372">
      <w:bodyDiv w:val="1"/>
      <w:marLeft w:val="0"/>
      <w:marRight w:val="0"/>
      <w:marTop w:val="0"/>
      <w:marBottom w:val="0"/>
      <w:divBdr>
        <w:top w:val="none" w:sz="0" w:space="0" w:color="auto"/>
        <w:left w:val="none" w:sz="0" w:space="0" w:color="auto"/>
        <w:bottom w:val="none" w:sz="0" w:space="0" w:color="auto"/>
        <w:right w:val="none" w:sz="0" w:space="0" w:color="auto"/>
      </w:divBdr>
    </w:div>
    <w:div w:id="1295258470">
      <w:bodyDiv w:val="1"/>
      <w:marLeft w:val="0"/>
      <w:marRight w:val="0"/>
      <w:marTop w:val="0"/>
      <w:marBottom w:val="0"/>
      <w:divBdr>
        <w:top w:val="none" w:sz="0" w:space="0" w:color="auto"/>
        <w:left w:val="none" w:sz="0" w:space="0" w:color="auto"/>
        <w:bottom w:val="none" w:sz="0" w:space="0" w:color="auto"/>
        <w:right w:val="none" w:sz="0" w:space="0" w:color="auto"/>
      </w:divBdr>
    </w:div>
    <w:div w:id="1613127515">
      <w:bodyDiv w:val="1"/>
      <w:marLeft w:val="0"/>
      <w:marRight w:val="0"/>
      <w:marTop w:val="0"/>
      <w:marBottom w:val="0"/>
      <w:divBdr>
        <w:top w:val="none" w:sz="0" w:space="0" w:color="auto"/>
        <w:left w:val="none" w:sz="0" w:space="0" w:color="auto"/>
        <w:bottom w:val="none" w:sz="0" w:space="0" w:color="auto"/>
        <w:right w:val="none" w:sz="0" w:space="0" w:color="auto"/>
      </w:divBdr>
    </w:div>
    <w:div w:id="21204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10</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Greta Bijeikytė</cp:lastModifiedBy>
  <cp:revision>80</cp:revision>
  <dcterms:created xsi:type="dcterms:W3CDTF">2024-05-14T06:22:00Z</dcterms:created>
  <dcterms:modified xsi:type="dcterms:W3CDTF">2025-04-29T07:54:00Z</dcterms:modified>
</cp:coreProperties>
</file>