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6E09F" w14:textId="714B7CF4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CB3B56">
        <w:rPr>
          <w:rFonts w:ascii="Times New Roman" w:hAnsi="Times New Roman"/>
          <w:b/>
          <w:bCs/>
          <w:sz w:val="24"/>
          <w:szCs w:val="24"/>
          <w:lang w:val="lt-LT"/>
        </w:rPr>
        <w:t>ATSAKYMAS Į RINKOS KONSULTACIJOS METU GAUTAS PASTABAS IR PASIŪLYMUS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DE3A82" w14:textId="5750C904" w:rsidR="00BD6230" w:rsidRDefault="003322E0" w:rsidP="00BD6230">
      <w:pPr>
        <w:spacing w:line="360" w:lineRule="auto"/>
        <w:jc w:val="both"/>
        <w:rPr>
          <w:rFonts w:ascii="Segoe UI" w:hAnsi="Segoe UI" w:cs="Segoe UI"/>
          <w:color w:val="000000"/>
          <w:spacing w:val="2"/>
          <w:shd w:val="clear" w:color="auto" w:fill="FFFFFF"/>
        </w:rPr>
      </w:pPr>
      <w:r w:rsidRPr="00862FEC">
        <w:rPr>
          <w:rFonts w:ascii="Times New Roman" w:hAnsi="Times New Roman"/>
          <w:sz w:val="24"/>
          <w:szCs w:val="24"/>
          <w:lang w:val="lt-LT"/>
        </w:rPr>
        <w:t xml:space="preserve">Pranešame, kad </w:t>
      </w:r>
      <w:r w:rsidR="00862FEC">
        <w:rPr>
          <w:rFonts w:ascii="Times New Roman" w:hAnsi="Times New Roman"/>
          <w:sz w:val="24"/>
          <w:szCs w:val="24"/>
          <w:lang w:val="lt-LT"/>
        </w:rPr>
        <w:t xml:space="preserve">VšĮ </w:t>
      </w:r>
      <w:r w:rsidRPr="00862FEC">
        <w:rPr>
          <w:rFonts w:ascii="Times New Roman" w:hAnsi="Times New Roman"/>
          <w:sz w:val="24"/>
          <w:szCs w:val="24"/>
          <w:lang w:val="lt-LT"/>
        </w:rPr>
        <w:t xml:space="preserve">LSMU Kauno ligoninė </w:t>
      </w:r>
      <w:r w:rsidR="00862FEC" w:rsidRPr="00862FEC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pasirengimo </w:t>
      </w:r>
      <w:r w:rsidR="00862FEC" w:rsidRPr="00023440">
        <w:rPr>
          <w:rFonts w:ascii="Times New Roman" w:hAnsi="Times New Roman"/>
          <w:sz w:val="24"/>
          <w:szCs w:val="24"/>
          <w:lang w:val="lt-LT"/>
        </w:rPr>
        <w:t>„</w:t>
      </w:r>
      <w:r w:rsidR="0084059C" w:rsidRPr="0084059C">
        <w:rPr>
          <w:rFonts w:ascii="Times New Roman" w:eastAsia="LiberationSerif-Bold" w:hAnsi="Times New Roman"/>
          <w:b/>
          <w:bCs/>
          <w:kern w:val="0"/>
          <w:sz w:val="24"/>
          <w:szCs w:val="24"/>
          <w:lang w:val="lt-LT"/>
        </w:rPr>
        <w:t>Ultragarsinės diagnostikos sistema</w:t>
      </w:r>
      <w:r w:rsidR="00862FEC" w:rsidRPr="00862FEC">
        <w:rPr>
          <w:rFonts w:ascii="Times New Roman" w:hAnsi="Times New Roman"/>
          <w:color w:val="333333"/>
          <w:sz w:val="24"/>
          <w:szCs w:val="24"/>
          <w:shd w:val="clear" w:color="auto" w:fill="FFFFFF"/>
          <w:lang w:val="lt-LT"/>
        </w:rPr>
        <w:t xml:space="preserve">” </w:t>
      </w:r>
      <w:r w:rsidR="00862FEC" w:rsidRPr="00862FEC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pirkimui metu prašė suteikti ir siekė gauti nepriklausomų ekspertų, institucijų ar</w:t>
      </w:r>
      <w:r w:rsidR="00BD623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ba rinkos dalyvių konsultacijas</w:t>
      </w:r>
      <w:r w:rsidRPr="00862F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BD6230" w:rsidRPr="00BD6230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iki pirkimo pradžios.</w:t>
      </w:r>
    </w:p>
    <w:p w14:paraId="03269C59" w14:textId="77777777" w:rsidR="00E9668A" w:rsidRDefault="00980BE3" w:rsidP="00E9668A">
      <w:pPr>
        <w:spacing w:line="36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9E0AE3">
        <w:rPr>
          <w:rFonts w:ascii="Times New Roman" w:hAnsi="Times New Roman"/>
          <w:color w:val="000000"/>
          <w:spacing w:val="2"/>
          <w:sz w:val="24"/>
          <w:szCs w:val="24"/>
          <w:shd w:val="clear" w:color="auto" w:fill="FFFFFF"/>
          <w:lang w:val="lt-LT"/>
        </w:rPr>
        <w:t>Rinkos dalyviai</w:t>
      </w:r>
      <w:r>
        <w:rPr>
          <w:rFonts w:ascii="Segoe UI" w:hAnsi="Segoe UI" w:cs="Segoe UI"/>
          <w:color w:val="000000"/>
          <w:spacing w:val="2"/>
          <w:shd w:val="clear" w:color="auto" w:fill="FFFFFF"/>
        </w:rPr>
        <w:t xml:space="preserve"> </w:t>
      </w:r>
      <w:r w:rsidR="003322E0" w:rsidRPr="00862FEC">
        <w:rPr>
          <w:rFonts w:ascii="Times New Roman" w:hAnsi="Times New Roman"/>
          <w:sz w:val="24"/>
          <w:szCs w:val="24"/>
          <w:lang w:val="lt-LT"/>
        </w:rPr>
        <w:t>pateik</w:t>
      </w:r>
      <w:r w:rsidR="009E0AE3">
        <w:rPr>
          <w:rFonts w:ascii="Times New Roman" w:hAnsi="Times New Roman"/>
          <w:sz w:val="24"/>
          <w:szCs w:val="24"/>
          <w:lang w:val="lt-LT"/>
        </w:rPr>
        <w:t xml:space="preserve">ė pasiūlymus, pastabas </w:t>
      </w:r>
    </w:p>
    <w:tbl>
      <w:tblPr>
        <w:tblW w:w="9502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4358"/>
        <w:gridCol w:w="4050"/>
      </w:tblGrid>
      <w:tr w:rsidR="0084059C" w:rsidRPr="0084059C" w14:paraId="70B58CF3" w14:textId="77777777" w:rsidTr="000924D5">
        <w:trPr>
          <w:trHeight w:val="67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0031B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092A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Klausimas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04861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Tiekėjo nuomonė</w:t>
            </w:r>
          </w:p>
        </w:tc>
      </w:tr>
      <w:tr w:rsidR="0084059C" w:rsidRPr="0084059C" w14:paraId="26B7A947" w14:textId="77777777" w:rsidTr="000924D5">
        <w:trPr>
          <w:trHeight w:val="47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2CB3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8DAEB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42534801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E3804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Taip, sąlygos yra aiškios.</w:t>
            </w:r>
          </w:p>
        </w:tc>
      </w:tr>
      <w:tr w:rsidR="0084059C" w:rsidRPr="0084059C" w14:paraId="6FB40E30" w14:textId="77777777" w:rsidTr="000924D5">
        <w:trPr>
          <w:trHeight w:val="47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5C8A1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2.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BF67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/>
              </w:rPr>
              <w:t>Kokius, Jūsų nuomone, papildomus reikalavimus perkamam objektui būtų tikslinga įrašyti techninėje specifikacijoje (kurie iš jų yra būtini, kurie tik pageidaujami)? Kokius reikalavimus perkamam objektui būtų tikslinga išbraukti iš techninės specifikacijos?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19015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Naikinti, reikalavimą. Kadangi riboja konkurencingumą:</w:t>
            </w:r>
          </w:p>
          <w:p w14:paraId="04D16248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1.1.12. 4. Automatinis mėginio padėties ir kampo nustatymas spalvinio doplerio režime vieno mygtuko paspaudimu; 5. Automatinis mėginio padėties ir kampo nustatymas pulsinio doplerio režime vieno mygtuko paspaudimu.</w:t>
            </w:r>
          </w:p>
        </w:tc>
      </w:tr>
      <w:tr w:rsidR="0084059C" w:rsidRPr="0084059C" w14:paraId="00481EB4" w14:textId="77777777" w:rsidTr="000924D5">
        <w:trPr>
          <w:trHeight w:val="45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9143D1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3.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96D9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EC838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1.1.7. Bendrasis dinaminis diapazonas ≥ 355 dB</w:t>
            </w:r>
          </w:p>
          <w:p w14:paraId="79F3C775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Keisti į:</w:t>
            </w:r>
          </w:p>
          <w:p w14:paraId="1837DFC6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1.1.7. Bendrasis dinaminis diapazonas ≥ 320 dB</w:t>
            </w:r>
          </w:p>
          <w:p w14:paraId="3290639B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*Šiuo metu rinkoje esančių modernių echoskopų tipinis dinaminis diapazonas dažnai neviršija 320 dB. Reikalavimas </w:t>
            </w: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≥ 355 dB yra per aukštas ir dirbtinai riboja konkurenciją, nes tik labai ribotas skaičius įrenginių gali jį pasiekti.</w:t>
            </w:r>
          </w:p>
          <w:p w14:paraId="6849FF62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79D736C7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1.1.11. Maksimalus pulsų dažnis spalvinio ir spektrinio doplerio režimuose ≥ 30 kHz</w:t>
            </w:r>
          </w:p>
          <w:p w14:paraId="505D6AE0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Keisti į:</w:t>
            </w:r>
          </w:p>
          <w:p w14:paraId="2AD9F382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1.1.11. Maksimalus pulsų dažnis spalvinio doplerio režime ≥ 19.5 kHz ir spektrinio doplerio režime ≥ 30 kHz</w:t>
            </w:r>
          </w:p>
          <w:p w14:paraId="065F9DCB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*Spalvinis ir spektrinis Dopleris atlieka skirtingas užduotis. </w:t>
            </w:r>
          </w:p>
          <w:p w14:paraId="1D3526E0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B2126B6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1.1.19. Konveksinis daviklis: 1. Dažnių diapazonas ne siauresnis nei (1,0 – 5,0) MHz</w:t>
            </w:r>
          </w:p>
          <w:p w14:paraId="61D6C498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Siūlome keisti, kadangi ribojamas konkurencigumas į:</w:t>
            </w:r>
          </w:p>
          <w:p w14:paraId="0740E911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1.1.19. Konveksinis daviklis: 1. Dažnių diapazonas ne siauresnis nei (2,0 – 5,0) MHz</w:t>
            </w:r>
          </w:p>
          <w:p w14:paraId="6039EF97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29A95976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1.1.20. Linijinis daviklis: 3. Elementų skaičius ≥ 960;</w:t>
            </w:r>
          </w:p>
          <w:p w14:paraId="60D9C308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Siūlome keisti, kadangi ribojamas konkurencigumas į:</w:t>
            </w:r>
          </w:p>
          <w:p w14:paraId="1D1BE878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1.1.20. Linijinis daviklis: 3. Elementų skaičius ≥ 256;</w:t>
            </w:r>
          </w:p>
          <w:p w14:paraId="52B1FFE9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1B36FF4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1.1.21. Linijinis daviklis: 2. Apžvalgos laukas ≤ 28 mm;</w:t>
            </w:r>
          </w:p>
          <w:p w14:paraId="2BDAA31B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Siūlome keisti, kadangi ribojamas konkurencigumas į:</w:t>
            </w:r>
          </w:p>
          <w:p w14:paraId="7DB016E0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1.1.21. Linijinis daviklis: 2. Apžvalgos laukas ≤ 39 mm;</w:t>
            </w:r>
          </w:p>
          <w:p w14:paraId="676A87EF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7CEDBFB3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Naikinti, reikalavimą. Kadangi riboja konkurencingumą:</w:t>
            </w:r>
          </w:p>
          <w:p w14:paraId="47E03B1A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1.1.12. 4. Automatinis mėginio padėties ir kampo nustatymas spalvinio doplerio režime vieno mygtuko paspaudimu; 5. Automatinis mėginio padėties ir kampo nustatymas pulsinio doplerio režime vieno mygtuko paspaudimu.</w:t>
            </w:r>
          </w:p>
        </w:tc>
      </w:tr>
      <w:tr w:rsidR="0084059C" w:rsidRPr="0084059C" w14:paraId="4AFA61B7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E9317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t>4.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DBFEF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Kokias numatote galimas rizikas dėl būsimos sutarties vykdymo?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0F3D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</w:p>
        </w:tc>
      </w:tr>
      <w:tr w:rsidR="0084059C" w:rsidRPr="0084059C" w14:paraId="7216076A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3790F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5.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E42F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9873C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</w:p>
        </w:tc>
      </w:tr>
      <w:tr w:rsidR="0084059C" w:rsidRPr="0084059C" w14:paraId="598D4E3F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75D86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6.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CCCC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Kokia būtų preliminari techninėje specifikacijoje nurodytų paslaugų kaina? (Jūsų pateikti įkainiai / kaina nelaikytini pasiūlymu ir bus naudojami tik rinkos tyrimo tikslais, siekiant tinkamai pasirengti būsimam pirkimui)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9642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  <w:tr w:rsidR="0084059C" w:rsidRPr="0084059C" w14:paraId="68E23019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FB2C9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7.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A9214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Ar turite pastabų pasiūlymų vertinimo projektui? (jeigu teikiamas)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C090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</w:p>
        </w:tc>
      </w:tr>
      <w:tr w:rsidR="0084059C" w:rsidRPr="0084059C" w14:paraId="6E438D21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C1C7A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8.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55A8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Ar turite pastabų kvalifikacinių reikalavimų projektui?  (jeigu teikiamas)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BFA2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</w:p>
        </w:tc>
      </w:tr>
      <w:tr w:rsidR="0084059C" w:rsidRPr="0084059C" w14:paraId="793909B1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A1EAE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9.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BE12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Ar turite pastabų sutarties projektui? (jei teikiamas)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38F9B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</w:p>
        </w:tc>
      </w:tr>
      <w:tr w:rsidR="0084059C" w:rsidRPr="0084059C" w14:paraId="72E00944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5CA15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...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647FE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Kitos tiekėjo pastabos ir (ar) pasiūlymai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B63C" w14:textId="77777777" w:rsidR="0084059C" w:rsidRPr="0084059C" w:rsidRDefault="0084059C" w:rsidP="0084059C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4059C">
              <w:rPr>
                <w:rFonts w:ascii="Times New Roman" w:hAnsi="Times New Roman"/>
                <w:sz w:val="24"/>
                <w:szCs w:val="24"/>
                <w:lang w:val="lt-LT" w:eastAsia="lt-LT"/>
              </w:rPr>
              <w:t>-</w:t>
            </w:r>
          </w:p>
        </w:tc>
      </w:tr>
    </w:tbl>
    <w:p w14:paraId="74BB762E" w14:textId="6D979F63" w:rsidR="007D54DA" w:rsidRDefault="007D54DA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</w:p>
    <w:p w14:paraId="2D2ADBBC" w14:textId="61154FB9" w:rsidR="007D54DA" w:rsidRDefault="007D54DA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</w:p>
    <w:tbl>
      <w:tblPr>
        <w:tblW w:w="9502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4358"/>
        <w:gridCol w:w="4050"/>
      </w:tblGrid>
      <w:tr w:rsidR="0084059C" w:rsidRPr="00197D97" w14:paraId="2A17F5C3" w14:textId="77777777" w:rsidTr="000924D5">
        <w:trPr>
          <w:trHeight w:val="67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D41B" w14:textId="77777777" w:rsidR="0084059C" w:rsidRPr="00197D97" w:rsidRDefault="0084059C" w:rsidP="000924D5">
            <w:pPr>
              <w:tabs>
                <w:tab w:val="left" w:pos="324"/>
              </w:tabs>
              <w:ind w:right="540"/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lastRenderedPageBreak/>
              <w:t>Eil. Nr.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EE11" w14:textId="77777777" w:rsidR="0084059C" w:rsidRPr="00197D97" w:rsidRDefault="0084059C" w:rsidP="000924D5">
            <w:pPr>
              <w:jc w:val="center"/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Klausimas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EF58" w14:textId="77777777" w:rsidR="0084059C" w:rsidRPr="00197D97" w:rsidRDefault="0084059C" w:rsidP="000924D5">
            <w:pPr>
              <w:jc w:val="center"/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Tiekėjo nuomonė</w:t>
            </w:r>
          </w:p>
        </w:tc>
      </w:tr>
      <w:tr w:rsidR="0084059C" w:rsidRPr="00197D97" w14:paraId="71D0D6A3" w14:textId="77777777" w:rsidTr="000924D5">
        <w:trPr>
          <w:trHeight w:val="47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BF7CD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1.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7BFE" w14:textId="77777777" w:rsidR="0084059C" w:rsidRPr="00197D97" w:rsidRDefault="0084059C" w:rsidP="000924D5">
            <w:pPr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 xml:space="preserve">Ar techninėje specifikacijoje nurodyti reikalavimai ir sąlygos yra priimtinos ir aiškios, ar teiktumėte pasiūlymą dėl šio pirkimo objekto? </w:t>
            </w:r>
          </w:p>
          <w:p w14:paraId="4A079750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i/>
                <w:lang w:val="lt-LT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C250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Techninėje specifikacijoje nurodyti reikalavimai ir sąlygos yra priimtini ir aiškūs. UAB „Ekstrameda“ yra potencialus pirkimo dalyvis ir ketina teikti pasiūlymą dėl šio pirkimo objekto.</w:t>
            </w:r>
          </w:p>
          <w:p w14:paraId="08DF4045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</w:p>
          <w:p w14:paraId="77B15C4C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Žemiau pateikiame pastabas dėl techninės specifikacijos projekto, kurios nėra ribojančios pirkimo dalyvių konkurencijos, tačiau suteiktų papildomą klinikinę ir ekonominę vertę perkančiajai organizacijai:</w:t>
            </w:r>
          </w:p>
          <w:p w14:paraId="6A2EC984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Techninės specifikacijos P.1.1.21. reikalaujamo linijinio daviklio parametrai galėtų būti koreguoti, kad P.O. įsigytų modernesnį ir pranašesnį daviklį pagal tai, kas šiuo metu siūloma rinkoje (Philips „</w:t>
            </w: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mL26-8</w:t>
            </w:r>
            <w:r w:rsidRPr="00197D97">
              <w:rPr>
                <w:rFonts w:ascii="Times New Roman" w:hAnsi="Times New Roman"/>
                <w:lang w:val="lt-LT" w:eastAsia="lt-LT"/>
              </w:rPr>
              <w:t>“; General Electric „</w:t>
            </w: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L6-24-D</w:t>
            </w:r>
            <w:r w:rsidRPr="00197D97">
              <w:rPr>
                <w:rFonts w:ascii="Times New Roman" w:hAnsi="Times New Roman"/>
                <w:lang w:val="lt-LT" w:eastAsia="lt-LT"/>
              </w:rPr>
              <w:t>“; Siemens „</w:t>
            </w: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18H6</w:t>
            </w:r>
            <w:r w:rsidRPr="00197D97">
              <w:rPr>
                <w:rFonts w:ascii="Times New Roman" w:hAnsi="Times New Roman"/>
                <w:lang w:val="lt-LT" w:eastAsia="lt-LT"/>
              </w:rPr>
              <w:t>“).</w:t>
            </w:r>
          </w:p>
          <w:p w14:paraId="1FF5BB2D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 xml:space="preserve">1) Ne mažiau kaip trys gamintojai gali pasiūlyti linijinį daviklį, kurio dažnių diapazonas yra ne mažiau kaip </w:t>
            </w: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nuo 8 iki 20 MHz</w:t>
            </w:r>
            <w:r w:rsidRPr="00197D97">
              <w:rPr>
                <w:rFonts w:ascii="Times New Roman" w:hAnsi="Times New Roman"/>
                <w:lang w:val="lt-LT" w:eastAsia="lt-LT"/>
              </w:rPr>
              <w:t>. Aukštesnė viršutinė dažnio riba lemia geresnės kokybės skenuojamo paviršiaus vaizdo rekonstrukciją kraujagyslių ir MSK tyrimams.</w:t>
            </w:r>
          </w:p>
          <w:p w14:paraId="311A683E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 xml:space="preserve">2) Kad būtų užtikrinta gamintojų konkurenciją pagal siūlomo linijinio daviklio parametrus, prašome pralaisvinti apžvalgos lauką iki </w:t>
            </w: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≤ 29 mm</w:t>
            </w:r>
            <w:r w:rsidRPr="00197D97">
              <w:rPr>
                <w:rFonts w:ascii="Times New Roman" w:hAnsi="Times New Roman"/>
                <w:lang w:val="lt-LT" w:eastAsia="lt-LT"/>
              </w:rPr>
              <w:t>.</w:t>
            </w:r>
          </w:p>
          <w:p w14:paraId="5D1DE385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 xml:space="preserve">3) Ne mažiau kaip trys gamintojai gali pasiūlyti aukšto dažnio ir mažo apžvalgos lauko linijinius daviklius, su </w:t>
            </w:r>
            <w:r w:rsidRPr="00197D97">
              <w:rPr>
                <w:rFonts w:ascii="Times New Roman" w:hAnsi="Times New Roman"/>
                <w:b/>
                <w:bCs/>
                <w:lang w:val="lt-LT" w:eastAsia="lt-LT"/>
              </w:rPr>
              <w:t>192 elementais</w:t>
            </w:r>
            <w:r w:rsidRPr="00197D97">
              <w:rPr>
                <w:rFonts w:ascii="Times New Roman" w:hAnsi="Times New Roman"/>
                <w:lang w:val="lt-LT" w:eastAsia="lt-LT"/>
              </w:rPr>
              <w:t>. Daviklio elementais yra perduodama ultragarsinio signalo informacija, todėl davikliais su daugiau elementų rekonstruojamas didesnės raiškos UG vaizdas.</w:t>
            </w:r>
          </w:p>
          <w:p w14:paraId="5EAE4CB7" w14:textId="77777777" w:rsidR="0084059C" w:rsidRPr="00197D97" w:rsidRDefault="0084059C" w:rsidP="000924D5">
            <w:pPr>
              <w:rPr>
                <w:rFonts w:ascii="Times New Roman" w:hAnsi="Times New Roman"/>
                <w:color w:val="0070C0"/>
                <w:lang w:val="lt-LT" w:eastAsia="lt-LT"/>
              </w:rPr>
            </w:pPr>
            <w:r w:rsidRPr="00197D97">
              <w:rPr>
                <w:rFonts w:ascii="Times New Roman" w:hAnsi="Times New Roman"/>
                <w:color w:val="0070C0"/>
                <w:lang w:val="lt-LT" w:eastAsia="lt-LT"/>
              </w:rPr>
              <w:t xml:space="preserve">Todėl prašome P.1.1.21. keisti sekančiai: </w:t>
            </w:r>
          </w:p>
          <w:p w14:paraId="5FC1FBCB" w14:textId="77777777" w:rsidR="0084059C" w:rsidRPr="00197D97" w:rsidRDefault="0084059C" w:rsidP="000924D5">
            <w:pPr>
              <w:rPr>
                <w:rFonts w:ascii="Times New Roman" w:hAnsi="Times New Roman"/>
                <w:color w:val="0070C0"/>
                <w:lang w:val="lt-LT" w:eastAsia="lt-LT"/>
              </w:rPr>
            </w:pPr>
            <w:r w:rsidRPr="00197D97">
              <w:rPr>
                <w:rFonts w:ascii="Times New Roman" w:hAnsi="Times New Roman"/>
                <w:color w:val="0070C0"/>
                <w:lang w:val="lt-LT" w:eastAsia="lt-LT"/>
              </w:rPr>
              <w:t xml:space="preserve">„Linijinis daviklis: </w:t>
            </w:r>
          </w:p>
          <w:p w14:paraId="2FE5897E" w14:textId="77777777" w:rsidR="0084059C" w:rsidRPr="00197D97" w:rsidRDefault="0084059C" w:rsidP="000924D5">
            <w:pPr>
              <w:rPr>
                <w:rFonts w:ascii="Times New Roman" w:hAnsi="Times New Roman"/>
                <w:color w:val="0070C0"/>
                <w:lang w:val="lt-LT" w:eastAsia="lt-LT"/>
              </w:rPr>
            </w:pPr>
            <w:r w:rsidRPr="00197D97">
              <w:rPr>
                <w:rFonts w:ascii="Times New Roman" w:hAnsi="Times New Roman"/>
                <w:color w:val="0070C0"/>
                <w:lang w:val="lt-LT" w:eastAsia="lt-LT"/>
              </w:rPr>
              <w:lastRenderedPageBreak/>
              <w:t>1. Dažnio diapazonas (ne siauresnis už nurodytą) – nuo 8 iki 20 MHz;</w:t>
            </w:r>
          </w:p>
          <w:p w14:paraId="13D86C16" w14:textId="77777777" w:rsidR="0084059C" w:rsidRPr="00197D97" w:rsidRDefault="0084059C" w:rsidP="000924D5">
            <w:pPr>
              <w:rPr>
                <w:rFonts w:ascii="Times New Roman" w:hAnsi="Times New Roman"/>
                <w:color w:val="0070C0"/>
                <w:lang w:val="lt-LT" w:eastAsia="lt-LT"/>
              </w:rPr>
            </w:pPr>
            <w:r w:rsidRPr="00197D97">
              <w:rPr>
                <w:rFonts w:ascii="Times New Roman" w:hAnsi="Times New Roman"/>
                <w:color w:val="0070C0"/>
                <w:lang w:val="lt-LT" w:eastAsia="lt-LT"/>
              </w:rPr>
              <w:t>2. Apžvalgos laukas ≤ 29 mm;</w:t>
            </w:r>
          </w:p>
          <w:p w14:paraId="70B73C24" w14:textId="77777777" w:rsidR="0084059C" w:rsidRPr="00197D97" w:rsidRDefault="0084059C" w:rsidP="000924D5">
            <w:pPr>
              <w:rPr>
                <w:rFonts w:ascii="Times New Roman" w:hAnsi="Times New Roman"/>
                <w:color w:val="0070C0"/>
                <w:lang w:val="lt-LT" w:eastAsia="lt-LT"/>
              </w:rPr>
            </w:pPr>
            <w:r w:rsidRPr="00197D97">
              <w:rPr>
                <w:rFonts w:ascii="Times New Roman" w:hAnsi="Times New Roman"/>
                <w:color w:val="0070C0"/>
                <w:lang w:val="lt-LT" w:eastAsia="lt-LT"/>
              </w:rPr>
              <w:t>3. Elementų skaičius ≥ 192.“</w:t>
            </w:r>
          </w:p>
          <w:p w14:paraId="408B1B1A" w14:textId="77777777" w:rsidR="0084059C" w:rsidRPr="00197D97" w:rsidRDefault="0084059C" w:rsidP="000924D5">
            <w:pPr>
              <w:rPr>
                <w:rFonts w:ascii="Times New Roman" w:hAnsi="Times New Roman"/>
                <w:color w:val="0070C0"/>
                <w:lang w:val="lt-LT" w:eastAsia="lt-LT"/>
              </w:rPr>
            </w:pPr>
          </w:p>
          <w:p w14:paraId="339B8F2F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</w:p>
        </w:tc>
      </w:tr>
      <w:tr w:rsidR="0084059C" w:rsidRPr="00197D97" w14:paraId="728EB739" w14:textId="77777777" w:rsidTr="000924D5">
        <w:trPr>
          <w:trHeight w:val="479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71FE0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lastRenderedPageBreak/>
              <w:t>2.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CD89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lang w:val="lt-LT"/>
              </w:rPr>
              <w:t>Kokius, Jūsų nuomone, papildomus reikalavimus perkamam objektui būtų tikslinga įrašyti techninėje specifikacijoje (kurie iš jų yra būtini, kurie tik pageidaujami)? Kokius reikalavimus perkamam objektui būtų tikslinga išbraukti iš techninės specifikacijos?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FCFAB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-</w:t>
            </w:r>
          </w:p>
        </w:tc>
      </w:tr>
      <w:tr w:rsidR="0084059C" w:rsidRPr="00197D97" w14:paraId="32802921" w14:textId="77777777" w:rsidTr="000924D5">
        <w:trPr>
          <w:trHeight w:val="452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7F952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3.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4A31D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lang w:val="lt-LT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980D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-</w:t>
            </w:r>
          </w:p>
        </w:tc>
      </w:tr>
      <w:tr w:rsidR="0084059C" w:rsidRPr="00197D97" w14:paraId="594B6446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69ADF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4.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04C94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Kokias numatote galimas rizikas dėl būsimos sutarties vykdymo?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6B571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-</w:t>
            </w:r>
          </w:p>
        </w:tc>
      </w:tr>
      <w:tr w:rsidR="0084059C" w:rsidRPr="00197D97" w14:paraId="7A944A99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2C26C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5.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7FC7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Ar turite kitų pastabų dėl techninėje specifikacijoje nurodytų reikalavimų. Jeigu taip, prašome nurodyti punktus ir pastabas.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C743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-</w:t>
            </w:r>
          </w:p>
        </w:tc>
      </w:tr>
      <w:tr w:rsidR="0084059C" w:rsidRPr="00197D97" w14:paraId="0A90F867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EDA20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6.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D1EB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Kokia būtų preliminari techninėje specifikacijoje nurodytų paslaugų kaina? (Jūsų pateikti įkainiai / kaina nelaikytini pasiūlymu ir bus naudojami tik rinkos tyrimo tikslais, siekiant tinkamai pasirengti būsimam pirkimui)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C0B79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</w:p>
        </w:tc>
      </w:tr>
      <w:tr w:rsidR="0084059C" w:rsidRPr="00197D97" w14:paraId="6AB7FB51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639EB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7.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8D68B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Ar turite pastabų pasiūlymų vertinimo projektui? (jeigu teikiamas)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B7B2C" w14:textId="77777777" w:rsidR="0084059C" w:rsidRPr="00197D97" w:rsidRDefault="0084059C" w:rsidP="000924D5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97D97">
              <w:rPr>
                <w:sz w:val="22"/>
                <w:szCs w:val="22"/>
                <w:lang w:val="lt-LT"/>
              </w:rPr>
              <w:t xml:space="preserve">Pasiūlymo vertinimo kriterijų lentelėje techninis reikalavimas Nr. T4 </w:t>
            </w:r>
            <w:r w:rsidRPr="00197D97">
              <w:rPr>
                <w:color w:val="auto"/>
                <w:sz w:val="22"/>
                <w:szCs w:val="22"/>
                <w:lang w:val="lt-LT"/>
              </w:rPr>
              <w:t>„</w:t>
            </w:r>
            <w:r w:rsidRPr="00197D97">
              <w:rPr>
                <w:i/>
                <w:iCs/>
                <w:color w:val="auto"/>
                <w:sz w:val="22"/>
                <w:szCs w:val="22"/>
                <w:lang w:val="lt-LT"/>
              </w:rPr>
              <w:t>Tūrinio fotorealistinio vaizdo manipuliavimas su galimybe keisti šviesos šaltinio poziciją, atlikus tūrinio vaizdo pasukimą.</w:t>
            </w:r>
            <w:r w:rsidRPr="00197D97">
              <w:rPr>
                <w:color w:val="auto"/>
                <w:sz w:val="22"/>
                <w:szCs w:val="22"/>
                <w:lang w:val="lt-LT"/>
              </w:rPr>
              <w:t>“ apibūdina trimačio vaizdo manipuliavimo funkciją. Tokios programinės įrangos įsigijimas yra ekonomiškai naudingas, tačiau pagal techninės specifikacijos visumą galimai nebus panaudotas praktikoje. Techninėje specifikacijoje nenumatyti 3D/4D tyrimai ir skenavimą 3D/4D režimu palaikantis daviklis.</w:t>
            </w:r>
          </w:p>
          <w:p w14:paraId="21011762" w14:textId="77777777" w:rsidR="0084059C" w:rsidRPr="00197D97" w:rsidRDefault="0084059C" w:rsidP="000924D5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97D97">
              <w:rPr>
                <w:color w:val="auto"/>
                <w:sz w:val="22"/>
                <w:szCs w:val="22"/>
                <w:lang w:val="lt-LT"/>
              </w:rPr>
              <w:t xml:space="preserve">Todėl alternatyviai siūlome kraujagyslių tyrimams skirtą programinę įrangą, kuri </w:t>
            </w:r>
            <w:r w:rsidRPr="00197D97">
              <w:rPr>
                <w:color w:val="auto"/>
                <w:sz w:val="22"/>
                <w:szCs w:val="22"/>
                <w:lang w:val="lt-LT"/>
              </w:rPr>
              <w:lastRenderedPageBreak/>
              <w:t>gali būti naudojama su specifikacijoje aprašytais davikliais ir leis tiksliau įvertinti kraujotakos srautą smulkiose kraujagyslėse.</w:t>
            </w:r>
          </w:p>
          <w:p w14:paraId="41EAE09F" w14:textId="77777777" w:rsidR="0084059C" w:rsidRPr="00197D97" w:rsidRDefault="0084059C" w:rsidP="000924D5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97D97">
              <w:rPr>
                <w:color w:val="0070C0"/>
                <w:sz w:val="22"/>
                <w:szCs w:val="22"/>
                <w:lang w:val="lt-LT"/>
              </w:rPr>
              <w:t xml:space="preserve">Prašome kriterijų Nr. T4 keisti sekančiai: </w:t>
            </w:r>
            <w:r w:rsidRPr="00197D97">
              <w:rPr>
                <w:color w:val="auto"/>
                <w:sz w:val="22"/>
                <w:szCs w:val="22"/>
                <w:lang w:val="lt-LT"/>
              </w:rPr>
              <w:t>„</w:t>
            </w:r>
            <w:r w:rsidRPr="00197D97">
              <w:rPr>
                <w:color w:val="0070C0"/>
                <w:sz w:val="22"/>
                <w:szCs w:val="22"/>
                <w:lang w:val="lt-LT"/>
              </w:rPr>
              <w:t>Specializuota programa, skirta itin mažo srauto mikro kraujagyslėms, kurios kadrų dažnis ne mažesnis kaip 60 kadrų per sekundę, o mažiausia kraujo srauto aptikimo riba - ne didesnė kaip 0,3 cm/s.</w:t>
            </w:r>
            <w:r w:rsidRPr="00197D97">
              <w:rPr>
                <w:color w:val="auto"/>
                <w:sz w:val="22"/>
                <w:szCs w:val="22"/>
                <w:lang w:val="lt-LT"/>
              </w:rPr>
              <w:t>“</w:t>
            </w:r>
          </w:p>
        </w:tc>
      </w:tr>
      <w:tr w:rsidR="0084059C" w:rsidRPr="00197D97" w14:paraId="6D031963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13E2D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lastRenderedPageBreak/>
              <w:t>8.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FF78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Ar turite pastabų kvalifikacinių reikalavimų projektui?  (jeigu teikiamas)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5E21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-</w:t>
            </w:r>
          </w:p>
        </w:tc>
      </w:tr>
      <w:tr w:rsidR="0084059C" w:rsidRPr="00197D97" w14:paraId="70D6F5B2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1DF7B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center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9.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368C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Ar turite pastabų sutarties projektui? (jei teikiamas)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44990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-</w:t>
            </w:r>
          </w:p>
        </w:tc>
      </w:tr>
      <w:tr w:rsidR="0084059C" w:rsidRPr="00197D97" w14:paraId="3D62289F" w14:textId="77777777" w:rsidTr="000924D5">
        <w:trPr>
          <w:trHeight w:val="531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AC72" w14:textId="77777777" w:rsidR="0084059C" w:rsidRPr="00197D97" w:rsidRDefault="0084059C" w:rsidP="000924D5">
            <w:pPr>
              <w:pStyle w:val="ListParagraph"/>
              <w:tabs>
                <w:tab w:val="left" w:pos="324"/>
              </w:tabs>
              <w:ind w:left="0" w:right="540"/>
              <w:contextualSpacing w:val="0"/>
              <w:jc w:val="both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...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051C6" w14:textId="77777777" w:rsidR="0084059C" w:rsidRPr="00197D97" w:rsidRDefault="0084059C" w:rsidP="000924D5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197D97">
              <w:rPr>
                <w:rFonts w:ascii="Times New Roman" w:hAnsi="Times New Roman"/>
                <w:lang w:val="lt-LT" w:eastAsia="lt-LT"/>
              </w:rPr>
              <w:t>Kitos tiekėjo pastabos ir (ar) pasiūlymai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1A42" w14:textId="77777777" w:rsidR="0084059C" w:rsidRPr="00197D97" w:rsidRDefault="0084059C" w:rsidP="000924D5">
            <w:pPr>
              <w:rPr>
                <w:rFonts w:ascii="Times New Roman" w:hAnsi="Times New Roman"/>
                <w:lang w:val="lt-LT" w:eastAsia="lt-LT"/>
              </w:rPr>
            </w:pPr>
          </w:p>
        </w:tc>
      </w:tr>
    </w:tbl>
    <w:p w14:paraId="09A053E9" w14:textId="79BD4302" w:rsidR="0084059C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</w:p>
    <w:p w14:paraId="60C23725" w14:textId="77777777" w:rsidR="0084059C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 w:rsidRPr="0084059C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Perkančioji organizacija siekia įsigyti ultragarso aparatą pagal aktualų poreikį, todėl buvo parengta techninė specifikacija orientuota į paslaugų spektrą, tyrimų kompleksiškumą. Perkančioji organizacija užtikrina, kad techninė specifikacija dirbtinai neriboja konkurencijos, parengta atsižvelgiant į Viešųjų pirkimų įstatymo reikalavimus. Pažymime, kad techninė specifikacija atitinka ne mažiau trijų skirtingų ultragarso diagnostikos sistemų gamintojų techninius parametrus pilna apimtimi vadovaujantis atliktu rinkos tyrimu.</w:t>
      </w:r>
    </w:p>
    <w:p w14:paraId="254B1AAF" w14:textId="77777777" w:rsidR="0084059C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 w:rsidRPr="0084059C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Tiekėjo siūlomi techninės specifikacijos pakeitimai 1.1.7, 1.1.11, 1.1.12.4, 1.1.12.5 orientuoti į žemesnės kategorijos įrangą, kuri riboja tyrimų progresą, įskaitant naujų metodų taikymą ortopedijos traumatologijos srityje;</w:t>
      </w:r>
    </w:p>
    <w:p w14:paraId="13AA19AB" w14:textId="77777777" w:rsidR="0084059C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 w:rsidRPr="0084059C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Tiekėjo siūlomi techninės specifikacijos pakeitimai 1.1.19.1, 1.1.20.3 orientuoti į prastesnių techninių savybių ultragarso daviklius, kurie turi įtakos aukštesnės kategorijos ultragarso aparatų diagnostinio vaizdo galimybėms;</w:t>
      </w:r>
    </w:p>
    <w:p w14:paraId="4592CD4D" w14:textId="611F9528" w:rsidR="0084059C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 w:rsidRPr="0084059C">
        <w:rPr>
          <w:rFonts w:ascii="Times New Roman" w:hAnsi="Times New Roman"/>
          <w:color w:val="2C363A"/>
          <w:sz w:val="24"/>
          <w:szCs w:val="24"/>
          <w:lang w:val="lt-LT"/>
        </w:rPr>
        <w:br/>
      </w:r>
      <w:r w:rsidRPr="0084059C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t>Tiekėjo siūlomi techninės specifikacijos  pakeitimai 1.1.21 priimtini, kadangi atliktos korekcijos turi įtakos sąnarių tyrimų efektyvumui.</w:t>
      </w:r>
    </w:p>
    <w:p w14:paraId="3D0C8BD9" w14:textId="274BAF27" w:rsidR="0084059C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r w:rsidRPr="0084059C"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  <w:lastRenderedPageBreak/>
        <w:t>Perkančioji organizacija atsižvelgdama į tiekėjo pastabą atsisako T4 kriterijaus ir atnaujina ekonomiškai naudingiausio (kainos ir kokybės santykio) pasiūlymo vertinimo kriterijus ir tvarką.</w:t>
      </w:r>
    </w:p>
    <w:p w14:paraId="1D8B3460" w14:textId="00650C1D" w:rsidR="0084059C" w:rsidRPr="00735D43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</w:p>
    <w:p w14:paraId="544797A0" w14:textId="77777777" w:rsidR="0084059C" w:rsidRPr="00735D43" w:rsidRDefault="0084059C" w:rsidP="0084059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b/>
          <w:bCs/>
          <w:sz w:val="24"/>
          <w:szCs w:val="24"/>
        </w:rPr>
        <w:t>EKONOMIŠKAI NAUDINGIAUSIO (KAINOS IR KOKYBĖS SANTYKIO)</w:t>
      </w:r>
    </w:p>
    <w:p w14:paraId="5990BDCC" w14:textId="77777777" w:rsidR="0084059C" w:rsidRPr="00735D43" w:rsidRDefault="0084059C" w:rsidP="0084059C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PASIŪLYMO VERTINIMO KRITERIJAI IR TVARKA</w:t>
      </w:r>
    </w:p>
    <w:p w14:paraId="20CE31CC" w14:textId="77777777" w:rsidR="0084059C" w:rsidRPr="00735D43" w:rsidRDefault="0084059C" w:rsidP="008405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Perkančioji organizacija pasiūlymus vertins pagal kainos ir kokybės santykio kriterijų. Numatytų vertinimo kriterijų lyginamieji svoriai:</w:t>
      </w:r>
    </w:p>
    <w:p w14:paraId="21592E29" w14:textId="77777777" w:rsidR="0084059C" w:rsidRPr="00735D43" w:rsidRDefault="0084059C" w:rsidP="008405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1) kaina (K) – 70;</w:t>
      </w:r>
    </w:p>
    <w:p w14:paraId="754CA692" w14:textId="77777777" w:rsidR="0084059C" w:rsidRPr="00735D43" w:rsidRDefault="0084059C" w:rsidP="008405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2) techniniai reikalavimai  (T) – 30;</w:t>
      </w:r>
    </w:p>
    <w:p w14:paraId="189F1A6A" w14:textId="77777777" w:rsidR="0084059C" w:rsidRPr="00735D43" w:rsidRDefault="0084059C" w:rsidP="008405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AC51339" w14:textId="77777777" w:rsidR="0084059C" w:rsidRPr="00735D43" w:rsidRDefault="0084059C" w:rsidP="008405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417"/>
        <w:gridCol w:w="1418"/>
        <w:gridCol w:w="2131"/>
      </w:tblGrid>
      <w:tr w:rsidR="0084059C" w:rsidRPr="00735D43" w14:paraId="512468C8" w14:textId="77777777" w:rsidTr="000924D5">
        <w:trPr>
          <w:trHeight w:val="846"/>
          <w:jc w:val="center"/>
        </w:trPr>
        <w:tc>
          <w:tcPr>
            <w:tcW w:w="7508" w:type="dxa"/>
            <w:gridSpan w:val="3"/>
            <w:shd w:val="clear" w:color="auto" w:fill="D9D9D9"/>
            <w:vAlign w:val="center"/>
          </w:tcPr>
          <w:p w14:paraId="657F4CD1" w14:textId="77777777" w:rsidR="0084059C" w:rsidRPr="00735D43" w:rsidRDefault="0084059C" w:rsidP="00092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FB2E955" w14:textId="77777777" w:rsidR="0084059C" w:rsidRPr="00735D43" w:rsidRDefault="0084059C" w:rsidP="000924D5">
            <w:pPr>
              <w:ind w:left="-14" w:right="-9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Parametro lyginamasis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6DAE41EF" w14:textId="77777777" w:rsidR="0084059C" w:rsidRPr="00735D43" w:rsidRDefault="0084059C" w:rsidP="000924D5">
            <w:pPr>
              <w:ind w:right="-12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Lyginamasis svoris ekonominio naudingumo įvertinime</w:t>
            </w:r>
          </w:p>
        </w:tc>
      </w:tr>
      <w:tr w:rsidR="0084059C" w:rsidRPr="00735D43" w14:paraId="6D06556E" w14:textId="77777777" w:rsidTr="000924D5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7CD49D57" w14:textId="77777777" w:rsidR="0084059C" w:rsidRPr="00735D43" w:rsidRDefault="0084059C" w:rsidP="000924D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Kaina (K)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3A506E6" w14:textId="77777777" w:rsidR="0084059C" w:rsidRPr="00735D43" w:rsidRDefault="0084059C" w:rsidP="00092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X=70</w:t>
            </w:r>
          </w:p>
        </w:tc>
      </w:tr>
      <w:tr w:rsidR="0084059C" w:rsidRPr="00735D43" w14:paraId="1029EEC5" w14:textId="77777777" w:rsidTr="000924D5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27085FCA" w14:textId="77777777" w:rsidR="0084059C" w:rsidRPr="00735D43" w:rsidRDefault="0084059C" w:rsidP="000924D5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Techniniai reikalavimai (T)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74F818F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Y=30</w:t>
            </w:r>
          </w:p>
        </w:tc>
      </w:tr>
      <w:tr w:rsidR="0084059C" w:rsidRPr="00735D43" w14:paraId="5B9BFA7F" w14:textId="77777777" w:rsidTr="000924D5">
        <w:trPr>
          <w:jc w:val="center"/>
        </w:trPr>
        <w:tc>
          <w:tcPr>
            <w:tcW w:w="568" w:type="dxa"/>
          </w:tcPr>
          <w:p w14:paraId="33B9A84D" w14:textId="77777777" w:rsidR="0084059C" w:rsidRPr="00735D43" w:rsidRDefault="0084059C" w:rsidP="000924D5">
            <w:pPr>
              <w:ind w:right="-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3" w:type="dxa"/>
            <w:vAlign w:val="center"/>
          </w:tcPr>
          <w:p w14:paraId="747A564E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Kriterijus</w:t>
            </w:r>
          </w:p>
        </w:tc>
        <w:tc>
          <w:tcPr>
            <w:tcW w:w="1417" w:type="dxa"/>
            <w:vAlign w:val="center"/>
          </w:tcPr>
          <w:p w14:paraId="144DE15B" w14:textId="77777777" w:rsidR="0084059C" w:rsidRPr="00735D43" w:rsidRDefault="0084059C" w:rsidP="000924D5">
            <w:pPr>
              <w:ind w:left="-110" w:right="-250" w:firstLine="11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Metodas</w:t>
            </w:r>
          </w:p>
        </w:tc>
        <w:tc>
          <w:tcPr>
            <w:tcW w:w="1418" w:type="dxa"/>
          </w:tcPr>
          <w:p w14:paraId="0ACB0CA5" w14:textId="77777777" w:rsidR="0084059C" w:rsidRPr="00735D43" w:rsidRDefault="0084059C" w:rsidP="00092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2AB0CC57" w14:textId="77777777" w:rsidR="0084059C" w:rsidRPr="00735D43" w:rsidRDefault="0084059C" w:rsidP="000924D5">
            <w:pPr>
              <w:spacing w:after="0"/>
              <w:ind w:right="-3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/>
                <w:sz w:val="24"/>
                <w:szCs w:val="24"/>
              </w:rPr>
              <w:t>Vertė</w:t>
            </w:r>
          </w:p>
        </w:tc>
      </w:tr>
      <w:tr w:rsidR="0084059C" w:rsidRPr="00735D43" w14:paraId="0A929788" w14:textId="77777777" w:rsidTr="000924D5">
        <w:trPr>
          <w:jc w:val="center"/>
        </w:trPr>
        <w:tc>
          <w:tcPr>
            <w:tcW w:w="568" w:type="dxa"/>
            <w:vAlign w:val="center"/>
          </w:tcPr>
          <w:p w14:paraId="09E5D2A0" w14:textId="77777777" w:rsidR="0084059C" w:rsidRPr="00735D43" w:rsidRDefault="0084059C" w:rsidP="000924D5">
            <w:pPr>
              <w:ind w:right="-8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50CDFA99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>Garantinio aptarnavimo terminas (mėn.)</w:t>
            </w:r>
          </w:p>
          <w:p w14:paraId="09139B73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>Garantijos laikotarpiu Tiekėjas teisės aktų nustatyta tvarka neatlygintinai:</w:t>
            </w:r>
          </w:p>
          <w:p w14:paraId="503F326A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 xml:space="preserve">1. atlieka prekės techninę priežiūrą (įskaitant techninei priežiūrai atlikti reikalingas detales ir/arba medžiagas); </w:t>
            </w:r>
          </w:p>
          <w:p w14:paraId="237DE9B8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 xml:space="preserve">2. atlieka garantijos sąlygas atitinkančių gedimų (jei jie nutiko naudojant įrangą pagal paskirtį, laikantis pateiktų instrukcijų bei nurodytų eksploatavimo sąlygų) šalinimą; </w:t>
            </w:r>
          </w:p>
          <w:p w14:paraId="307C102F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 xml:space="preserve">3. atlieka techninės būklės patikrinimus pagal gamintojo reikalavimus/rekomendacijas; </w:t>
            </w:r>
          </w:p>
          <w:p w14:paraId="2285BAD6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 xml:space="preserve">4. informuoja Pirkėją apie prevencinius veiksmus (jei tokių būtina imtis); </w:t>
            </w:r>
          </w:p>
          <w:p w14:paraId="7F5D5C76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>5. teikia Pirkėjui išsamias konsultacijas ir paaiškinimus;</w:t>
            </w:r>
          </w:p>
          <w:p w14:paraId="3BB107F7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 xml:space="preserve">6. gedimo atveju atvyksta remontuoti ne vėliau kaip per 24 (dvidešimt keturias) valandas nuo pranešimo apie prekės gedimą gavimo į nurodytą el. paštą; </w:t>
            </w:r>
          </w:p>
          <w:p w14:paraId="118B5431" w14:textId="77777777" w:rsidR="0084059C" w:rsidRPr="00735D43" w:rsidRDefault="0084059C" w:rsidP="000924D5">
            <w:pPr>
              <w:pStyle w:val="Default"/>
              <w:rPr>
                <w:lang w:val="lt-LT"/>
              </w:rPr>
            </w:pPr>
            <w:r w:rsidRPr="00735D43">
              <w:rPr>
                <w:lang w:val="lt-LT"/>
              </w:rPr>
              <w:t>7. kitus būtinus darbus ir/ar paslaugas, užtikrinant nepriekaištingą bei nepertraukiamą Prekių eksploataciją pagal taikytinus teisėtai galiojančius standartus.</w:t>
            </w:r>
          </w:p>
        </w:tc>
        <w:tc>
          <w:tcPr>
            <w:tcW w:w="1417" w:type="dxa"/>
            <w:vAlign w:val="center"/>
          </w:tcPr>
          <w:p w14:paraId="29299DE4" w14:textId="77777777" w:rsidR="0084059C" w:rsidRPr="00735D43" w:rsidRDefault="0084059C" w:rsidP="000924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Max - max balų, Min - 0 balų</w:t>
            </w:r>
          </w:p>
        </w:tc>
        <w:tc>
          <w:tcPr>
            <w:tcW w:w="1418" w:type="dxa"/>
            <w:vAlign w:val="center"/>
          </w:tcPr>
          <w:p w14:paraId="3C9AEF3F" w14:textId="77777777" w:rsidR="0084059C" w:rsidRPr="00735D43" w:rsidRDefault="0084059C" w:rsidP="000924D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 xml:space="preserve"> = 0,45</w:t>
            </w:r>
          </w:p>
        </w:tc>
        <w:tc>
          <w:tcPr>
            <w:tcW w:w="2131" w:type="dxa"/>
            <w:vAlign w:val="center"/>
          </w:tcPr>
          <w:p w14:paraId="1ED91F4D" w14:textId="77777777" w:rsidR="0084059C" w:rsidRPr="00735D43" w:rsidRDefault="0084059C" w:rsidP="000924D5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Cs/>
                <w:sz w:val="24"/>
                <w:szCs w:val="24"/>
              </w:rPr>
              <w:t>60 mėn. ir daugiau – 60 balai; 24 mėn. – 24 balai;</w:t>
            </w:r>
          </w:p>
        </w:tc>
      </w:tr>
      <w:tr w:rsidR="0084059C" w:rsidRPr="00735D43" w14:paraId="3135330D" w14:textId="77777777" w:rsidTr="000924D5">
        <w:trPr>
          <w:trHeight w:val="57"/>
          <w:jc w:val="center"/>
        </w:trPr>
        <w:tc>
          <w:tcPr>
            <w:tcW w:w="568" w:type="dxa"/>
            <w:vAlign w:val="center"/>
          </w:tcPr>
          <w:p w14:paraId="34CBE59E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D34B47F" w14:textId="77777777" w:rsidR="0084059C" w:rsidRPr="00735D43" w:rsidRDefault="0084059C" w:rsidP="000924D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35D43">
              <w:rPr>
                <w:rFonts w:ascii="Times New Roman" w:hAnsi="Times New Roman" w:cs="Times New Roman"/>
                <w:sz w:val="24"/>
                <w:szCs w:val="24"/>
              </w:rPr>
              <w:t>Komplektuojamo linijinio daviklio (TS 1.1.20 p.) elementų skaičius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9FD144D" w14:textId="77777777" w:rsidR="0084059C" w:rsidRPr="00735D43" w:rsidRDefault="0084059C" w:rsidP="000924D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 w:cs="Times New Roman"/>
                <w:sz w:val="24"/>
                <w:szCs w:val="24"/>
              </w:rPr>
              <w:t>Max - max balų, Min - 0 balų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008F3C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 xml:space="preserve"> = 0,15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5983D2A7" w14:textId="77777777" w:rsidR="0084059C" w:rsidRPr="00735D43" w:rsidRDefault="0084059C" w:rsidP="000924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bCs/>
                <w:sz w:val="24"/>
                <w:szCs w:val="24"/>
              </w:rPr>
              <w:t>1900 elementų ir daugiau – 1900 balų; 960 elementų – 960 balų;</w:t>
            </w:r>
          </w:p>
        </w:tc>
      </w:tr>
      <w:tr w:rsidR="0084059C" w:rsidRPr="00735D43" w14:paraId="39AC3332" w14:textId="77777777" w:rsidTr="000924D5">
        <w:trPr>
          <w:trHeight w:val="571"/>
          <w:jc w:val="center"/>
        </w:trPr>
        <w:tc>
          <w:tcPr>
            <w:tcW w:w="568" w:type="dxa"/>
            <w:vAlign w:val="center"/>
          </w:tcPr>
          <w:p w14:paraId="60F44027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154E0E7C" w14:textId="77777777" w:rsidR="0084059C" w:rsidRPr="00735D43" w:rsidRDefault="0084059C" w:rsidP="000924D5">
            <w:pPr>
              <w:pStyle w:val="Default"/>
              <w:rPr>
                <w:lang w:val="lt-LT"/>
              </w:rPr>
            </w:pPr>
            <w:r w:rsidRPr="00735D43">
              <w:rPr>
                <w:lang w:val="lt-LT"/>
              </w:rPr>
              <w:t>Komplektuojamo konveksinio daviklio apžvalgos laukas (laipsniais)</w:t>
            </w:r>
          </w:p>
        </w:tc>
        <w:tc>
          <w:tcPr>
            <w:tcW w:w="1417" w:type="dxa"/>
            <w:vAlign w:val="center"/>
          </w:tcPr>
          <w:p w14:paraId="6E8E5741" w14:textId="77777777" w:rsidR="0084059C" w:rsidRPr="00735D43" w:rsidRDefault="0084059C" w:rsidP="000924D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 w:cs="Times New Roman"/>
                <w:sz w:val="24"/>
                <w:szCs w:val="24"/>
              </w:rPr>
              <w:t>Max - max balų, Min - 0 balų</w:t>
            </w:r>
          </w:p>
        </w:tc>
        <w:tc>
          <w:tcPr>
            <w:tcW w:w="1418" w:type="dxa"/>
            <w:vAlign w:val="center"/>
          </w:tcPr>
          <w:p w14:paraId="65B638E5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 xml:space="preserve"> = 0,15</w:t>
            </w:r>
          </w:p>
        </w:tc>
        <w:tc>
          <w:tcPr>
            <w:tcW w:w="2131" w:type="dxa"/>
            <w:vAlign w:val="center"/>
          </w:tcPr>
          <w:p w14:paraId="1AB192C5" w14:textId="77777777" w:rsidR="0084059C" w:rsidRPr="00735D43" w:rsidRDefault="0084059C" w:rsidP="000924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110° ir daugiau – 110 balų;</w:t>
            </w:r>
          </w:p>
          <w:p w14:paraId="2958406C" w14:textId="77777777" w:rsidR="0084059C" w:rsidRPr="00735D43" w:rsidRDefault="0084059C" w:rsidP="000924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70° - 70 balų;</w:t>
            </w:r>
          </w:p>
        </w:tc>
      </w:tr>
      <w:tr w:rsidR="0084059C" w:rsidRPr="00735D43" w14:paraId="2487152E" w14:textId="77777777" w:rsidTr="000924D5">
        <w:trPr>
          <w:trHeight w:val="571"/>
          <w:jc w:val="center"/>
        </w:trPr>
        <w:tc>
          <w:tcPr>
            <w:tcW w:w="568" w:type="dxa"/>
            <w:vAlign w:val="center"/>
          </w:tcPr>
          <w:p w14:paraId="1E34D557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6BE92BB7" w14:textId="77777777" w:rsidR="0084059C" w:rsidRPr="00735D43" w:rsidRDefault="0084059C" w:rsidP="000924D5">
            <w:pPr>
              <w:pStyle w:val="Default"/>
              <w:rPr>
                <w:lang w:val="pt-BR"/>
              </w:rPr>
            </w:pPr>
            <w:r w:rsidRPr="00735D43">
              <w:rPr>
                <w:lang w:val="pt-BR"/>
              </w:rPr>
              <w:t>Realaus laiko ultragarso vaizdų suliejimo ir navigacijos su KT, MR vaizdais režimas („</w:t>
            </w:r>
            <w:r w:rsidRPr="00735D43">
              <w:rPr>
                <w:i/>
                <w:iCs/>
                <w:lang w:val="pt-BR"/>
              </w:rPr>
              <w:t>fusion“ arba lygiavertis</w:t>
            </w:r>
            <w:r w:rsidRPr="00735D43">
              <w:rPr>
                <w:lang w:val="pt-BR"/>
              </w:rPr>
              <w:t xml:space="preserve">) </w:t>
            </w:r>
          </w:p>
        </w:tc>
        <w:tc>
          <w:tcPr>
            <w:tcW w:w="1417" w:type="dxa"/>
            <w:vAlign w:val="center"/>
          </w:tcPr>
          <w:p w14:paraId="6B3F05C3" w14:textId="77777777" w:rsidR="0084059C" w:rsidRPr="00735D43" w:rsidRDefault="0084059C" w:rsidP="000924D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 w:cs="Times New Roman"/>
                <w:sz w:val="24"/>
                <w:szCs w:val="24"/>
              </w:rPr>
              <w:t>Taip/Ne</w:t>
            </w:r>
          </w:p>
        </w:tc>
        <w:tc>
          <w:tcPr>
            <w:tcW w:w="1418" w:type="dxa"/>
            <w:vAlign w:val="center"/>
          </w:tcPr>
          <w:p w14:paraId="6BCCF476" w14:textId="77777777" w:rsidR="0084059C" w:rsidRPr="00735D43" w:rsidRDefault="0084059C" w:rsidP="000924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735D43">
              <w:rPr>
                <w:rFonts w:ascii="Times New Roman" w:eastAsia="Times New Roman" w:hAnsi="Times New Roman"/>
                <w:sz w:val="24"/>
                <w:szCs w:val="24"/>
              </w:rPr>
              <w:t xml:space="preserve"> = 0,25</w:t>
            </w:r>
          </w:p>
        </w:tc>
        <w:tc>
          <w:tcPr>
            <w:tcW w:w="2131" w:type="dxa"/>
            <w:vAlign w:val="center"/>
          </w:tcPr>
          <w:p w14:paraId="30CB3EFD" w14:textId="77777777" w:rsidR="0084059C" w:rsidRPr="00735D43" w:rsidRDefault="0084059C" w:rsidP="000924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Taip – 1 balas;</w:t>
            </w:r>
          </w:p>
          <w:p w14:paraId="003C4DF3" w14:textId="77777777" w:rsidR="0084059C" w:rsidRPr="00735D43" w:rsidRDefault="0084059C" w:rsidP="000924D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5D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 – 0 balų;</w:t>
            </w:r>
          </w:p>
        </w:tc>
      </w:tr>
    </w:tbl>
    <w:p w14:paraId="6D445E80" w14:textId="77777777" w:rsidR="0084059C" w:rsidRPr="00735D43" w:rsidRDefault="0084059C" w:rsidP="0084059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2EA4617" w14:textId="77777777" w:rsidR="0084059C" w:rsidRPr="00735D43" w:rsidRDefault="0084059C" w:rsidP="0084059C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Pasiūlymo ekonominio naudingumo (kainos ir kokybės santykio) apskaičiavimo tvarka (formulė) yra pateikiama žemiau:</w:t>
      </w:r>
    </w:p>
    <w:p w14:paraId="208FC849" w14:textId="77777777" w:rsidR="0084059C" w:rsidRPr="00735D43" w:rsidRDefault="0084059C" w:rsidP="0084059C">
      <w:pPr>
        <w:pStyle w:val="ListParagraph"/>
        <w:numPr>
          <w:ilvl w:val="0"/>
          <w:numId w:val="36"/>
        </w:numPr>
        <w:shd w:val="clear" w:color="auto" w:fill="FFFFFF"/>
        <w:autoSpaceDN/>
        <w:spacing w:after="200" w:line="276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Pasiūlymo ekonominis naudingumas apskaičiuojamas pasinaudojus Telgen (absoliutine) formule:</w:t>
      </w:r>
    </w:p>
    <w:p w14:paraId="47034999" w14:textId="77777777" w:rsidR="0084059C" w:rsidRPr="00735D43" w:rsidRDefault="0084059C" w:rsidP="0084059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x</m:t>
            </m:r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 xml:space="preserve"> W</m:t>
            </m:r>
          </m:e>
          <m:sub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Kokybė</m:t>
            </m:r>
          </m:sub>
        </m:sSub>
        <m:r>
          <w:rPr>
            <w:rFonts w:ascii="Cambria Math" w:eastAsia="Times New Roman" w:hAnsi="Cambria Math"/>
            <w:color w:val="000000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Kaina</m:t>
            </m:r>
          </m:sub>
        </m:sSub>
        <m:r>
          <w:rPr>
            <w:rFonts w:ascii="Cambria Math" w:eastAsia="Times New Roman" w:hAnsi="Cambria Math"/>
            <w:color w:val="000000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Times New Roman" w:hAnsi="Cambria Math"/>
            <w:color w:val="000000"/>
            <w:sz w:val="24"/>
            <w:szCs w:val="24"/>
          </w:rPr>
          <m:t>x</m:t>
        </m:r>
        <m:r>
          <w:rPr>
            <w:rFonts w:ascii="Cambria Math" w:eastAsia="Times New Roman" w:hAnsi="Cambria Math"/>
            <w:color w:val="000000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/>
                <w:i/>
                <w:color w:val="000000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SetMax</m:t>
                </m:r>
              </m:sub>
            </m:sSub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SetMax</m:t>
                </m:r>
              </m:sub>
            </m:sSub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</w:rPr>
                  <m:t>SetMin</m:t>
                </m:r>
              </m:sub>
            </m:sSub>
            <m:r>
              <w:rPr>
                <w:rFonts w:ascii="Cambria Math" w:eastAsia="Times New Roman" w:hAnsi="Cambria Math"/>
                <w:color w:val="000000"/>
                <w:sz w:val="24"/>
                <w:szCs w:val="24"/>
              </w:rPr>
              <m:t>)</m:t>
            </m:r>
          </m:den>
        </m:f>
      </m:oMath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, kur P</w:t>
      </w:r>
      <w:r w:rsidRPr="00735D43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SetMax</w:t>
      </w: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 xml:space="preserve"> ≠ P</w:t>
      </w:r>
      <w:r w:rsidRPr="00735D43">
        <w:rPr>
          <w:rFonts w:ascii="Times New Roman" w:eastAsia="Times New Roman" w:hAnsi="Times New Roman"/>
          <w:color w:val="000000"/>
          <w:sz w:val="24"/>
          <w:szCs w:val="24"/>
          <w:vertAlign w:val="subscript"/>
        </w:rPr>
        <w:t>SetMin</w:t>
      </w:r>
    </w:p>
    <w:p w14:paraId="642B4B72" w14:textId="77777777" w:rsidR="0084059C" w:rsidRPr="00735D43" w:rsidRDefault="0084059C" w:rsidP="0084059C">
      <w:pPr>
        <w:pStyle w:val="ListParagraph"/>
        <w:numPr>
          <w:ilvl w:val="0"/>
          <w:numId w:val="36"/>
        </w:numPr>
        <w:shd w:val="clear" w:color="auto" w:fill="FFFFFF"/>
        <w:autoSpaceDN/>
        <w:spacing w:after="200" w:line="276" w:lineRule="auto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color w:val="000000"/>
          <w:sz w:val="24"/>
          <w:szCs w:val="24"/>
        </w:rPr>
        <w:t>Pasiūlymo ekonominis naudingumas (E) skaičiuojamas sudedant tiekėjo pasiūlymo kainos (K) ir techninių kriterijų (T) balus:</w:t>
      </w:r>
    </w:p>
    <w:p w14:paraId="6BFA3E96" w14:textId="77777777" w:rsidR="0084059C" w:rsidRPr="00735D43" w:rsidRDefault="0084059C" w:rsidP="0084059C">
      <w:pPr>
        <w:pStyle w:val="ListParagraph"/>
        <w:shd w:val="clear" w:color="auto" w:fill="FFFFFF"/>
        <w:ind w:left="567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eastAsia="Times New Roman" w:hAnsi="Cambria Math"/>
              <w:color w:val="000000"/>
              <w:sz w:val="24"/>
              <w:szCs w:val="24"/>
            </w:rPr>
            <m:t xml:space="preserve">E= Y </m:t>
          </m:r>
          <m:r>
            <m:rPr>
              <m:sty m:val="p"/>
            </m:rPr>
            <w:rPr>
              <w:rFonts w:ascii="Cambria Math" w:eastAsia="Times New Roman" w:hAnsi="Cambria Math"/>
              <w:color w:val="000000"/>
              <w:sz w:val="24"/>
              <w:szCs w:val="24"/>
            </w:rPr>
            <m:t>x</m:t>
          </m:r>
          <m:r>
            <w:rPr>
              <w:rFonts w:ascii="Cambria Math" w:eastAsia="Times New Roman" w:hAnsi="Cambria Math"/>
              <w:color w:val="000000"/>
              <w:sz w:val="24"/>
              <w:szCs w:val="24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-24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36</m:t>
              </m:r>
            </m:den>
          </m:f>
          <m:r>
            <w:rPr>
              <w:rFonts w:ascii="Cambria Math" w:eastAsia="Times New Roman" w:hAnsi="Cambria Math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2</m:t>
              </m:r>
            </m:sub>
          </m:sSub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-960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940</m:t>
              </m:r>
            </m:den>
          </m:f>
          <m:r>
            <w:rPr>
              <w:rFonts w:ascii="Cambria Math" w:eastAsia="Times New Roman" w:hAnsi="Cambria Math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3</m:t>
              </m:r>
            </m:sub>
          </m:sSub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-70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40</m:t>
              </m:r>
            </m:den>
          </m:f>
          <m:r>
            <w:rPr>
              <w:rFonts w:ascii="Cambria Math" w:eastAsia="Times New Roman" w:hAnsi="Cambria Math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4</m:t>
              </m:r>
            </m:sub>
          </m:sSub>
          <m:sSub>
            <m:sSub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eastAsia="Times New Roman" w:hAnsi="Cambria Math"/>
              <w:color w:val="000000"/>
              <w:sz w:val="24"/>
              <w:szCs w:val="24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/>
              <w:color w:val="000000"/>
              <w:sz w:val="24"/>
              <w:szCs w:val="24"/>
            </w:rPr>
            <m:t>x</m:t>
          </m:r>
          <m:r>
            <w:rPr>
              <w:rFonts w:ascii="Cambria Math" w:eastAsia="Times New Roman" w:hAnsi="Cambria Math"/>
              <w:color w:val="000000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 xml:space="preserve">(80000- 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eastAsia="Times New Roman" w:hAnsi="Cambria Math"/>
                  <w:color w:val="000000"/>
                  <w:sz w:val="24"/>
                  <w:szCs w:val="24"/>
                </w:rPr>
                <m:t>22000</m:t>
              </m:r>
            </m:den>
          </m:f>
        </m:oMath>
      </m:oMathPara>
    </w:p>
    <w:p w14:paraId="7A3FE917" w14:textId="77777777" w:rsidR="0084059C" w:rsidRPr="00735D43" w:rsidRDefault="0084059C" w:rsidP="0084059C">
      <w:pPr>
        <w:shd w:val="clear" w:color="auto" w:fill="FFFFFF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735D43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kur i – vertinama kainos vertė su PVM.</w:t>
      </w:r>
    </w:p>
    <w:p w14:paraId="3F8E61B8" w14:textId="77777777" w:rsidR="0084059C" w:rsidRPr="00735D43" w:rsidRDefault="0084059C" w:rsidP="00E9668A">
      <w:pPr>
        <w:spacing w:line="360" w:lineRule="auto"/>
        <w:jc w:val="both"/>
        <w:rPr>
          <w:rFonts w:ascii="Times New Roman" w:hAnsi="Times New Roman"/>
          <w:color w:val="2C363A"/>
          <w:sz w:val="24"/>
          <w:szCs w:val="24"/>
          <w:shd w:val="clear" w:color="auto" w:fill="FFFFFF"/>
          <w:lang w:val="lt-LT"/>
        </w:rPr>
      </w:pPr>
      <w:bookmarkStart w:id="0" w:name="_GoBack"/>
      <w:bookmarkEnd w:id="0"/>
    </w:p>
    <w:sectPr w:rsidR="0084059C" w:rsidRPr="00735D43" w:rsidSect="00EF3687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4A98" w14:textId="77777777" w:rsidR="00D85C90" w:rsidRDefault="00D85C90">
      <w:pPr>
        <w:spacing w:after="0" w:line="240" w:lineRule="auto"/>
      </w:pPr>
      <w:r>
        <w:separator/>
      </w:r>
    </w:p>
  </w:endnote>
  <w:endnote w:type="continuationSeparator" w:id="0">
    <w:p w14:paraId="395210E6" w14:textId="77777777" w:rsidR="00D85C90" w:rsidRDefault="00D8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7A2E2" w14:textId="77777777" w:rsidR="00D85C90" w:rsidRDefault="00D85C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19E6C5" w14:textId="77777777" w:rsidR="00D85C90" w:rsidRDefault="00D85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C7"/>
    <w:multiLevelType w:val="hybridMultilevel"/>
    <w:tmpl w:val="52F6F8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E83"/>
    <w:multiLevelType w:val="hybridMultilevel"/>
    <w:tmpl w:val="79B81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6DDA"/>
    <w:multiLevelType w:val="hybridMultilevel"/>
    <w:tmpl w:val="594E71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1D0C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2A6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F0D1E"/>
    <w:multiLevelType w:val="multilevel"/>
    <w:tmpl w:val="CB786D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44A94"/>
    <w:multiLevelType w:val="hybridMultilevel"/>
    <w:tmpl w:val="594E71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6C54"/>
    <w:multiLevelType w:val="hybridMultilevel"/>
    <w:tmpl w:val="F550B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864"/>
    <w:multiLevelType w:val="hybridMultilevel"/>
    <w:tmpl w:val="4676ABF8"/>
    <w:lvl w:ilvl="0" w:tplc="B00EAE1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E5683"/>
    <w:multiLevelType w:val="hybridMultilevel"/>
    <w:tmpl w:val="44E46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07714"/>
    <w:multiLevelType w:val="hybridMultilevel"/>
    <w:tmpl w:val="BE74FC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A5D"/>
    <w:multiLevelType w:val="hybridMultilevel"/>
    <w:tmpl w:val="44E466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C25A9"/>
    <w:multiLevelType w:val="hybridMultilevel"/>
    <w:tmpl w:val="7924C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47552"/>
    <w:multiLevelType w:val="hybridMultilevel"/>
    <w:tmpl w:val="FCFAB48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167B1"/>
    <w:multiLevelType w:val="hybridMultilevel"/>
    <w:tmpl w:val="1D46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61DF5"/>
    <w:multiLevelType w:val="hybridMultilevel"/>
    <w:tmpl w:val="7924CC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3C7D72"/>
    <w:multiLevelType w:val="hybridMultilevel"/>
    <w:tmpl w:val="2FBCC2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B5D0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869"/>
    <w:multiLevelType w:val="hybridMultilevel"/>
    <w:tmpl w:val="F7262C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51883"/>
    <w:multiLevelType w:val="hybridMultilevel"/>
    <w:tmpl w:val="7B70E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35F63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1107C"/>
    <w:multiLevelType w:val="hybridMultilevel"/>
    <w:tmpl w:val="BE74FC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542B0"/>
    <w:multiLevelType w:val="hybridMultilevel"/>
    <w:tmpl w:val="E55A50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04E4D"/>
    <w:multiLevelType w:val="hybridMultilevel"/>
    <w:tmpl w:val="0E6A59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90215"/>
    <w:multiLevelType w:val="hybridMultilevel"/>
    <w:tmpl w:val="5606A7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C0050"/>
    <w:multiLevelType w:val="hybridMultilevel"/>
    <w:tmpl w:val="A56A8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A72BE"/>
    <w:multiLevelType w:val="hybridMultilevel"/>
    <w:tmpl w:val="A69E6B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74C2F"/>
    <w:multiLevelType w:val="hybridMultilevel"/>
    <w:tmpl w:val="56600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8086A"/>
    <w:multiLevelType w:val="hybridMultilevel"/>
    <w:tmpl w:val="2FBCC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E2670"/>
    <w:multiLevelType w:val="hybridMultilevel"/>
    <w:tmpl w:val="429A6DA8"/>
    <w:lvl w:ilvl="0" w:tplc="4D9AA34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B6184"/>
    <w:multiLevelType w:val="hybridMultilevel"/>
    <w:tmpl w:val="79B81A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34B8"/>
    <w:multiLevelType w:val="hybridMultilevel"/>
    <w:tmpl w:val="584CD59A"/>
    <w:lvl w:ilvl="0" w:tplc="9F3669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6431"/>
    <w:multiLevelType w:val="hybridMultilevel"/>
    <w:tmpl w:val="F550B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C6A14"/>
    <w:multiLevelType w:val="hybridMultilevel"/>
    <w:tmpl w:val="7B70EB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B0474"/>
    <w:multiLevelType w:val="hybridMultilevel"/>
    <w:tmpl w:val="0E6A5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0"/>
  </w:num>
  <w:num w:numId="4">
    <w:abstractNumId w:val="1"/>
  </w:num>
  <w:num w:numId="5">
    <w:abstractNumId w:val="31"/>
  </w:num>
  <w:num w:numId="6">
    <w:abstractNumId w:val="9"/>
  </w:num>
  <w:num w:numId="7">
    <w:abstractNumId w:val="21"/>
  </w:num>
  <w:num w:numId="8">
    <w:abstractNumId w:val="30"/>
  </w:num>
  <w:num w:numId="9">
    <w:abstractNumId w:val="18"/>
  </w:num>
  <w:num w:numId="10">
    <w:abstractNumId w:val="12"/>
  </w:num>
  <w:num w:numId="11">
    <w:abstractNumId w:val="15"/>
  </w:num>
  <w:num w:numId="12">
    <w:abstractNumId w:val="20"/>
  </w:num>
  <w:num w:numId="13">
    <w:abstractNumId w:val="3"/>
  </w:num>
  <w:num w:numId="14">
    <w:abstractNumId w:val="34"/>
  </w:num>
  <w:num w:numId="15">
    <w:abstractNumId w:val="28"/>
  </w:num>
  <w:num w:numId="16">
    <w:abstractNumId w:val="14"/>
  </w:num>
  <w:num w:numId="17">
    <w:abstractNumId w:val="17"/>
  </w:num>
  <w:num w:numId="18">
    <w:abstractNumId w:val="25"/>
  </w:num>
  <w:num w:numId="19">
    <w:abstractNumId w:val="13"/>
  </w:num>
  <w:num w:numId="20">
    <w:abstractNumId w:val="19"/>
  </w:num>
  <w:num w:numId="21">
    <w:abstractNumId w:val="23"/>
  </w:num>
  <w:num w:numId="22">
    <w:abstractNumId w:val="27"/>
  </w:num>
  <w:num w:numId="23">
    <w:abstractNumId w:val="4"/>
  </w:num>
  <w:num w:numId="24">
    <w:abstractNumId w:val="33"/>
  </w:num>
  <w:num w:numId="25">
    <w:abstractNumId w:val="7"/>
  </w:num>
  <w:num w:numId="26">
    <w:abstractNumId w:val="24"/>
  </w:num>
  <w:num w:numId="27">
    <w:abstractNumId w:val="8"/>
  </w:num>
  <w:num w:numId="28">
    <w:abstractNumId w:val="32"/>
  </w:num>
  <w:num w:numId="29">
    <w:abstractNumId w:val="10"/>
  </w:num>
  <w:num w:numId="30">
    <w:abstractNumId w:val="22"/>
  </w:num>
  <w:num w:numId="31">
    <w:abstractNumId w:val="2"/>
  </w:num>
  <w:num w:numId="32">
    <w:abstractNumId w:val="6"/>
  </w:num>
  <w:num w:numId="33">
    <w:abstractNumId w:val="11"/>
  </w:num>
  <w:num w:numId="34">
    <w:abstractNumId w:val="26"/>
  </w:num>
  <w:num w:numId="35">
    <w:abstractNumId w:val="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8C"/>
    <w:rsid w:val="00023440"/>
    <w:rsid w:val="000268B8"/>
    <w:rsid w:val="00044A00"/>
    <w:rsid w:val="00085E53"/>
    <w:rsid w:val="000B2705"/>
    <w:rsid w:val="000F02C4"/>
    <w:rsid w:val="001258A7"/>
    <w:rsid w:val="00136A20"/>
    <w:rsid w:val="00144158"/>
    <w:rsid w:val="00162754"/>
    <w:rsid w:val="001740BA"/>
    <w:rsid w:val="00197D97"/>
    <w:rsid w:val="001A37F6"/>
    <w:rsid w:val="001C2774"/>
    <w:rsid w:val="001D7638"/>
    <w:rsid w:val="001E26DB"/>
    <w:rsid w:val="001F23E4"/>
    <w:rsid w:val="001F7624"/>
    <w:rsid w:val="00201DBA"/>
    <w:rsid w:val="00207A35"/>
    <w:rsid w:val="00211303"/>
    <w:rsid w:val="00215B30"/>
    <w:rsid w:val="00222FC7"/>
    <w:rsid w:val="00240174"/>
    <w:rsid w:val="0024099A"/>
    <w:rsid w:val="00244903"/>
    <w:rsid w:val="002C72A5"/>
    <w:rsid w:val="002D547A"/>
    <w:rsid w:val="002F61CD"/>
    <w:rsid w:val="00300ED7"/>
    <w:rsid w:val="00326870"/>
    <w:rsid w:val="003322E0"/>
    <w:rsid w:val="00345929"/>
    <w:rsid w:val="003A69B5"/>
    <w:rsid w:val="003D744F"/>
    <w:rsid w:val="003E1CE2"/>
    <w:rsid w:val="003F4685"/>
    <w:rsid w:val="003F659F"/>
    <w:rsid w:val="00452237"/>
    <w:rsid w:val="00480974"/>
    <w:rsid w:val="004B27ED"/>
    <w:rsid w:val="004C0563"/>
    <w:rsid w:val="004C461E"/>
    <w:rsid w:val="004C4EA3"/>
    <w:rsid w:val="00523F77"/>
    <w:rsid w:val="005B21C0"/>
    <w:rsid w:val="005B24F0"/>
    <w:rsid w:val="005D7AEF"/>
    <w:rsid w:val="005D7DD7"/>
    <w:rsid w:val="0062648E"/>
    <w:rsid w:val="0064596A"/>
    <w:rsid w:val="00662F57"/>
    <w:rsid w:val="006C70FB"/>
    <w:rsid w:val="006D23CA"/>
    <w:rsid w:val="006F79A8"/>
    <w:rsid w:val="007033D2"/>
    <w:rsid w:val="007056F8"/>
    <w:rsid w:val="0071321C"/>
    <w:rsid w:val="00726134"/>
    <w:rsid w:val="00735D43"/>
    <w:rsid w:val="00744991"/>
    <w:rsid w:val="007D54DA"/>
    <w:rsid w:val="007E42FD"/>
    <w:rsid w:val="0084059C"/>
    <w:rsid w:val="00861B43"/>
    <w:rsid w:val="00862FEC"/>
    <w:rsid w:val="008D08FB"/>
    <w:rsid w:val="008D62A0"/>
    <w:rsid w:val="008D7D8C"/>
    <w:rsid w:val="008E3CCF"/>
    <w:rsid w:val="009538F8"/>
    <w:rsid w:val="00960A33"/>
    <w:rsid w:val="0097459C"/>
    <w:rsid w:val="00980BE3"/>
    <w:rsid w:val="009E0AE3"/>
    <w:rsid w:val="00A247EB"/>
    <w:rsid w:val="00A36E96"/>
    <w:rsid w:val="00A43E41"/>
    <w:rsid w:val="00A77F36"/>
    <w:rsid w:val="00A807BF"/>
    <w:rsid w:val="00AD7DE0"/>
    <w:rsid w:val="00AE492C"/>
    <w:rsid w:val="00B00ED3"/>
    <w:rsid w:val="00B068B2"/>
    <w:rsid w:val="00B6365A"/>
    <w:rsid w:val="00BD6230"/>
    <w:rsid w:val="00BE6EF5"/>
    <w:rsid w:val="00C659F2"/>
    <w:rsid w:val="00C91902"/>
    <w:rsid w:val="00CB3B56"/>
    <w:rsid w:val="00D669B6"/>
    <w:rsid w:val="00D810D3"/>
    <w:rsid w:val="00D8392D"/>
    <w:rsid w:val="00D85C90"/>
    <w:rsid w:val="00DC5C59"/>
    <w:rsid w:val="00E05920"/>
    <w:rsid w:val="00E26D7E"/>
    <w:rsid w:val="00E2763B"/>
    <w:rsid w:val="00E375A6"/>
    <w:rsid w:val="00E716BC"/>
    <w:rsid w:val="00E93913"/>
    <w:rsid w:val="00E9668A"/>
    <w:rsid w:val="00EC56DA"/>
    <w:rsid w:val="00ED3180"/>
    <w:rsid w:val="00EE2A59"/>
    <w:rsid w:val="00EF3687"/>
    <w:rsid w:val="00F03D4A"/>
    <w:rsid w:val="00F23E78"/>
    <w:rsid w:val="00F325C5"/>
    <w:rsid w:val="00F74AB1"/>
    <w:rsid w:val="00F82683"/>
    <w:rsid w:val="00FC37B0"/>
    <w:rsid w:val="00F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744991"/>
  </w:style>
  <w:style w:type="table" w:styleId="TableGrid">
    <w:name w:val="Table Grid"/>
    <w:basedOn w:val="TableNormal"/>
    <w:uiPriority w:val="39"/>
    <w:rsid w:val="00744991"/>
    <w:pPr>
      <w:suppressAutoHyphens/>
      <w:autoSpaceDN/>
      <w:spacing w:after="0" w:line="240" w:lineRule="auto"/>
    </w:pPr>
    <w:rPr>
      <w:rFonts w:asciiTheme="minorHAnsi" w:eastAsiaTheme="minorHAnsi" w:hAnsiTheme="minorHAnsi" w:cstheme="minorBidi"/>
      <w:kern w:val="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B27ED"/>
    <w:pPr>
      <w:ind w:left="720"/>
      <w:contextualSpacing/>
    </w:pPr>
  </w:style>
  <w:style w:type="paragraph" w:customStyle="1" w:styleId="v1msoplaintext">
    <w:name w:val="v1msoplaintext"/>
    <w:basedOn w:val="Normal"/>
    <w:rsid w:val="0048097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lt-LT" w:eastAsia="lt-LT"/>
    </w:rPr>
  </w:style>
  <w:style w:type="paragraph" w:customStyle="1" w:styleId="Default">
    <w:name w:val="Default"/>
    <w:rsid w:val="0084059C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  <w:lang w:eastAsia="lt-LT"/>
    </w:rPr>
  </w:style>
  <w:style w:type="paragraph" w:styleId="NoSpacing">
    <w:name w:val="No Spacing"/>
    <w:uiPriority w:val="1"/>
    <w:qFormat/>
    <w:rsid w:val="0084059C"/>
    <w:pPr>
      <w:suppressAutoHyphens/>
      <w:autoSpaceDN/>
      <w:spacing w:after="0" w:line="240" w:lineRule="auto"/>
    </w:pPr>
    <w:rPr>
      <w:rFonts w:eastAsia="SimSun" w:cs="font220"/>
      <w:kern w:val="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037F-7E60-4C57-A16A-AA30D1D2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7336</Words>
  <Characters>4182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Egidijus Audenis</cp:lastModifiedBy>
  <cp:revision>5</cp:revision>
  <dcterms:created xsi:type="dcterms:W3CDTF">2025-05-26T09:56:00Z</dcterms:created>
  <dcterms:modified xsi:type="dcterms:W3CDTF">2025-05-26T10:03:00Z</dcterms:modified>
</cp:coreProperties>
</file>