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35CF" w14:textId="1BA55AC9" w:rsidR="001428B7" w:rsidRPr="0099191E" w:rsidRDefault="001428B7" w:rsidP="001428B7">
      <w:pPr>
        <w:pStyle w:val="Heading"/>
        <w:jc w:val="center"/>
        <w:rPr>
          <w:lang w:val="lt-LT"/>
        </w:rPr>
      </w:pPr>
      <w:r w:rsidRPr="0099191E">
        <w:rPr>
          <w:lang w:val="lt-LT"/>
        </w:rPr>
        <w:t xml:space="preserve">PIRKIMO SĄLYGŲ </w:t>
      </w:r>
      <w:r w:rsidR="00EF16D9">
        <w:rPr>
          <w:lang w:val="lt-LT"/>
        </w:rPr>
        <w:t xml:space="preserve">4 </w:t>
      </w:r>
      <w:r w:rsidRPr="0099191E">
        <w:rPr>
          <w:lang w:val="lt-LT"/>
        </w:rPr>
        <w:t>PRIEDAS „</w:t>
      </w:r>
      <w:r>
        <w:rPr>
          <w:lang w:val="lt-LT"/>
        </w:rPr>
        <w:t>PAŠALINIMO PAGRINDAI</w:t>
      </w:r>
      <w:r w:rsidRPr="0099191E">
        <w:rPr>
          <w:lang w:val="lt-LT"/>
        </w:rPr>
        <w:t>“</w:t>
      </w:r>
    </w:p>
    <w:p w14:paraId="16C41F11"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1DDE536E" w14:textId="77777777" w:rsidTr="00A9443F">
        <w:tc>
          <w:tcPr>
            <w:tcW w:w="555" w:type="dxa"/>
          </w:tcPr>
          <w:p w14:paraId="7CE892FC"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015BB627"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36679929"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3F6B8D11"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1C0F9BF2"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FE603C" w:rsidRPr="0098584D" w14:paraId="2214AA39" w14:textId="77777777" w:rsidTr="00D33E73">
        <w:tc>
          <w:tcPr>
            <w:tcW w:w="555" w:type="dxa"/>
          </w:tcPr>
          <w:p w14:paraId="7BFFF8C6" w14:textId="682C9823" w:rsidR="00FE603C" w:rsidRPr="0098584D" w:rsidRDefault="00FE603C" w:rsidP="00FE603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1.</w:t>
            </w:r>
          </w:p>
        </w:tc>
        <w:tc>
          <w:tcPr>
            <w:tcW w:w="4358" w:type="dxa"/>
          </w:tcPr>
          <w:p w14:paraId="25F7CFD3" w14:textId="7EA85EC2" w:rsidR="00FE603C" w:rsidRDefault="00FE603C" w:rsidP="00FE603C">
            <w:pPr>
              <w:rPr>
                <w:b/>
                <w:bCs/>
                <w:color w:val="404040" w:themeColor="text1" w:themeTint="BF"/>
              </w:rPr>
            </w:pPr>
            <w:r>
              <w:t xml:space="preserve">Tiekėjas šalinamas iš pirkimo procedūrų, jei (VPĮ 46 straipsnio 1 dalis (EBVPD III dalies A1-A6 punktai ir D1 punktas)): </w:t>
            </w:r>
            <w:r>
              <w:br/>
            </w:r>
            <w:r>
              <w:b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 xml:space="preserve">7) prekybą žmonėmis, vaiko pirkimą arba </w:t>
            </w:r>
            <w:r>
              <w:lastRenderedPageBreak/>
              <w:t>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br/>
              <w:t xml:space="preserve">Kai priimtu ir įsiteisėjusiu teismo sprendimu </w:t>
            </w:r>
            <w:r>
              <w:lastRenderedPageBreak/>
              <w:t>tiekėjui yra nustatytas šio pašalinimo pagrindo laikotarpis, perkančioji organizacija tiekėją iš pirkimo procedūros šalina teismo sprendime nurodytą laikotarpį.</w:t>
            </w:r>
            <w:r>
              <w:br/>
            </w:r>
          </w:p>
        </w:tc>
        <w:tc>
          <w:tcPr>
            <w:tcW w:w="4359" w:type="dxa"/>
          </w:tcPr>
          <w:p w14:paraId="2EEC89ED" w14:textId="1C483AC8" w:rsidR="00FE603C" w:rsidRPr="0098584D" w:rsidRDefault="00FE603C" w:rsidP="00FE603C">
            <w:pPr>
              <w:rPr>
                <w:b/>
                <w:bCs/>
                <w:color w:val="404040" w:themeColor="text1" w:themeTint="BF"/>
              </w:rPr>
            </w:pPr>
            <w:r>
              <w:lastRenderedPageBreak/>
              <w:t xml:space="preserve"> 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br/>
              <w:t>a)</w:t>
            </w:r>
            <w:r>
              <w:tab/>
              <w:t xml:space="preserve">priesaikos deklaracija; </w:t>
            </w:r>
            <w:r>
              <w:br/>
              <w:t>b)</w:t>
            </w:r>
            <w:r>
              <w:tab/>
              <w:t xml:space="preserve">oficialia tiekėjo deklaracija, jeigu šalyje nenaudojama priesaikos deklaracija. Oficiali deklaracija turi būti patvirtinta valstybės narės ar tiekėjo kilmės šalies arba šalies, kurioje jis registruotas, kompetentingos </w:t>
            </w:r>
            <w:r>
              <w:lastRenderedPageBreak/>
              <w:t>teisinės ar administracinės institucijos, notaro arba kompetentingos profesinės ar prekybos organizacijos.</w:t>
            </w:r>
            <w:r>
              <w:br/>
            </w:r>
            <w:r>
              <w:br/>
              <w:t xml:space="preserve">Nurodyti dokumentai turi būti išduoti ne anksčiau kaip 180 dienų iki tos dienos, kai galimas laimėtojas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p>
        </w:tc>
        <w:tc>
          <w:tcPr>
            <w:tcW w:w="4359" w:type="dxa"/>
          </w:tcPr>
          <w:p w14:paraId="43740C62" w14:textId="1A03B957" w:rsidR="00FE603C" w:rsidRPr="0098584D" w:rsidRDefault="00FE603C" w:rsidP="00FE603C">
            <w:pPr>
              <w:rPr>
                <w:b/>
                <w:bCs/>
                <w:color w:val="404040" w:themeColor="text1" w:themeTint="BF"/>
              </w:rPr>
            </w:pPr>
            <w:r>
              <w:lastRenderedPageBreak/>
              <w:t>Tiekėjas, kiekvienas tiekėjų grupės narys ir kiekvienas kitas ūkio subjektas, kurio pajėgumais remiasi tiekėjas.</w:t>
            </w:r>
            <w:r>
              <w:br/>
            </w:r>
          </w:p>
        </w:tc>
        <w:tc>
          <w:tcPr>
            <w:tcW w:w="1560" w:type="dxa"/>
          </w:tcPr>
          <w:p w14:paraId="560BE9C9" w14:textId="4D5E4AC3" w:rsidR="00FE603C" w:rsidRPr="000F5A4D" w:rsidRDefault="008C1B5B" w:rsidP="00FE603C">
            <w:pPr>
              <w:rPr>
                <w:b/>
                <w:bCs/>
                <w:color w:val="404040" w:themeColor="text1" w:themeTint="BF"/>
              </w:rPr>
            </w:pPr>
            <w:r>
              <w:t>1</w:t>
            </w:r>
            <w:r w:rsidR="00FE603C">
              <w:t xml:space="preserve"> pirkimo objekto dalis</w:t>
            </w:r>
            <w:r w:rsidR="00FE603C">
              <w:br/>
            </w:r>
            <w:r>
              <w:t>2</w:t>
            </w:r>
            <w:r w:rsidR="00FE603C">
              <w:t xml:space="preserve"> pirkimo objekto dalis</w:t>
            </w:r>
            <w:r w:rsidR="00FE603C">
              <w:br/>
            </w:r>
            <w:r>
              <w:t>3</w:t>
            </w:r>
            <w:r w:rsidR="00FE603C">
              <w:t xml:space="preserve"> pirkimo objekto dalis</w:t>
            </w:r>
            <w:r w:rsidR="00FE603C">
              <w:br/>
            </w:r>
            <w:r>
              <w:t>4</w:t>
            </w:r>
            <w:r w:rsidR="00FE603C">
              <w:t xml:space="preserve"> pirkimo objekto dalis</w:t>
            </w:r>
          </w:p>
        </w:tc>
      </w:tr>
      <w:tr w:rsidR="00CE6F61" w:rsidRPr="00A7676D" w14:paraId="4B23694F" w14:textId="77777777" w:rsidTr="001428B7">
        <w:tc>
          <w:tcPr>
            <w:tcW w:w="555" w:type="dxa"/>
          </w:tcPr>
          <w:p w14:paraId="4DFB696E" w14:textId="15A8F689" w:rsidR="00CE6F61" w:rsidRDefault="00CE6F61" w:rsidP="00CE6F61">
            <w:r>
              <w:lastRenderedPageBreak/>
              <w:t>2.</w:t>
            </w:r>
          </w:p>
        </w:tc>
        <w:tc>
          <w:tcPr>
            <w:tcW w:w="4358" w:type="dxa"/>
          </w:tcPr>
          <w:p w14:paraId="5AD8F7A8" w14:textId="77777777" w:rsidR="00CE6F61" w:rsidRPr="00CA3FD2" w:rsidRDefault="00CE6F61" w:rsidP="00CE6F61">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E6F61">
              <w:rPr>
                <w:rFonts w:ascii="Times New Roman" w:eastAsia="Yu Mincho" w:hAnsi="Times New Roman" w:cs="Times New Roman"/>
                <w:sz w:val="22"/>
                <w:szCs w:val="22"/>
                <w:lang w:eastAsia="en-US"/>
              </w:rPr>
              <w:t>VPĮ 46 straipsnio 2</w:t>
            </w:r>
            <w:r w:rsidRPr="00CE6F61">
              <w:rPr>
                <w:rFonts w:ascii="Times New Roman" w:eastAsia="Yu Mincho" w:hAnsi="Times New Roman" w:cs="Times New Roman"/>
                <w:sz w:val="22"/>
                <w:szCs w:val="22"/>
                <w:vertAlign w:val="superscript"/>
                <w:lang w:eastAsia="en-US"/>
              </w:rPr>
              <w:t>1</w:t>
            </w:r>
            <w:r w:rsidRPr="00CE6F61">
              <w:rPr>
                <w:rFonts w:ascii="Times New Roman" w:eastAsia="Yu Mincho" w:hAnsi="Times New Roman" w:cs="Times New Roman"/>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41088298" w14:textId="50A1CA90" w:rsidR="00CE6F61" w:rsidRDefault="00CE6F61" w:rsidP="00CE6F61">
            <w:r w:rsidRPr="00CA3FD2">
              <w:rPr>
                <w:rFonts w:eastAsia="Yu Mincho"/>
              </w:rPr>
              <w:t>Tiekėjas yra neatlikęs jam paskirtos baudžiamojo poveikio priemonės – uždraudimo juridiniam asmeniui dalyvauti viešuosiuose pirkimuose.</w:t>
            </w:r>
          </w:p>
        </w:tc>
        <w:tc>
          <w:tcPr>
            <w:tcW w:w="4359" w:type="dxa"/>
          </w:tcPr>
          <w:p w14:paraId="7E86CEB1" w14:textId="69E4CAAE" w:rsidR="00CE6F61" w:rsidRDefault="00CE6F61" w:rsidP="00CE6F61">
            <w:r w:rsidRPr="00B176F7">
              <w:t>Iš Lietuvoje įsteigtų subjektų įrodančių dokumentų nereikalaujama. Užtenka pateikto EBVPD.</w:t>
            </w:r>
          </w:p>
        </w:tc>
        <w:tc>
          <w:tcPr>
            <w:tcW w:w="4359" w:type="dxa"/>
          </w:tcPr>
          <w:p w14:paraId="14B45576" w14:textId="09406349" w:rsidR="00CE6F61" w:rsidRDefault="00CE6F61" w:rsidP="00CE6F61">
            <w:r w:rsidRPr="00B176F7">
              <w:rPr>
                <w:rFonts w:eastAsia="Yu Mincho"/>
              </w:rPr>
              <w:t>Tiekėjas, kiekvienas tiekėjų grupės narys ir kiekvienas kitas ūkio subjektas, kurio pajėgumais remiasi tiekėjas.</w:t>
            </w:r>
          </w:p>
        </w:tc>
        <w:tc>
          <w:tcPr>
            <w:tcW w:w="1560" w:type="dxa"/>
          </w:tcPr>
          <w:p w14:paraId="653F5EC4" w14:textId="35AE3E17" w:rsidR="00CE6F61" w:rsidRDefault="008C1B5B" w:rsidP="00CE6F61">
            <w:r>
              <w:t>1</w:t>
            </w:r>
            <w:r w:rsidR="00CE6F61">
              <w:t xml:space="preserve"> pirkimo objekto dalis</w:t>
            </w:r>
            <w:r w:rsidR="00CE6F61">
              <w:br/>
            </w:r>
            <w:r>
              <w:t>2</w:t>
            </w:r>
            <w:r w:rsidR="00CE6F61">
              <w:t xml:space="preserve"> pirkimo objekto dalis</w:t>
            </w:r>
            <w:r w:rsidR="00CE6F61">
              <w:br/>
            </w:r>
            <w:r>
              <w:t>3</w:t>
            </w:r>
            <w:r w:rsidR="00CE6F61">
              <w:t xml:space="preserve"> pirkimo objekto dalis</w:t>
            </w:r>
            <w:r w:rsidR="00CE6F61">
              <w:br/>
            </w:r>
            <w:r>
              <w:t>4</w:t>
            </w:r>
            <w:r w:rsidR="00CE6F61">
              <w:t xml:space="preserve"> pirkimo objekto dalis</w:t>
            </w:r>
          </w:p>
        </w:tc>
      </w:tr>
      <w:tr w:rsidR="00CE6F61" w:rsidRPr="00A7676D" w14:paraId="3BA578E4" w14:textId="77777777" w:rsidTr="001428B7">
        <w:tc>
          <w:tcPr>
            <w:tcW w:w="555" w:type="dxa"/>
          </w:tcPr>
          <w:p w14:paraId="0B197885" w14:textId="2E65953B" w:rsidR="00CE6F61" w:rsidRDefault="00CE6F61" w:rsidP="00CE6F61">
            <w:r>
              <w:t>3.</w:t>
            </w:r>
          </w:p>
        </w:tc>
        <w:tc>
          <w:tcPr>
            <w:tcW w:w="4358" w:type="dxa"/>
          </w:tcPr>
          <w:p w14:paraId="6B314D32" w14:textId="177F238F" w:rsidR="00CE6F61" w:rsidRDefault="00CE6F61" w:rsidP="00CE6F61">
            <w:r>
              <w:t>Tiekėjas šalinamas iš pirkimo procedūrų, jei (VPĮ 46 straipsnio 3 dalis (EBVPD III dalies B1 ir B2 punktai)):</w:t>
            </w:r>
            <w:r>
              <w:br/>
            </w:r>
            <w:r>
              <w:b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struktūrinis padalinys, per pastaruosius 5 metus buvo priimtas ir įsiteisėjęs </w:t>
            </w:r>
            <w:r>
              <w:lastRenderedPageBreak/>
              <w:t>apkaltinamasis teismo nuosprendis arba VPĮ 46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br/>
            </w:r>
          </w:p>
        </w:tc>
        <w:tc>
          <w:tcPr>
            <w:tcW w:w="4359" w:type="dxa"/>
          </w:tcPr>
          <w:p w14:paraId="5D6B70EC" w14:textId="0383F2E1" w:rsidR="00CE6F61" w:rsidRDefault="00CE6F61" w:rsidP="00CE6F61">
            <w:r>
              <w:lastRenderedPageBreak/>
              <w:t>1) Dėl įsipareigojimų, susijusių su mokesčių mokėjimu (išskyrus socialinio draudimo įmokas),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Jeigu tiekėjas negali pateikti nurodytų dokumentų, įrodančių, kad nėra pašalinimo pagrindų, numatytų Lietuvos Respublikos viešųjų pirkimų įstatymo 46 straipsnio 1 ir 3 </w:t>
            </w:r>
            <w:r>
              <w:lastRenderedPageBreak/>
              <w:t xml:space="preserve">dalyse ir 6 dalies 2 punkte, nes valstybėje narėje ar atitinkamoje šalyje tokie dokumentai neišduodami arba toje šalyje išduodami dokumentai neapima visų 46 straipsnio 1 ir 3 dalyse ir 6 dalies 2 punkte keliamų klausimų, jie gali būti pakeisti: </w:t>
            </w:r>
            <w:r>
              <w:br/>
              <w:t>a)</w:t>
            </w:r>
            <w:r>
              <w:tab/>
              <w:t xml:space="preserve">priesaikos deklaracija; </w:t>
            </w:r>
            <w:r>
              <w:b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r>
            <w:r>
              <w:br/>
              <w:t xml:space="preserve">Nurodyti dokumentai turi būti  išduoti ne anksčiau kaip 120 dienų iki tos dienos, kai galimas laimėtojas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t>2) Dėl įsipareigojimų, susijusių su socialinio draudimo įmokų mokėjimu, įvykdymo iš Lietuvoje įsteigtų subjektų prašoma:</w:t>
            </w:r>
            <w:r>
              <w:br/>
              <w:t xml:space="preserve">2.1) Jeigu tiekėjas yra juridinis asmuo, registruotas Lietuvos Respublikoje, iš jo nereikalaujama pateikti jokių šį reikalavimą </w:t>
            </w:r>
            <w:r>
              <w:lastRenderedPageBreak/>
              <w:t>įrodančių dokumentų. Perkančioji organizacija savarankiškai patikrina duomenis nacionalinėje duomenų bazėje,  adresu http://draudejai.sodra.lt/draudeju_viesi_duomenys/.</w:t>
            </w:r>
            <w:r>
              <w:br/>
            </w:r>
            <w:r>
              <w:b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r>
            <w: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br/>
              <w:t>a)</w:t>
            </w:r>
            <w:r>
              <w:tab/>
              <w:t xml:space="preserve">priesaikos deklaracija; </w:t>
            </w:r>
            <w:r>
              <w:b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r>
            <w:r>
              <w:br/>
              <w:t xml:space="preserve">Nurodyti dokumentai turi būti  išduoti ne anksčiau kaip 120 dienų iki tos dienos, kai tiekėjas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4359" w:type="dxa"/>
          </w:tcPr>
          <w:p w14:paraId="7DD7EE04" w14:textId="7809519D" w:rsidR="00CE6F61" w:rsidRDefault="00CE6F61" w:rsidP="00CE6F61">
            <w:r>
              <w:lastRenderedPageBreak/>
              <w:t>Tiekėjas, kiekvienas tiekėjų grupės narys ir kiekvienas kitas ūkio subjektas, kurio pajėgumais remiasi tiekėjas.</w:t>
            </w:r>
            <w:r>
              <w:br/>
            </w:r>
          </w:p>
        </w:tc>
        <w:tc>
          <w:tcPr>
            <w:tcW w:w="1560" w:type="dxa"/>
          </w:tcPr>
          <w:p w14:paraId="5FD2F8F3" w14:textId="3F2CFEA8" w:rsidR="00CE6F61" w:rsidRDefault="008C1B5B" w:rsidP="00CE6F61">
            <w:r>
              <w:t>1</w:t>
            </w:r>
            <w:r w:rsidR="00CE6F61">
              <w:t xml:space="preserve"> pirkimo objekto dalis</w:t>
            </w:r>
            <w:r w:rsidR="00CE6F61">
              <w:br/>
            </w:r>
            <w:r>
              <w:t>2</w:t>
            </w:r>
            <w:r w:rsidR="00CE6F61">
              <w:t xml:space="preserve"> pirkimo objekto dalis</w:t>
            </w:r>
            <w:r w:rsidR="00CE6F61">
              <w:br/>
            </w:r>
            <w:r>
              <w:t>3</w:t>
            </w:r>
            <w:r w:rsidR="00CE6F61">
              <w:t xml:space="preserve"> pirkimo objekto dalis</w:t>
            </w:r>
            <w:r w:rsidR="00CE6F61">
              <w:br/>
            </w:r>
            <w:r>
              <w:t>4</w:t>
            </w:r>
            <w:r w:rsidR="00CE6F61">
              <w:t xml:space="preserve"> pirkimo objekto dalis</w:t>
            </w:r>
          </w:p>
        </w:tc>
      </w:tr>
      <w:tr w:rsidR="00CE6F61" w:rsidRPr="00A7676D" w14:paraId="1D141318" w14:textId="77777777" w:rsidTr="001428B7">
        <w:tc>
          <w:tcPr>
            <w:tcW w:w="555" w:type="dxa"/>
          </w:tcPr>
          <w:p w14:paraId="22150C16" w14:textId="7104CCA4" w:rsidR="00CE6F61" w:rsidRDefault="00CE6F61" w:rsidP="00CE6F61">
            <w:r>
              <w:lastRenderedPageBreak/>
              <w:t>4.</w:t>
            </w:r>
          </w:p>
        </w:tc>
        <w:tc>
          <w:tcPr>
            <w:tcW w:w="4358" w:type="dxa"/>
          </w:tcPr>
          <w:p w14:paraId="1C7D613D" w14:textId="77777777" w:rsidR="00CE6F61" w:rsidRDefault="00CE6F61" w:rsidP="00CE6F61">
            <w:r>
              <w:t>1. Tiekėjas šalinamas iš pirkimo procedūrų, jei (VPĮ 46 straipsnio 4 dalies 1 punktas (EBVPD III dalies C10 punktas)):</w:t>
            </w:r>
            <w:r>
              <w:br/>
            </w:r>
            <w:r>
              <w:lastRenderedPageBreak/>
              <w:br/>
              <w:t>Tiekėjas su kitais tiekėjais yra sudaręs susitarimų, kuriais siekiama iškreipti konkurenciją atliekamame pirkime, ir perkančioji organizacija dėl to turi įtikinamų duomenų.</w:t>
            </w:r>
            <w:r>
              <w:br/>
            </w:r>
            <w:r>
              <w:br/>
              <w:t>2. Tiekėjas šalinamas iš pirkimo procedūrų, jei (VPĮ 46 straipsnio 4 dalies 2 punktas (EBVPD III dalies C12 punktas)):</w:t>
            </w:r>
            <w:r>
              <w:br/>
            </w:r>
            <w:r>
              <w:b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r>
              <w:br/>
            </w:r>
            <w:r>
              <w:br/>
              <w:t>3. Tiekėjas šalinamas iš pirkimo procedūrų, jei (VPĮ 46 straipsnio 4 dalies 3 punktas (EBVPD III dalies C13 punktas)):</w:t>
            </w:r>
            <w:r>
              <w:br/>
            </w:r>
            <w:r>
              <w:br/>
              <w:t>Pažeista konkurencija, kaip nustatyta VPĮ 27 straipsnio 3 ir 4 dalyse, ir atitinkamos padėties negalima ištaisyti.</w:t>
            </w:r>
            <w:r>
              <w:br/>
            </w:r>
            <w:r>
              <w:br/>
              <w:t>4. Tiekėjas šalinamas iš pirkimo procedūrų, jei (VPĮ 46 straipsnio 4 dalies 4 punktas (EBVPD III dalies C15 punktas)):</w:t>
            </w:r>
            <w:r>
              <w:br/>
            </w:r>
            <w:r>
              <w:br/>
              <w:t xml:space="preserve">Tiekėjas pirkimo procedūrų metu nuslėpė informaciją ar pateikė melagingą informaciją </w:t>
            </w:r>
            <w: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br/>
            </w:r>
            <w:r>
              <w:br/>
              <w:t>5. Tiekėjas šalinamas iš pirkimo procedūrų, jei (VPĮ 46 straipsnio 4 dalies 5 punktas (EBVPD III dalies C15 punktas)):</w:t>
            </w:r>
            <w:r>
              <w:br/>
            </w:r>
            <w:r>
              <w:lastRenderedPageBreak/>
              <w:b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br/>
            </w:r>
            <w:r>
              <w:br/>
              <w:t>6. Tiekėjas šalinamas iš pirkimo procedūrų, jei (VPĮ 46 straipsnio 4 dalies 6 punktas (EBVPD III dalies C14 punktas)):</w:t>
            </w:r>
            <w:r>
              <w:br/>
            </w:r>
            <w:r>
              <w:b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lastRenderedPageBreak/>
              <w:t xml:space="preserve">metus buvo priimtas perkančiosios organizacijos 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br/>
            </w:r>
            <w:r>
              <w:br/>
              <w:t>7. Tiekėjas šalinamas iš pirkimo procedūrų, jei (VPĮ 46 straipsnio 4 dalies 7 punkto a papunktis (EBVPD III dalies C11 punktas)):</w:t>
            </w:r>
            <w:r>
              <w:br/>
            </w:r>
            <w:r>
              <w:b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r>
              <w:br/>
              <w:t>8. Tiekėjas šalinamas iš pirkimo procedūrų, jei (VPĮ 46 straipsnio 4 dalies 7 punkto b papunktis (EBVPD III dalies C11 punktas)):</w:t>
            </w:r>
            <w:r>
              <w:br/>
            </w:r>
            <w:r>
              <w:br/>
              <w:t xml:space="preserve">Tiekėjas yra padaręs rimtą profesinį pažeidimą, dėl kurio perkančioji organizacija abejoja tiekėjo sąžiningumu,  kai jis (tiekėjas) </w:t>
            </w:r>
            <w:r>
              <w:lastRenderedPageBreak/>
              <w:t>neatitinka minimalių patikimo mokesčių mokėtojo kriterijų, nustatytų Lietuvos Respublikos mokesčių administravimo įstatymo 401 straipsnio 1 dalyje.</w:t>
            </w:r>
            <w:r>
              <w:br/>
            </w:r>
            <w:r>
              <w:br/>
              <w:t>9. Tiekėjas šalinamas iš pirkimo procedūrų, jei (VPĮ 46 straipsnio 4 dalies 7 punkto c papunktis (EBVPD III dalies C11 punktas)):</w:t>
            </w:r>
            <w:r>
              <w:br/>
            </w:r>
            <w:r>
              <w:b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br/>
            </w:r>
            <w:r>
              <w:br/>
              <w:t>Kai priimtu ir įsiteisėjusiu teismo sprendimu tiekėjui yra nustatytas šių pašalinimo pagrindų laikotarpis, perkančioji organizacija tiekėją iš pirkimo procedūros šalina teismo sprendime nurodytą laikotarpį.</w:t>
            </w:r>
            <w:r>
              <w:br/>
            </w:r>
            <w:r>
              <w:b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r>
              <w:br/>
            </w:r>
            <w:r>
              <w:br/>
            </w:r>
          </w:p>
        </w:tc>
        <w:tc>
          <w:tcPr>
            <w:tcW w:w="4359" w:type="dxa"/>
          </w:tcPr>
          <w:p w14:paraId="5DC85282" w14:textId="01EEA929" w:rsidR="008447EB" w:rsidRDefault="00CE6F61" w:rsidP="00CE6F61">
            <w:r>
              <w:lastRenderedPageBreak/>
              <w:t>Iš Lietuvoje įsteigtų subjektų įrodančių dokumentų nereikalaujama. Užtenka pateikto EBVPD.</w:t>
            </w:r>
            <w:r>
              <w:br/>
            </w:r>
            <w:r>
              <w:lastRenderedPageBreak/>
              <w:br/>
              <w:t xml:space="preserve">Priimant sprendimus dėl tiekėjo pašalinimo iš pirkimo procedūros VPĮ 46 straipsnio 4 dalies 4 punkte nurodytu pašalinimo pagrindu, be kita ko, gali būti atsižvelgiama į pagal VPĮ 52 straipsnį skelbiamą informaciją: </w:t>
            </w:r>
            <w:r>
              <w:br/>
            </w:r>
            <w:r>
              <w:br/>
            </w:r>
            <w:hyperlink r:id="rId7" w:history="1">
              <w:r w:rsidR="008447EB" w:rsidRPr="00F83199">
                <w:rPr>
                  <w:rStyle w:val="Hyperlink"/>
                </w:rPr>
                <w:t>https://vpt.lrv.lt/melaginga-informacija-pateikusiu-tiekeju-sarasas-3</w:t>
              </w:r>
            </w:hyperlink>
          </w:p>
          <w:p w14:paraId="45C66352" w14:textId="5CFB6D96" w:rsidR="008447EB" w:rsidRDefault="00CE6F61" w:rsidP="00CE6F61">
            <w:r>
              <w:br/>
            </w:r>
            <w:r>
              <w:br/>
              <w:t xml:space="preserve">Priimant sprendimus dėl tiekėjo pašalinimo iš pirkimo procedūros VPĮ 46 straipsnio 4 dalyje 6 punkte nurodytu pašalinimo pagrindu, gali būti atsižvelgiama į pagal VPĮ 91 straipsnį skelbiamą informaciją: </w:t>
            </w:r>
            <w:r>
              <w:br/>
            </w:r>
            <w:r>
              <w:br/>
            </w:r>
            <w:hyperlink r:id="rId8" w:history="1">
              <w:r w:rsidR="008447EB" w:rsidRPr="00F83199">
                <w:rPr>
                  <w:rStyle w:val="Hyperlink"/>
                </w:rPr>
                <w:t>https://vpt.lrv.lt/lt/nuorodos/kiti-duomenys/powerbi/nepatikimi-tiekejai-1</w:t>
              </w:r>
            </w:hyperlink>
          </w:p>
          <w:p w14:paraId="262852B0" w14:textId="3757FE5F" w:rsidR="008447EB" w:rsidRDefault="00CE6F61" w:rsidP="00CE6F61">
            <w:r>
              <w:br/>
            </w:r>
            <w:r>
              <w:br/>
            </w:r>
            <w:hyperlink r:id="rId9" w:history="1">
              <w:r w:rsidR="008447EB" w:rsidRPr="00F83199">
                <w:rPr>
                  <w:rStyle w:val="Hyperlink"/>
                </w:rPr>
                <w:t>https://vpt.lrv.lt/lt/pasalinimo-pagrindai-1/nepatikimu-koncesininku-sarasas-1/nepatikimu-koncesininku-sarasas</w:t>
              </w:r>
            </w:hyperlink>
          </w:p>
          <w:p w14:paraId="2B650F3D" w14:textId="06F755DB" w:rsidR="008447EB" w:rsidRDefault="00CE6F61" w:rsidP="00CE6F61">
            <w:r>
              <w:br/>
            </w:r>
            <w:r>
              <w:br/>
              <w:t>Priimant sprendimus dėl tiekėjo pašalinimo iš pirkimo procedūros VPĮ 46 straipsnio 4 dalies 7 punkto a papunktyje nurodytu pašalinimo pagrindu, be kita ko, atsižvelgiama į nacionalinėje duomenų bazėje adresu: https://www.registrucentras.lt/jar/p/index.php</w:t>
            </w:r>
            <w:r>
              <w:br/>
              <w:t>paskelbtą informaciją, taip pat į šiame informaciniame pranešime pateiktą informaciją:</w:t>
            </w:r>
            <w:r>
              <w:br/>
            </w:r>
            <w:hyperlink r:id="rId10" w:history="1">
              <w:r w:rsidR="008447EB" w:rsidRPr="00F83199">
                <w:rPr>
                  <w:rStyle w:val="Hyperlink"/>
                </w:rPr>
                <w:t>https://vpt.lrv.lt/lt/naujienos-3/finansiniu-</w:t>
              </w:r>
              <w:r w:rsidR="008447EB" w:rsidRPr="00F83199">
                <w:rPr>
                  <w:rStyle w:val="Hyperlink"/>
                </w:rPr>
                <w:lastRenderedPageBreak/>
                <w:t>ataskaitu-nepateikimas-gali-tapti-kliutimi-dalyvauti-viesuosiuose-pirkimuose/</w:t>
              </w:r>
            </w:hyperlink>
          </w:p>
          <w:p w14:paraId="11083250" w14:textId="7CE6CA3A" w:rsidR="00CE6F61" w:rsidRDefault="00CE6F61" w:rsidP="00CE6F61">
            <w:r>
              <w:br/>
              <w:t>Priimant sprendimus dėl tiekėjo pašalinimo iš pirkimo procedūros VPĮ 46 straipsnio 4 dalies 7 punkto b papunktyje nurodytu pašalinimo pagrindu, be kita ko, atsižvelgiama į nacionalinėje duomenų bazėje adresu: https://www.vmi.lt/evmi/mokesciu-moketoju-informacija skelbiamą informaciją.</w:t>
            </w:r>
            <w:r>
              <w:br/>
            </w:r>
            <w:r>
              <w:br/>
              <w:t xml:space="preserve">Priimant sprendimus dėl tiekėjo pašalinimo iš pirkimo procedūros VPĮ 46 straipsnio 4 dalies 7 punkto c papunktyje punkte nurodytu pašalinimo pagrindu, be kita ko, atsižvelgiama į nacionalinėje duomenų bazėje adresu: </w:t>
            </w:r>
            <w:r>
              <w:br/>
              <w:t>https://kt.gov.lt/lt/atviri-duomenys/diskvalifikavimas-is-viesuju-pirkimu skelbiamą informaciją.</w:t>
            </w:r>
          </w:p>
        </w:tc>
        <w:tc>
          <w:tcPr>
            <w:tcW w:w="4359" w:type="dxa"/>
          </w:tcPr>
          <w:p w14:paraId="027ECFAD" w14:textId="77777777" w:rsidR="00CE6F61" w:rsidRDefault="00CE6F61" w:rsidP="00CE6F61">
            <w:r>
              <w:lastRenderedPageBreak/>
              <w:t xml:space="preserve">Tiekėjas, kiekvienas tiekėjų grupės narys ir kiekvienas kitas ūkio subjektas, kurio </w:t>
            </w:r>
            <w:r>
              <w:lastRenderedPageBreak/>
              <w:t>pajėgumais remiasi tiekėjas.</w:t>
            </w:r>
            <w:r>
              <w:br/>
            </w:r>
          </w:p>
        </w:tc>
        <w:tc>
          <w:tcPr>
            <w:tcW w:w="1560" w:type="dxa"/>
          </w:tcPr>
          <w:p w14:paraId="55F1E48E" w14:textId="440ADD8E" w:rsidR="00CE6F61" w:rsidRDefault="008C1B5B" w:rsidP="00CE6F61">
            <w:r>
              <w:lastRenderedPageBreak/>
              <w:t>1</w:t>
            </w:r>
            <w:r w:rsidR="00CE6F61">
              <w:t xml:space="preserve"> pirkimo objekto dalis</w:t>
            </w:r>
            <w:r w:rsidR="00CE6F61">
              <w:br/>
            </w:r>
            <w:r>
              <w:t>2</w:t>
            </w:r>
            <w:r w:rsidR="00CE6F61">
              <w:t xml:space="preserve"> pirkimo </w:t>
            </w:r>
            <w:r w:rsidR="00CE6F61">
              <w:lastRenderedPageBreak/>
              <w:t>objekto dalis</w:t>
            </w:r>
            <w:r w:rsidR="00CE6F61">
              <w:br/>
            </w:r>
            <w:r>
              <w:t>3</w:t>
            </w:r>
            <w:r w:rsidR="00CE6F61">
              <w:t xml:space="preserve"> pirkimo objekto dalis</w:t>
            </w:r>
            <w:r w:rsidR="00CE6F61">
              <w:br/>
            </w:r>
            <w:r>
              <w:t>4</w:t>
            </w:r>
            <w:r w:rsidR="00CE6F61">
              <w:t xml:space="preserve"> pirkimo objekto dalis</w:t>
            </w:r>
          </w:p>
        </w:tc>
      </w:tr>
    </w:tbl>
    <w:p w14:paraId="4AF7C710" w14:textId="77777777" w:rsidR="00805393" w:rsidRDefault="00805393" w:rsidP="001428B7"/>
    <w:p w14:paraId="18899D3B" w14:textId="77777777" w:rsidR="000F0684" w:rsidRDefault="000F0684" w:rsidP="001428B7"/>
    <w:p w14:paraId="2603B158" w14:textId="77777777" w:rsidR="000F0684" w:rsidRDefault="000F0684" w:rsidP="001428B7"/>
    <w:p w14:paraId="0B1D78BA" w14:textId="77777777" w:rsidR="00AA48FB" w:rsidRDefault="00AA48FB" w:rsidP="001428B7"/>
    <w:p w14:paraId="681C51F6" w14:textId="27271F51" w:rsidR="00B90E48" w:rsidRDefault="00B90E48" w:rsidP="00B90E48">
      <w:pPr>
        <w:pStyle w:val="Heading"/>
        <w:jc w:val="center"/>
        <w:rPr>
          <w:rFonts w:cs="Times New Roman"/>
          <w:color w:val="auto"/>
          <w:lang w:val="lt-LT"/>
        </w:rPr>
      </w:pPr>
      <w:r w:rsidRPr="0099191E">
        <w:rPr>
          <w:lang w:val="lt-LT"/>
        </w:rPr>
        <w:lastRenderedPageBreak/>
        <w:t xml:space="preserve">PIRKIMO SĄLYGŲ </w:t>
      </w:r>
      <w:r>
        <w:rPr>
          <w:lang w:val="lt-LT"/>
        </w:rPr>
        <w:t xml:space="preserve">5 </w:t>
      </w:r>
      <w:r w:rsidRPr="0099191E">
        <w:rPr>
          <w:lang w:val="lt-LT"/>
        </w:rPr>
        <w:t xml:space="preserve">PRIEDAS </w:t>
      </w:r>
      <w:r w:rsidRPr="00D61246">
        <w:rPr>
          <w:rFonts w:cs="Times New Roman"/>
          <w:color w:val="auto"/>
          <w:lang w:val="lt-LT"/>
        </w:rPr>
        <w:t>KVALIFIKACIJOS REIKALAVIMAI TIEKĖJUI</w:t>
      </w:r>
    </w:p>
    <w:p w14:paraId="6D209334" w14:textId="77777777" w:rsidR="000F0684" w:rsidRDefault="000F0684" w:rsidP="001428B7"/>
    <w:p w14:paraId="00C6CF24" w14:textId="77777777" w:rsidR="00AA48FB" w:rsidRDefault="00AA48FB" w:rsidP="001428B7"/>
    <w:tbl>
      <w:tblPr>
        <w:tblStyle w:val="TableGrid"/>
        <w:tblW w:w="4760" w:type="pct"/>
        <w:tblLayout w:type="fixed"/>
        <w:tblLook w:val="04A0" w:firstRow="1" w:lastRow="0" w:firstColumn="1" w:lastColumn="0" w:noHBand="0" w:noVBand="1"/>
      </w:tblPr>
      <w:tblGrid>
        <w:gridCol w:w="805"/>
        <w:gridCol w:w="3804"/>
        <w:gridCol w:w="3848"/>
        <w:gridCol w:w="3701"/>
        <w:gridCol w:w="1705"/>
      </w:tblGrid>
      <w:tr w:rsidR="001A7777" w:rsidRPr="00D61246" w14:paraId="7C7EA583" w14:textId="075CE6B6" w:rsidTr="001A7777">
        <w:tc>
          <w:tcPr>
            <w:tcW w:w="290" w:type="pct"/>
          </w:tcPr>
          <w:p w14:paraId="03FFCEB9" w14:textId="77777777" w:rsidR="001A7777" w:rsidRPr="00D61246" w:rsidRDefault="001A7777" w:rsidP="0038323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D61246">
              <w:rPr>
                <w:rFonts w:ascii="Times New Roman" w:eastAsia="Times New Roman" w:hAnsi="Times New Roman" w:cs="Times New Roman"/>
                <w:b/>
                <w:bCs/>
                <w:color w:val="auto"/>
                <w:sz w:val="22"/>
                <w:szCs w:val="22"/>
                <w:lang w:val="lt-LT"/>
              </w:rPr>
              <w:t>Eil. Nr.</w:t>
            </w:r>
          </w:p>
        </w:tc>
        <w:tc>
          <w:tcPr>
            <w:tcW w:w="1372" w:type="pct"/>
            <w:vAlign w:val="center"/>
          </w:tcPr>
          <w:p w14:paraId="07AA502C" w14:textId="77777777" w:rsidR="001A7777" w:rsidRPr="00D61246" w:rsidRDefault="001A7777" w:rsidP="00383237">
            <w:pPr>
              <w:jc w:val="center"/>
              <w:rPr>
                <w:b/>
                <w:bCs/>
              </w:rPr>
            </w:pPr>
            <w:r w:rsidRPr="00D61246">
              <w:rPr>
                <w:b/>
                <w:bCs/>
              </w:rPr>
              <w:t>Reikalavimas</w:t>
            </w:r>
          </w:p>
        </w:tc>
        <w:tc>
          <w:tcPr>
            <w:tcW w:w="1388" w:type="pct"/>
            <w:vAlign w:val="center"/>
          </w:tcPr>
          <w:p w14:paraId="2BD26DF8" w14:textId="77777777" w:rsidR="001A7777" w:rsidRPr="00D61246" w:rsidRDefault="001A7777" w:rsidP="00383237">
            <w:pPr>
              <w:jc w:val="center"/>
              <w:rPr>
                <w:rFonts w:eastAsia="Times New Roman"/>
                <w:b/>
                <w:bCs/>
              </w:rPr>
            </w:pPr>
            <w:r w:rsidRPr="00D61246">
              <w:rPr>
                <w:b/>
                <w:bCs/>
              </w:rPr>
              <w:t>Atitik</w:t>
            </w:r>
            <w:r>
              <w:rPr>
                <w:b/>
                <w:bCs/>
              </w:rPr>
              <w:t>t</w:t>
            </w:r>
            <w:r w:rsidRPr="00D61246">
              <w:rPr>
                <w:b/>
                <w:bCs/>
              </w:rPr>
              <w:t>į pagrindžiantys dokumentai</w:t>
            </w:r>
          </w:p>
        </w:tc>
        <w:tc>
          <w:tcPr>
            <w:tcW w:w="1335" w:type="pct"/>
            <w:vAlign w:val="center"/>
          </w:tcPr>
          <w:p w14:paraId="42D18F98" w14:textId="77777777" w:rsidR="001A7777" w:rsidRPr="00D61246" w:rsidRDefault="001A7777" w:rsidP="00383237">
            <w:pPr>
              <w:jc w:val="center"/>
              <w:rPr>
                <w:b/>
                <w:bCs/>
              </w:rPr>
            </w:pPr>
            <w:r w:rsidRPr="00D61246">
              <w:rPr>
                <w:b/>
                <w:bCs/>
              </w:rPr>
              <w:t>Subjektas, kuris turi atitikti reikalavimą</w:t>
            </w:r>
          </w:p>
        </w:tc>
        <w:tc>
          <w:tcPr>
            <w:tcW w:w="615" w:type="pct"/>
          </w:tcPr>
          <w:p w14:paraId="120B8114" w14:textId="732ED2C2" w:rsidR="001A7777" w:rsidRPr="00D61246" w:rsidRDefault="001A7777" w:rsidP="00383237">
            <w:pPr>
              <w:jc w:val="center"/>
              <w:rPr>
                <w:b/>
                <w:bCs/>
              </w:rPr>
            </w:pPr>
            <w:r>
              <w:rPr>
                <w:b/>
                <w:bCs/>
              </w:rPr>
              <w:t>Reikalavimo taikymas dalims</w:t>
            </w:r>
          </w:p>
        </w:tc>
      </w:tr>
      <w:tr w:rsidR="001A7777" w:rsidRPr="00D61246" w14:paraId="417C4A1D" w14:textId="5E638F24" w:rsidTr="001A7777">
        <w:tc>
          <w:tcPr>
            <w:tcW w:w="290" w:type="pct"/>
          </w:tcPr>
          <w:p w14:paraId="21A096FE" w14:textId="77777777" w:rsidR="001A7777" w:rsidRPr="00D61246" w:rsidRDefault="001A7777" w:rsidP="001A7777">
            <w:r>
              <w:t>1.</w:t>
            </w:r>
          </w:p>
        </w:tc>
        <w:tc>
          <w:tcPr>
            <w:tcW w:w="1372" w:type="pct"/>
          </w:tcPr>
          <w:p w14:paraId="1947A6D0" w14:textId="61BB8AB6" w:rsidR="008A51C5" w:rsidRPr="008A6D17" w:rsidRDefault="00C57E67" w:rsidP="001A7777">
            <w:pPr>
              <w:rPr>
                <w:u w:val="single"/>
              </w:rPr>
            </w:pPr>
            <w:r>
              <w:t xml:space="preserve">Tiekėjas turi būti registruotas kaip atliekų tvarkytojas Atliekų tvarkytojų valstybės registre ir turėti teisę vykdyti techninėje specifikacijoje nurodytų atliekų </w:t>
            </w:r>
            <w:r w:rsidR="00465055">
              <w:t xml:space="preserve">surinkimo </w:t>
            </w:r>
            <w:r>
              <w:t>veikl</w:t>
            </w:r>
            <w:r w:rsidR="0036342D">
              <w:t>a</w:t>
            </w:r>
            <w:r w:rsidR="00967F68">
              <w:t>.</w:t>
            </w:r>
          </w:p>
        </w:tc>
        <w:tc>
          <w:tcPr>
            <w:tcW w:w="1388" w:type="pct"/>
          </w:tcPr>
          <w:p w14:paraId="6CD7404B" w14:textId="77777777" w:rsidR="001A7777" w:rsidRPr="0067695E" w:rsidRDefault="001A7777" w:rsidP="001A7777">
            <w:r w:rsidRPr="0067695E">
              <w:t>Iš Tiekėjo nereikalaujama pateikti jokių kvalifikacijos atitikimą įrodančių dokumentų. Perkančioji organizacija pati tikrins Lietuvos Respublikos aplinkos ministerijos internetinėje svetainėje skelbiamus duomenis:</w:t>
            </w:r>
          </w:p>
          <w:p w14:paraId="18CA6912" w14:textId="77777777" w:rsidR="001A7777" w:rsidRPr="00093117" w:rsidRDefault="001A7777" w:rsidP="001A7777">
            <w:pPr>
              <w:rPr>
                <w:color w:val="0070C0"/>
              </w:rPr>
            </w:pPr>
            <w:hyperlink r:id="rId11" w:history="1">
              <w:r w:rsidRPr="00093117">
                <w:rPr>
                  <w:rStyle w:val="Hyperlink"/>
                  <w:color w:val="0070C0"/>
                  <w:lang w:val="pt-PT"/>
                </w:rPr>
                <w:t>https://www.gpais.eu/atvr-viesa-paieska</w:t>
              </w:r>
            </w:hyperlink>
          </w:p>
          <w:p w14:paraId="282D99B4" w14:textId="77777777" w:rsidR="001A7777" w:rsidRDefault="001A7777" w:rsidP="001A7777">
            <w:r>
              <w:t xml:space="preserve"> </w:t>
            </w:r>
          </w:p>
          <w:p w14:paraId="4D3F17C6" w14:textId="6726E3DD" w:rsidR="00E37077" w:rsidRPr="00884383" w:rsidRDefault="00E37077" w:rsidP="009D42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212121"/>
                <w:bdr w:val="none" w:sz="0" w:space="0" w:color="auto"/>
                <w:lang w:val="en-GB" w:eastAsia="en-GB"/>
              </w:rPr>
            </w:pPr>
            <w:r w:rsidRPr="00884383">
              <w:rPr>
                <w:rFonts w:eastAsia="Times New Roman"/>
                <w:color w:val="212121"/>
                <w:bdr w:val="none" w:sz="0" w:space="0" w:color="auto"/>
                <w:lang w:eastAsia="en-GB"/>
              </w:rPr>
              <w:t>Jeigu dėl techninių trikdžių perkančioji organizacija neturės galimybės patikrinti neatlygintinai prieinamų duomenų apie tiekėją, ji prašys tiekėjo pateikti tiekėjo teisę verstis reikalaujama veikla įrodančius dokumentus</w:t>
            </w:r>
            <w:r w:rsidR="00884383">
              <w:rPr>
                <w:rFonts w:eastAsia="Times New Roman"/>
                <w:color w:val="212121"/>
                <w:bdr w:val="none" w:sz="0" w:space="0" w:color="auto"/>
                <w:lang w:eastAsia="en-GB"/>
              </w:rPr>
              <w:t xml:space="preserve"> </w:t>
            </w:r>
            <w:r w:rsidRPr="00884383">
              <w:rPr>
                <w:rFonts w:eastAsia="Times New Roman"/>
                <w:color w:val="212121"/>
                <w:bdr w:val="none" w:sz="0" w:space="0" w:color="auto"/>
                <w:lang w:eastAsia="en-GB"/>
              </w:rPr>
              <w:t xml:space="preserve">(Europos sąjungos šalių arba trečiųjų šalių konkurso dalyvis - pateikia užsienio valstybės institucijos, turinčios teisę išduoti tokio tipo dokumentus, dokumento kopiją ir jo vertimą į  lietuvių kalbą arba </w:t>
            </w:r>
            <w:r w:rsidR="001C5FDC">
              <w:rPr>
                <w:rFonts w:eastAsia="Times New Roman"/>
                <w:color w:val="212121"/>
                <w:bdr w:val="none" w:sz="0" w:space="0" w:color="auto"/>
                <w:lang w:eastAsia="en-GB"/>
              </w:rPr>
              <w:t>atliek</w:t>
            </w:r>
            <w:r w:rsidR="00F3511B">
              <w:rPr>
                <w:rFonts w:eastAsia="Times New Roman"/>
                <w:color w:val="212121"/>
                <w:bdr w:val="none" w:sz="0" w:space="0" w:color="auto"/>
                <w:lang w:eastAsia="en-GB"/>
              </w:rPr>
              <w:t>ų</w:t>
            </w:r>
            <w:r w:rsidR="001C5FDC" w:rsidRPr="00884383">
              <w:rPr>
                <w:rFonts w:eastAsia="Times New Roman"/>
                <w:color w:val="212121"/>
                <w:bdr w:val="none" w:sz="0" w:space="0" w:color="auto"/>
                <w:lang w:eastAsia="en-GB"/>
              </w:rPr>
              <w:t xml:space="preserve"> </w:t>
            </w:r>
            <w:r w:rsidRPr="00884383">
              <w:rPr>
                <w:rFonts w:eastAsia="Times New Roman"/>
                <w:color w:val="212121"/>
                <w:bdr w:val="none" w:sz="0" w:space="0" w:color="auto"/>
                <w:lang w:eastAsia="en-GB"/>
              </w:rPr>
              <w:t>tvarkymo subjektų registro išrašą bei internetinę nuorodą jo patikrinimui).</w:t>
            </w:r>
          </w:p>
          <w:p w14:paraId="786E50C6" w14:textId="77777777" w:rsidR="001A7777" w:rsidRPr="00BD2867" w:rsidRDefault="001A7777" w:rsidP="001A7777">
            <w:pPr>
              <w:rPr>
                <w:i/>
                <w:iCs/>
              </w:rPr>
            </w:pPr>
          </w:p>
        </w:tc>
        <w:tc>
          <w:tcPr>
            <w:tcW w:w="1335" w:type="pct"/>
          </w:tcPr>
          <w:p w14:paraId="3B1DB996" w14:textId="77777777" w:rsidR="001A7777" w:rsidRPr="00571A6C" w:rsidRDefault="001A7777" w:rsidP="001A7777">
            <w:pPr>
              <w:autoSpaceDE w:val="0"/>
              <w:autoSpaceDN w:val="0"/>
              <w:adjustRightInd w:val="0"/>
            </w:pPr>
            <w:r w:rsidRPr="00571A6C">
              <w:t xml:space="preserve">Tiekėjas, kiekvienas tiekėjų grupės narys, jeigu pasiūlymą teikia ūkio subjektų grupė, ūkio subjektas, kurio pajėgumais remiasi tiekėjas, pagal jų prisiimamus įsipareigojimus pirkimo sutarčiai vykdyti. </w:t>
            </w:r>
          </w:p>
          <w:p w14:paraId="7E657A7E" w14:textId="77777777" w:rsidR="001A7777" w:rsidRPr="00571A6C" w:rsidRDefault="001A7777" w:rsidP="001A7777">
            <w:pPr>
              <w:autoSpaceDE w:val="0"/>
              <w:autoSpaceDN w:val="0"/>
              <w:adjustRightInd w:val="0"/>
            </w:pPr>
            <w:r w:rsidRPr="00571A6C">
              <w:t>Tiekėjas gali remtis kitų ūkio subjektų pajėgumais tik tuomet, kai tie subjektai, kurių pajėgumais buvo pasiremta, patys tieks prekes, teiks paslaugas ar atliks darbus, kuriems reikia jų pajėgumų.</w:t>
            </w:r>
          </w:p>
          <w:p w14:paraId="16192D29" w14:textId="77777777" w:rsidR="001A7777" w:rsidRPr="00571A6C" w:rsidRDefault="001A7777" w:rsidP="001A7777">
            <w:pPr>
              <w:autoSpaceDE w:val="0"/>
              <w:autoSpaceDN w:val="0"/>
              <w:adjustRightInd w:val="0"/>
            </w:pPr>
          </w:p>
          <w:p w14:paraId="5EE63B42" w14:textId="77777777" w:rsidR="001A7777" w:rsidRPr="00D61246" w:rsidRDefault="001A7777" w:rsidP="001A7777">
            <w:pPr>
              <w:spacing w:after="120"/>
            </w:pPr>
            <w:r w:rsidRPr="00571A6C">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r>
              <w:t>.</w:t>
            </w:r>
          </w:p>
        </w:tc>
        <w:tc>
          <w:tcPr>
            <w:tcW w:w="615" w:type="pct"/>
          </w:tcPr>
          <w:p w14:paraId="2C773EBB" w14:textId="09E5A993" w:rsidR="001A7777" w:rsidRPr="00571A6C" w:rsidRDefault="001A7777" w:rsidP="001A7777">
            <w:pPr>
              <w:autoSpaceDE w:val="0"/>
              <w:autoSpaceDN w:val="0"/>
              <w:adjustRightInd w:val="0"/>
            </w:pPr>
            <w:r>
              <w:t>1 pirkimo objekto dalis</w:t>
            </w:r>
            <w:r>
              <w:br/>
              <w:t>2 pirkimo objekto dalis</w:t>
            </w:r>
            <w:r>
              <w:br/>
              <w:t>3 pirkimo objekto dalis</w:t>
            </w:r>
            <w:r>
              <w:br/>
              <w:t>4 pirkimo objekto dalis</w:t>
            </w:r>
          </w:p>
        </w:tc>
      </w:tr>
    </w:tbl>
    <w:p w14:paraId="3275A494" w14:textId="77777777" w:rsidR="005B5FEF" w:rsidRPr="00D61246" w:rsidRDefault="005B5FEF" w:rsidP="005B5FEF">
      <w:pPr>
        <w:pStyle w:val="Body2"/>
        <w:rPr>
          <w:lang w:val="lt-LT"/>
        </w:rPr>
      </w:pPr>
    </w:p>
    <w:p w14:paraId="245460C5" w14:textId="77777777" w:rsidR="005B5FEF" w:rsidRPr="001428B7" w:rsidRDefault="005B5FEF" w:rsidP="00A070D7"/>
    <w:sectPr w:rsidR="005B5FEF" w:rsidRPr="001428B7" w:rsidSect="00092C15">
      <w:headerReference w:type="even" r:id="rId12"/>
      <w:headerReference w:type="default" r:id="rId13"/>
      <w:footerReference w:type="even" r:id="rId14"/>
      <w:footerReference w:type="default" r:id="rId15"/>
      <w:headerReference w:type="first" r:id="rId16"/>
      <w:footerReference w:type="first" r:id="rId17"/>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87A2" w14:textId="77777777" w:rsidR="00C1053D" w:rsidRDefault="00C1053D" w:rsidP="00992543">
      <w:r>
        <w:separator/>
      </w:r>
    </w:p>
  </w:endnote>
  <w:endnote w:type="continuationSeparator" w:id="0">
    <w:p w14:paraId="44FCA426" w14:textId="77777777" w:rsidR="00C1053D" w:rsidRDefault="00C1053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3C1C" w14:textId="77777777" w:rsidR="00C6209E" w:rsidRDefault="00C6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7C358DD2"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A82A9E">
      <w:rPr>
        <w:rFonts w:ascii="Times New Roman" w:hAnsi="Times New Roman"/>
        <w:sz w:val="18"/>
        <w:szCs w:val="18"/>
      </w:rPr>
      <w:t xml:space="preserve">Puslapis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iš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79E0" w14:textId="77777777" w:rsidR="00C6209E" w:rsidRDefault="00C62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4367" w14:textId="77777777" w:rsidR="00C1053D" w:rsidRDefault="00C1053D" w:rsidP="00992543">
      <w:r>
        <w:separator/>
      </w:r>
    </w:p>
  </w:footnote>
  <w:footnote w:type="continuationSeparator" w:id="0">
    <w:p w14:paraId="0CBD2ECC" w14:textId="77777777" w:rsidR="00C1053D" w:rsidRDefault="00C1053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1FC3" w14:textId="77777777" w:rsidR="00C6209E" w:rsidRDefault="00C62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4C1F" w14:textId="2B48A5EE" w:rsidR="000F0684" w:rsidRPr="00ED2727" w:rsidRDefault="000F0684" w:rsidP="000F0684">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right"/>
      <w:rPr>
        <w:rFonts w:eastAsia="Times New Roman"/>
        <w:b/>
        <w:bdr w:val="none" w:sz="0" w:space="0" w:color="auto"/>
        <w:lang w:eastAsia="lt-LT"/>
      </w:rPr>
    </w:pPr>
    <w:r w:rsidRPr="00ED2727">
      <w:rPr>
        <w:rFonts w:eastAsia="Times New Roman"/>
        <w:b/>
        <w:bdr w:val="none" w:sz="0" w:space="0" w:color="auto"/>
        <w:lang w:eastAsia="lt-LT"/>
      </w:rPr>
      <w:t xml:space="preserve">Specialiųjų pirkimo sąlygų </w:t>
    </w:r>
    <w:r>
      <w:rPr>
        <w:rFonts w:eastAsia="Times New Roman"/>
        <w:b/>
        <w:bdr w:val="none" w:sz="0" w:space="0" w:color="auto"/>
        <w:lang w:eastAsia="lt-LT"/>
      </w:rPr>
      <w:t>4</w:t>
    </w:r>
    <w:r w:rsidR="00C6209E">
      <w:rPr>
        <w:rFonts w:eastAsia="Times New Roman"/>
        <w:b/>
        <w:bdr w:val="none" w:sz="0" w:space="0" w:color="auto"/>
        <w:lang w:eastAsia="lt-LT"/>
      </w:rPr>
      <w:t>-5</w:t>
    </w:r>
    <w:r w:rsidRPr="00ED2727">
      <w:rPr>
        <w:rFonts w:eastAsia="Times New Roman"/>
        <w:b/>
        <w:bdr w:val="none" w:sz="0" w:space="0" w:color="auto"/>
        <w:lang w:eastAsia="lt-LT"/>
      </w:rPr>
      <w:t xml:space="preserve"> </w:t>
    </w:r>
    <w:r w:rsidR="00271319">
      <w:rPr>
        <w:rFonts w:eastAsia="Times New Roman"/>
        <w:b/>
        <w:bdr w:val="none" w:sz="0" w:space="0" w:color="auto"/>
        <w:lang w:eastAsia="lt-LT"/>
      </w:rPr>
      <w:t>priedas</w:t>
    </w:r>
  </w:p>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097E" w14:textId="77777777" w:rsidR="00C6209E" w:rsidRDefault="00C62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54C28"/>
    <w:rsid w:val="0006194A"/>
    <w:rsid w:val="00073BF2"/>
    <w:rsid w:val="00074879"/>
    <w:rsid w:val="00076839"/>
    <w:rsid w:val="0008474E"/>
    <w:rsid w:val="00084934"/>
    <w:rsid w:val="00092C15"/>
    <w:rsid w:val="0009563B"/>
    <w:rsid w:val="00096318"/>
    <w:rsid w:val="000B46B5"/>
    <w:rsid w:val="000B5AF8"/>
    <w:rsid w:val="000B7F26"/>
    <w:rsid w:val="000C2B4D"/>
    <w:rsid w:val="000D2AC3"/>
    <w:rsid w:val="000F0684"/>
    <w:rsid w:val="000F634B"/>
    <w:rsid w:val="0010193F"/>
    <w:rsid w:val="001249D0"/>
    <w:rsid w:val="00125AB0"/>
    <w:rsid w:val="001310D3"/>
    <w:rsid w:val="001337C6"/>
    <w:rsid w:val="001428B7"/>
    <w:rsid w:val="00143C06"/>
    <w:rsid w:val="001443A3"/>
    <w:rsid w:val="00145C0A"/>
    <w:rsid w:val="00151570"/>
    <w:rsid w:val="001701C1"/>
    <w:rsid w:val="00193440"/>
    <w:rsid w:val="001A071A"/>
    <w:rsid w:val="001A7777"/>
    <w:rsid w:val="001B614D"/>
    <w:rsid w:val="001B78A0"/>
    <w:rsid w:val="001C2A1B"/>
    <w:rsid w:val="001C5FDC"/>
    <w:rsid w:val="001D0379"/>
    <w:rsid w:val="001D29A6"/>
    <w:rsid w:val="001E7EA9"/>
    <w:rsid w:val="00207E8C"/>
    <w:rsid w:val="002174E0"/>
    <w:rsid w:val="00232799"/>
    <w:rsid w:val="00242345"/>
    <w:rsid w:val="002470CC"/>
    <w:rsid w:val="002505DB"/>
    <w:rsid w:val="002538F1"/>
    <w:rsid w:val="002560CC"/>
    <w:rsid w:val="002628FD"/>
    <w:rsid w:val="00263945"/>
    <w:rsid w:val="00267E64"/>
    <w:rsid w:val="0027024E"/>
    <w:rsid w:val="00271319"/>
    <w:rsid w:val="00273732"/>
    <w:rsid w:val="002775EE"/>
    <w:rsid w:val="00280A92"/>
    <w:rsid w:val="00286728"/>
    <w:rsid w:val="00295E68"/>
    <w:rsid w:val="00297477"/>
    <w:rsid w:val="002A1230"/>
    <w:rsid w:val="002A1D36"/>
    <w:rsid w:val="002A3B2F"/>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620EC"/>
    <w:rsid w:val="0036342D"/>
    <w:rsid w:val="003813FD"/>
    <w:rsid w:val="00381F67"/>
    <w:rsid w:val="003848AE"/>
    <w:rsid w:val="00390E93"/>
    <w:rsid w:val="003936CA"/>
    <w:rsid w:val="003A7C43"/>
    <w:rsid w:val="003B3917"/>
    <w:rsid w:val="003C540D"/>
    <w:rsid w:val="003D0BFF"/>
    <w:rsid w:val="003D2219"/>
    <w:rsid w:val="003E45ED"/>
    <w:rsid w:val="003F77EB"/>
    <w:rsid w:val="00407BD5"/>
    <w:rsid w:val="00426865"/>
    <w:rsid w:val="00427BD6"/>
    <w:rsid w:val="00435CFB"/>
    <w:rsid w:val="00436708"/>
    <w:rsid w:val="00447B75"/>
    <w:rsid w:val="00464F52"/>
    <w:rsid w:val="00465055"/>
    <w:rsid w:val="00471163"/>
    <w:rsid w:val="004757D6"/>
    <w:rsid w:val="0048021C"/>
    <w:rsid w:val="0048453E"/>
    <w:rsid w:val="00484614"/>
    <w:rsid w:val="0048718B"/>
    <w:rsid w:val="00493BD3"/>
    <w:rsid w:val="00494714"/>
    <w:rsid w:val="00497035"/>
    <w:rsid w:val="004A69BE"/>
    <w:rsid w:val="004B3BAF"/>
    <w:rsid w:val="004B4664"/>
    <w:rsid w:val="004C668F"/>
    <w:rsid w:val="004E4386"/>
    <w:rsid w:val="004F0975"/>
    <w:rsid w:val="004F1065"/>
    <w:rsid w:val="005022BD"/>
    <w:rsid w:val="00502793"/>
    <w:rsid w:val="00503D75"/>
    <w:rsid w:val="00504DC3"/>
    <w:rsid w:val="005063CB"/>
    <w:rsid w:val="00507E28"/>
    <w:rsid w:val="00523D1E"/>
    <w:rsid w:val="005361DA"/>
    <w:rsid w:val="0056317F"/>
    <w:rsid w:val="00567307"/>
    <w:rsid w:val="00567E4C"/>
    <w:rsid w:val="0057083E"/>
    <w:rsid w:val="005749FE"/>
    <w:rsid w:val="00582D47"/>
    <w:rsid w:val="0058424F"/>
    <w:rsid w:val="00586272"/>
    <w:rsid w:val="005874D2"/>
    <w:rsid w:val="005919DE"/>
    <w:rsid w:val="005A1D2E"/>
    <w:rsid w:val="005B2995"/>
    <w:rsid w:val="005B5FEF"/>
    <w:rsid w:val="005C4C18"/>
    <w:rsid w:val="005C6BB5"/>
    <w:rsid w:val="005D2C1D"/>
    <w:rsid w:val="005D2C87"/>
    <w:rsid w:val="005D725F"/>
    <w:rsid w:val="005E2575"/>
    <w:rsid w:val="005E4C58"/>
    <w:rsid w:val="005F4213"/>
    <w:rsid w:val="005F75BD"/>
    <w:rsid w:val="00600427"/>
    <w:rsid w:val="00602D74"/>
    <w:rsid w:val="0062016C"/>
    <w:rsid w:val="0062765C"/>
    <w:rsid w:val="006519D0"/>
    <w:rsid w:val="00670C15"/>
    <w:rsid w:val="00682AF4"/>
    <w:rsid w:val="00684216"/>
    <w:rsid w:val="006A5295"/>
    <w:rsid w:val="006B621E"/>
    <w:rsid w:val="006C1BF4"/>
    <w:rsid w:val="006C77CA"/>
    <w:rsid w:val="006E0399"/>
    <w:rsid w:val="006F372D"/>
    <w:rsid w:val="00700B8D"/>
    <w:rsid w:val="00710BB0"/>
    <w:rsid w:val="0072611D"/>
    <w:rsid w:val="00726270"/>
    <w:rsid w:val="00731F1F"/>
    <w:rsid w:val="0076788A"/>
    <w:rsid w:val="00772577"/>
    <w:rsid w:val="00774E03"/>
    <w:rsid w:val="00776EF1"/>
    <w:rsid w:val="0078302C"/>
    <w:rsid w:val="0079199D"/>
    <w:rsid w:val="00795298"/>
    <w:rsid w:val="00796FC0"/>
    <w:rsid w:val="007A70B5"/>
    <w:rsid w:val="007B3448"/>
    <w:rsid w:val="007B7480"/>
    <w:rsid w:val="007C76BD"/>
    <w:rsid w:val="007D47DB"/>
    <w:rsid w:val="007D7756"/>
    <w:rsid w:val="007E7679"/>
    <w:rsid w:val="007F3A82"/>
    <w:rsid w:val="007F536A"/>
    <w:rsid w:val="007F5ACB"/>
    <w:rsid w:val="00805393"/>
    <w:rsid w:val="008077F1"/>
    <w:rsid w:val="00811D4C"/>
    <w:rsid w:val="00814FFD"/>
    <w:rsid w:val="0082112A"/>
    <w:rsid w:val="00821B63"/>
    <w:rsid w:val="0083707B"/>
    <w:rsid w:val="008447EB"/>
    <w:rsid w:val="008457F2"/>
    <w:rsid w:val="00857222"/>
    <w:rsid w:val="00860DD0"/>
    <w:rsid w:val="00884383"/>
    <w:rsid w:val="00885BFE"/>
    <w:rsid w:val="008964BC"/>
    <w:rsid w:val="008A51C5"/>
    <w:rsid w:val="008A6029"/>
    <w:rsid w:val="008B2FB1"/>
    <w:rsid w:val="008C0AA1"/>
    <w:rsid w:val="008C1B5B"/>
    <w:rsid w:val="008C5299"/>
    <w:rsid w:val="008C64F3"/>
    <w:rsid w:val="008D1F3A"/>
    <w:rsid w:val="008F5D16"/>
    <w:rsid w:val="008F6BCD"/>
    <w:rsid w:val="0091373A"/>
    <w:rsid w:val="00927667"/>
    <w:rsid w:val="009321BC"/>
    <w:rsid w:val="0093362C"/>
    <w:rsid w:val="00933EF5"/>
    <w:rsid w:val="0093686F"/>
    <w:rsid w:val="00940951"/>
    <w:rsid w:val="00942FBB"/>
    <w:rsid w:val="00952AC1"/>
    <w:rsid w:val="00952DE8"/>
    <w:rsid w:val="00964262"/>
    <w:rsid w:val="00964DF6"/>
    <w:rsid w:val="00967F68"/>
    <w:rsid w:val="00975BA7"/>
    <w:rsid w:val="0098584D"/>
    <w:rsid w:val="0099191E"/>
    <w:rsid w:val="00992543"/>
    <w:rsid w:val="009A2F9A"/>
    <w:rsid w:val="009B5142"/>
    <w:rsid w:val="009B5A18"/>
    <w:rsid w:val="009B7A70"/>
    <w:rsid w:val="009C08A6"/>
    <w:rsid w:val="009C344C"/>
    <w:rsid w:val="009D3D0C"/>
    <w:rsid w:val="009D421E"/>
    <w:rsid w:val="009E1237"/>
    <w:rsid w:val="009E1C94"/>
    <w:rsid w:val="009E2B98"/>
    <w:rsid w:val="009F1325"/>
    <w:rsid w:val="009F3FAE"/>
    <w:rsid w:val="009F4E9E"/>
    <w:rsid w:val="009F50DB"/>
    <w:rsid w:val="00A0322D"/>
    <w:rsid w:val="00A070D7"/>
    <w:rsid w:val="00A24D9F"/>
    <w:rsid w:val="00A31A93"/>
    <w:rsid w:val="00A324BA"/>
    <w:rsid w:val="00A3798A"/>
    <w:rsid w:val="00A42760"/>
    <w:rsid w:val="00A4489C"/>
    <w:rsid w:val="00A47888"/>
    <w:rsid w:val="00A565B8"/>
    <w:rsid w:val="00A57AD6"/>
    <w:rsid w:val="00A65BCB"/>
    <w:rsid w:val="00A741EF"/>
    <w:rsid w:val="00A7676D"/>
    <w:rsid w:val="00A77F19"/>
    <w:rsid w:val="00A82A9E"/>
    <w:rsid w:val="00A85726"/>
    <w:rsid w:val="00A87897"/>
    <w:rsid w:val="00A9322A"/>
    <w:rsid w:val="00A9443F"/>
    <w:rsid w:val="00AA370E"/>
    <w:rsid w:val="00AA48FB"/>
    <w:rsid w:val="00AA5B3A"/>
    <w:rsid w:val="00AB11E9"/>
    <w:rsid w:val="00AC2862"/>
    <w:rsid w:val="00AC5DDC"/>
    <w:rsid w:val="00AD683C"/>
    <w:rsid w:val="00B0197C"/>
    <w:rsid w:val="00B125BD"/>
    <w:rsid w:val="00B161FF"/>
    <w:rsid w:val="00B22D42"/>
    <w:rsid w:val="00B2726B"/>
    <w:rsid w:val="00B45F06"/>
    <w:rsid w:val="00B47A77"/>
    <w:rsid w:val="00B54D3C"/>
    <w:rsid w:val="00B61DCD"/>
    <w:rsid w:val="00B90E48"/>
    <w:rsid w:val="00BB7FCF"/>
    <w:rsid w:val="00BC09D2"/>
    <w:rsid w:val="00BC1767"/>
    <w:rsid w:val="00BC3953"/>
    <w:rsid w:val="00BD01B5"/>
    <w:rsid w:val="00BD1D43"/>
    <w:rsid w:val="00BD3855"/>
    <w:rsid w:val="00BE5733"/>
    <w:rsid w:val="00BF27E4"/>
    <w:rsid w:val="00BF37A6"/>
    <w:rsid w:val="00C069B6"/>
    <w:rsid w:val="00C075D3"/>
    <w:rsid w:val="00C1053D"/>
    <w:rsid w:val="00C11639"/>
    <w:rsid w:val="00C12750"/>
    <w:rsid w:val="00C42A3D"/>
    <w:rsid w:val="00C51BF6"/>
    <w:rsid w:val="00C53DC3"/>
    <w:rsid w:val="00C57E67"/>
    <w:rsid w:val="00C6209E"/>
    <w:rsid w:val="00C6587B"/>
    <w:rsid w:val="00C76473"/>
    <w:rsid w:val="00C83DF8"/>
    <w:rsid w:val="00C944D2"/>
    <w:rsid w:val="00C979E3"/>
    <w:rsid w:val="00CA0B53"/>
    <w:rsid w:val="00CA4F7E"/>
    <w:rsid w:val="00CA641E"/>
    <w:rsid w:val="00CD1ACE"/>
    <w:rsid w:val="00CD2DB1"/>
    <w:rsid w:val="00CE0510"/>
    <w:rsid w:val="00CE6F61"/>
    <w:rsid w:val="00CF6036"/>
    <w:rsid w:val="00D026F1"/>
    <w:rsid w:val="00D03A4D"/>
    <w:rsid w:val="00D1550E"/>
    <w:rsid w:val="00D27949"/>
    <w:rsid w:val="00D37A9B"/>
    <w:rsid w:val="00D532B1"/>
    <w:rsid w:val="00D73BD1"/>
    <w:rsid w:val="00D75DAD"/>
    <w:rsid w:val="00D9086E"/>
    <w:rsid w:val="00DA61C2"/>
    <w:rsid w:val="00DC1623"/>
    <w:rsid w:val="00DC6F69"/>
    <w:rsid w:val="00DD3774"/>
    <w:rsid w:val="00DD5562"/>
    <w:rsid w:val="00DD7022"/>
    <w:rsid w:val="00DE2461"/>
    <w:rsid w:val="00DE68AD"/>
    <w:rsid w:val="00DF04E0"/>
    <w:rsid w:val="00DF0E54"/>
    <w:rsid w:val="00DF1212"/>
    <w:rsid w:val="00DF7177"/>
    <w:rsid w:val="00E00372"/>
    <w:rsid w:val="00E06D34"/>
    <w:rsid w:val="00E17847"/>
    <w:rsid w:val="00E2701C"/>
    <w:rsid w:val="00E37077"/>
    <w:rsid w:val="00E37C9C"/>
    <w:rsid w:val="00E50A51"/>
    <w:rsid w:val="00E5319D"/>
    <w:rsid w:val="00E554E2"/>
    <w:rsid w:val="00E61EAF"/>
    <w:rsid w:val="00E6250F"/>
    <w:rsid w:val="00E9761E"/>
    <w:rsid w:val="00EA7115"/>
    <w:rsid w:val="00EC379C"/>
    <w:rsid w:val="00ED5483"/>
    <w:rsid w:val="00ED7D47"/>
    <w:rsid w:val="00EE0C7D"/>
    <w:rsid w:val="00EE2047"/>
    <w:rsid w:val="00EE2688"/>
    <w:rsid w:val="00EF011E"/>
    <w:rsid w:val="00EF16D9"/>
    <w:rsid w:val="00EF27A0"/>
    <w:rsid w:val="00EF3491"/>
    <w:rsid w:val="00EF3AE3"/>
    <w:rsid w:val="00EF48FB"/>
    <w:rsid w:val="00F15C97"/>
    <w:rsid w:val="00F1708B"/>
    <w:rsid w:val="00F32252"/>
    <w:rsid w:val="00F32BD0"/>
    <w:rsid w:val="00F3511B"/>
    <w:rsid w:val="00F35B28"/>
    <w:rsid w:val="00F40AD5"/>
    <w:rsid w:val="00F42A81"/>
    <w:rsid w:val="00F75579"/>
    <w:rsid w:val="00F77ACC"/>
    <w:rsid w:val="00F871BD"/>
    <w:rsid w:val="00F92F60"/>
    <w:rsid w:val="00FA08BD"/>
    <w:rsid w:val="00FA22DC"/>
    <w:rsid w:val="00FA5AA9"/>
    <w:rsid w:val="00FA76CB"/>
    <w:rsid w:val="00FB18B7"/>
    <w:rsid w:val="00FB7E18"/>
    <w:rsid w:val="00FC07BB"/>
    <w:rsid w:val="00FD0FE9"/>
    <w:rsid w:val="00FD1B33"/>
    <w:rsid w:val="00FE2154"/>
    <w:rsid w:val="00FE603C"/>
    <w:rsid w:val="00FF6031"/>
    <w:rsid w:val="00FF67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NoSpacing">
    <w:name w:val="No Spacing"/>
    <w:link w:val="NoSpacingChar"/>
    <w:uiPriority w:val="1"/>
    <w:qFormat/>
    <w:rsid w:val="00CE6F6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CE6F61"/>
    <w:rPr>
      <w:rFonts w:asciiTheme="minorHAnsi" w:eastAsiaTheme="minorEastAsia" w:hAnsiTheme="minorHAnsi" w:cstheme="minorBidi"/>
      <w:sz w:val="21"/>
      <w:szCs w:val="21"/>
      <w:bdr w:val="none" w:sz="0" w:space="0" w:color="auto"/>
      <w:lang w:eastAsia="lt-LT"/>
    </w:rPr>
  </w:style>
  <w:style w:type="character" w:styleId="UnresolvedMention">
    <w:name w:val="Unresolved Mention"/>
    <w:basedOn w:val="DefaultParagraphFont"/>
    <w:uiPriority w:val="99"/>
    <w:semiHidden/>
    <w:unhideWhenUsed/>
    <w:rsid w:val="008447EB"/>
    <w:rPr>
      <w:color w:val="605E5C"/>
      <w:shd w:val="clear" w:color="auto" w:fill="E1DFDD"/>
    </w:rPr>
  </w:style>
  <w:style w:type="character" w:styleId="FollowedHyperlink">
    <w:name w:val="FollowedHyperlink"/>
    <w:basedOn w:val="DefaultParagraphFont"/>
    <w:uiPriority w:val="99"/>
    <w:semiHidden/>
    <w:unhideWhenUsed/>
    <w:rsid w:val="008D1F3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07723642">
      <w:bodyDiv w:val="1"/>
      <w:marLeft w:val="0"/>
      <w:marRight w:val="0"/>
      <w:marTop w:val="0"/>
      <w:marBottom w:val="0"/>
      <w:divBdr>
        <w:top w:val="none" w:sz="0" w:space="0" w:color="auto"/>
        <w:left w:val="none" w:sz="0" w:space="0" w:color="auto"/>
        <w:bottom w:val="none" w:sz="0" w:space="0" w:color="auto"/>
        <w:right w:val="none" w:sz="0" w:space="0" w:color="auto"/>
      </w:divBdr>
      <w:divsChild>
        <w:div w:id="58333003">
          <w:marLeft w:val="0"/>
          <w:marRight w:val="0"/>
          <w:marTop w:val="0"/>
          <w:marBottom w:val="0"/>
          <w:divBdr>
            <w:top w:val="none" w:sz="0" w:space="0" w:color="auto"/>
            <w:left w:val="none" w:sz="0" w:space="0" w:color="auto"/>
            <w:bottom w:val="none" w:sz="0" w:space="0" w:color="auto"/>
            <w:right w:val="none" w:sz="0" w:space="0" w:color="auto"/>
          </w:divBdr>
        </w:div>
        <w:div w:id="895165825">
          <w:marLeft w:val="0"/>
          <w:marRight w:val="0"/>
          <w:marTop w:val="0"/>
          <w:marBottom w:val="0"/>
          <w:divBdr>
            <w:top w:val="none" w:sz="0" w:space="0" w:color="auto"/>
            <w:left w:val="none" w:sz="0" w:space="0" w:color="auto"/>
            <w:bottom w:val="none" w:sz="0" w:space="0" w:color="auto"/>
            <w:right w:val="none" w:sz="0" w:space="0" w:color="auto"/>
          </w:divBdr>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melaginga-informacija-pateikusiu-tiekeju-sarasas-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pais.eu/atvr-viesa-paiesk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pt.lrv.lt/lt/naujienos-3/finansiniu-ataskaitu-nepateikimas-gali-tapti-kliutimi-dalyvauti-viesuosiuose-pirkimuo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13</Pages>
  <Words>3502</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Donata Stankūnienė</cp:lastModifiedBy>
  <cp:revision>24</cp:revision>
  <cp:lastPrinted>2021-03-17T12:52:00Z</cp:lastPrinted>
  <dcterms:created xsi:type="dcterms:W3CDTF">2025-04-28T11:07:00Z</dcterms:created>
  <dcterms:modified xsi:type="dcterms:W3CDTF">2025-05-26T08:06:00Z</dcterms:modified>
</cp:coreProperties>
</file>