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45476CDE" w:rsidR="00753252" w:rsidRPr="006B7CE3" w:rsidRDefault="001F3BF7">
            <w:pPr>
              <w:jc w:val="both"/>
              <w:rPr>
                <w:rFonts w:ascii="Cambria" w:hAnsi="Cambria"/>
                <w:b/>
                <w:kern w:val="2"/>
                <w:sz w:val="22"/>
                <w:szCs w:val="22"/>
              </w:rPr>
            </w:pPr>
            <w:r w:rsidRPr="001F3BF7">
              <w:rPr>
                <w:rFonts w:ascii="Cambria" w:hAnsi="Cambria"/>
                <w:b/>
                <w:kern w:val="2"/>
                <w:sz w:val="22"/>
                <w:szCs w:val="22"/>
              </w:rPr>
              <w:t xml:space="preserve">BKT ir CRB tyrimai iš kapiliarinio kraujo </w:t>
            </w:r>
            <w:proofErr w:type="spellStart"/>
            <w:r w:rsidRPr="001F3BF7">
              <w:rPr>
                <w:rFonts w:ascii="Cambria" w:hAnsi="Cambria"/>
                <w:b/>
                <w:kern w:val="2"/>
                <w:sz w:val="22"/>
                <w:szCs w:val="22"/>
              </w:rPr>
              <w:t>express</w:t>
            </w:r>
            <w:proofErr w:type="spellEnd"/>
            <w:r w:rsidRPr="001F3BF7">
              <w:rPr>
                <w:rFonts w:ascii="Cambria" w:hAnsi="Cambria"/>
                <w:b/>
                <w:kern w:val="2"/>
                <w:sz w:val="22"/>
                <w:szCs w:val="22"/>
              </w:rPr>
              <w:t xml:space="preserve"> metodu kartu su įrangos įsigijimu panaudos būdu</w:t>
            </w:r>
            <w:r>
              <w:rPr>
                <w:rFonts w:ascii="Cambria" w:hAnsi="Cambria"/>
                <w:b/>
                <w:kern w:val="2"/>
                <w:sz w:val="22"/>
                <w:szCs w:val="22"/>
              </w:rPr>
              <w:t xml:space="preserve"> </w:t>
            </w:r>
            <w:r w:rsidRPr="001F3BF7">
              <w:rPr>
                <w:rFonts w:ascii="Cambria" w:hAnsi="Cambria"/>
                <w:i/>
                <w:kern w:val="2"/>
                <w:sz w:val="22"/>
                <w:szCs w:val="22"/>
              </w:rPr>
              <w:t>[nurodyti pirkimo objekto pavadinimą ir pirkimo objekto dalį pagal pirkimo sąlygas, priklausomai, kuriai pirkimo objekto daliai sudaroma pirkimo sutartis]</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57B87D8D" w:rsidR="005A23D8" w:rsidRPr="006B7CE3" w:rsidRDefault="005A23D8" w:rsidP="005A23D8">
            <w:pPr>
              <w:rPr>
                <w:rFonts w:ascii="Cambria" w:hAnsi="Cambria"/>
                <w:kern w:val="2"/>
                <w:sz w:val="22"/>
                <w:szCs w:val="22"/>
              </w:rPr>
            </w:pPr>
            <w:r w:rsidRPr="006B7CE3">
              <w:rPr>
                <w:rFonts w:ascii="Cambria" w:hAnsi="Cambria"/>
                <w:kern w:val="2"/>
                <w:sz w:val="22"/>
                <w:szCs w:val="22"/>
              </w:rPr>
              <w:t>+370 37 326975</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281707A3"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1F3BF7" w:rsidRPr="001F3BF7">
              <w:rPr>
                <w:rFonts w:ascii="Cambria" w:hAnsi="Cambria"/>
                <w:b/>
                <w:kern w:val="2"/>
                <w:sz w:val="22"/>
                <w:szCs w:val="22"/>
              </w:rPr>
              <w:t>BKT ir CRB tyrim</w:t>
            </w:r>
            <w:r w:rsidR="001F3BF7">
              <w:rPr>
                <w:rFonts w:ascii="Cambria" w:hAnsi="Cambria"/>
                <w:b/>
                <w:kern w:val="2"/>
                <w:sz w:val="22"/>
                <w:szCs w:val="22"/>
              </w:rPr>
              <w:t>us</w:t>
            </w:r>
            <w:r w:rsidR="001F3BF7" w:rsidRPr="001F3BF7">
              <w:rPr>
                <w:rFonts w:ascii="Cambria" w:hAnsi="Cambria"/>
                <w:b/>
                <w:kern w:val="2"/>
                <w:sz w:val="22"/>
                <w:szCs w:val="22"/>
              </w:rPr>
              <w:t xml:space="preserve"> iš kapiliarinio kraujo </w:t>
            </w:r>
            <w:proofErr w:type="spellStart"/>
            <w:r w:rsidR="001F3BF7" w:rsidRPr="001F3BF7">
              <w:rPr>
                <w:rFonts w:ascii="Cambria" w:hAnsi="Cambria"/>
                <w:b/>
                <w:kern w:val="2"/>
                <w:sz w:val="22"/>
                <w:szCs w:val="22"/>
              </w:rPr>
              <w:t>express</w:t>
            </w:r>
            <w:proofErr w:type="spellEnd"/>
            <w:r w:rsidR="001F3BF7" w:rsidRPr="001F3BF7">
              <w:rPr>
                <w:rFonts w:ascii="Cambria" w:hAnsi="Cambria"/>
                <w:b/>
                <w:kern w:val="2"/>
                <w:sz w:val="22"/>
                <w:szCs w:val="22"/>
              </w:rPr>
              <w:t xml:space="preserve"> metodu </w:t>
            </w:r>
            <w:r w:rsidR="001F3BF7" w:rsidRPr="001F3BF7">
              <w:rPr>
                <w:rFonts w:ascii="Cambria" w:hAnsi="Cambria"/>
                <w:b/>
                <w:kern w:val="2"/>
                <w:sz w:val="22"/>
                <w:szCs w:val="22"/>
              </w:rPr>
              <w:lastRenderedPageBreak/>
              <w:t xml:space="preserve">kartu su įrangos įsigijimu panaudos būdu </w:t>
            </w:r>
            <w:r w:rsidR="001F3BF7" w:rsidRPr="001F3BF7">
              <w:rPr>
                <w:rFonts w:ascii="Cambria" w:hAnsi="Cambria"/>
                <w:i/>
                <w:kern w:val="2"/>
                <w:sz w:val="22"/>
                <w:szCs w:val="22"/>
              </w:rPr>
              <w:t xml:space="preserve">[nurodyti pirkimo objekto pavadinimą ir pirkimo objekto dalį pagal pirkimo sąlygas, priklausomai, kuriai pirkimo objekto daliai sudaroma pirkimo sutartis]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75477802" w14:textId="3CC31E94"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3B0F57">
              <w:rPr>
                <w:rFonts w:ascii="Cambria" w:hAnsi="Cambria"/>
                <w:color w:val="000000"/>
                <w:kern w:val="2"/>
                <w:sz w:val="22"/>
                <w:szCs w:val="22"/>
              </w:rPr>
              <w:t>,</w:t>
            </w:r>
            <w:r w:rsidRPr="006B7CE3">
              <w:rPr>
                <w:rFonts w:ascii="Cambria" w:hAnsi="Cambria"/>
                <w:color w:val="000000"/>
                <w:kern w:val="2"/>
                <w:sz w:val="22"/>
                <w:szCs w:val="22"/>
              </w:rPr>
              <w:t xml:space="preserve"> Sutarties priede Nr. 2 „Prekių žiniaraštis“</w:t>
            </w:r>
            <w:r w:rsidR="003B0F57">
              <w:rPr>
                <w:rFonts w:ascii="Cambria" w:hAnsi="Cambria"/>
                <w:color w:val="000000"/>
                <w:kern w:val="2"/>
                <w:sz w:val="22"/>
                <w:szCs w:val="22"/>
              </w:rPr>
              <w:t xml:space="preserve"> </w:t>
            </w:r>
            <w:r w:rsidR="003B0F57">
              <w:t>ir Sutarties priede Nr. 5 „Pasiūlymas“</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51D3D857" w14:textId="67059C3C" w:rsidR="00753252" w:rsidRPr="00C76239" w:rsidRDefault="005265AE" w:rsidP="00775C8F">
            <w:pPr>
              <w:jc w:val="both"/>
              <w:rPr>
                <w:rFonts w:ascii="Cambria" w:hAnsi="Cambria"/>
                <w:b/>
                <w:color w:val="808080" w:themeColor="background1" w:themeShade="80"/>
                <w:kern w:val="2"/>
                <w:sz w:val="22"/>
                <w:szCs w:val="22"/>
              </w:rPr>
            </w:pPr>
            <w:r w:rsidRPr="006B7CE3">
              <w:rPr>
                <w:rFonts w:ascii="Cambria" w:hAnsi="Cambria"/>
                <w:kern w:val="2"/>
                <w:sz w:val="22"/>
                <w:szCs w:val="22"/>
              </w:rPr>
              <w:t>Šalys sudarys panaudos sutartį (</w:t>
            </w:r>
            <w:r w:rsidR="0088411A">
              <w:rPr>
                <w:rFonts w:ascii="Cambria" w:hAnsi="Cambria"/>
                <w:kern w:val="2"/>
                <w:sz w:val="22"/>
                <w:szCs w:val="22"/>
              </w:rPr>
              <w:t xml:space="preserve">Sutarties </w:t>
            </w:r>
            <w:r w:rsidRPr="006B7CE3">
              <w:rPr>
                <w:rFonts w:ascii="Cambria" w:hAnsi="Cambria"/>
                <w:kern w:val="2"/>
                <w:sz w:val="22"/>
                <w:szCs w:val="22"/>
              </w:rPr>
              <w:t>priedas Nr. 3) pagal kurią Tiekėjas perduos įrangą Pirkėjui neatlygintinai naudotis visą šios Sutarties galiojimo laikotarpį.</w:t>
            </w:r>
            <w:r w:rsidRPr="006B7CE3">
              <w:rPr>
                <w:rFonts w:ascii="Cambria" w:hAnsi="Cambria"/>
                <w:i/>
                <w:kern w:val="2"/>
                <w:sz w:val="22"/>
                <w:szCs w:val="22"/>
              </w:rPr>
              <w:t xml:space="preserve"> </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AD267B2" w14:textId="77777777" w:rsidR="0088411A" w:rsidRDefault="0088411A" w:rsidP="00775C8F">
            <w:pPr>
              <w:jc w:val="both"/>
              <w:rPr>
                <w:rFonts w:ascii="Cambria" w:hAnsi="Cambria"/>
                <w:kern w:val="2"/>
                <w:sz w:val="22"/>
                <w:szCs w:val="22"/>
              </w:rPr>
            </w:pPr>
            <w:r w:rsidRPr="0088411A">
              <w:rPr>
                <w:rFonts w:ascii="Cambria" w:hAnsi="Cambria"/>
                <w:kern w:val="2"/>
                <w:sz w:val="22"/>
                <w:szCs w:val="22"/>
              </w:rPr>
              <w:t xml:space="preserve">BKT ir CRB tyrimai iš kapiliarinio kraujo </w:t>
            </w:r>
            <w:proofErr w:type="spellStart"/>
            <w:r w:rsidRPr="0088411A">
              <w:rPr>
                <w:rFonts w:ascii="Cambria" w:hAnsi="Cambria"/>
                <w:kern w:val="2"/>
                <w:sz w:val="22"/>
                <w:szCs w:val="22"/>
              </w:rPr>
              <w:t>express</w:t>
            </w:r>
            <w:proofErr w:type="spellEnd"/>
            <w:r w:rsidRPr="0088411A">
              <w:rPr>
                <w:rFonts w:ascii="Cambria" w:hAnsi="Cambria"/>
                <w:kern w:val="2"/>
                <w:sz w:val="22"/>
                <w:szCs w:val="22"/>
              </w:rPr>
              <w:t xml:space="preserve"> metodu kartu su įrangos įsigijimu panaudos būdu </w:t>
            </w:r>
          </w:p>
          <w:p w14:paraId="16866C14" w14:textId="689B59D6"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4A92314" w:rsidR="002A5AAF" w:rsidRPr="006B7CE3" w:rsidRDefault="002A5AAF" w:rsidP="00775C8F">
            <w:pPr>
              <w:jc w:val="both"/>
              <w:rPr>
                <w:rFonts w:ascii="Cambria" w:hAnsi="Cambria"/>
                <w:sz w:val="22"/>
                <w:szCs w:val="22"/>
                <w:shd w:val="clear" w:color="auto" w:fill="FFFFFF"/>
              </w:rPr>
            </w:pPr>
            <w:r w:rsidRPr="006B7CE3">
              <w:rPr>
                <w:rFonts w:ascii="Cambria" w:hAnsi="Cambria"/>
                <w:kern w:val="2"/>
                <w:sz w:val="22"/>
                <w:szCs w:val="22"/>
              </w:rPr>
              <w:t xml:space="preserve">Tiekėjas </w:t>
            </w:r>
            <w:r w:rsidR="00E276C6">
              <w:rPr>
                <w:rFonts w:ascii="Cambria" w:hAnsi="Cambria"/>
                <w:b/>
                <w:kern w:val="2"/>
                <w:sz w:val="22"/>
                <w:szCs w:val="22"/>
              </w:rPr>
              <w:t>tyrimus atliekančią 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p>
          <w:p w14:paraId="2E036BD2" w14:textId="701ACB24"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E276C6" w:rsidRPr="00E276C6">
              <w:rPr>
                <w:rFonts w:ascii="Cambria" w:hAnsi="Cambria"/>
                <w:sz w:val="22"/>
                <w:szCs w:val="22"/>
                <w:shd w:val="clear" w:color="auto" w:fill="FFFFFF"/>
              </w:rPr>
              <w:t>tyrimus atliekančią 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1D2FDCE8" w14:textId="544C2B6F" w:rsidR="00753252" w:rsidRPr="006B7CE3" w:rsidRDefault="002A5AAF"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6470441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E276C6" w:rsidRPr="00E276C6">
              <w:rPr>
                <w:rFonts w:ascii="Cambria" w:hAnsi="Cambria"/>
                <w:b/>
                <w:kern w:val="2"/>
                <w:sz w:val="22"/>
                <w:szCs w:val="22"/>
              </w:rPr>
              <w:t>tyrimus atliekanč</w:t>
            </w:r>
            <w:r w:rsidR="00E276C6">
              <w:rPr>
                <w:rFonts w:ascii="Cambria" w:hAnsi="Cambria"/>
                <w:b/>
                <w:kern w:val="2"/>
                <w:sz w:val="22"/>
                <w:szCs w:val="22"/>
              </w:rPr>
              <w:t>ios</w:t>
            </w:r>
            <w:r w:rsidR="00E276C6" w:rsidRPr="00E276C6">
              <w:rPr>
                <w:rFonts w:ascii="Cambria" w:hAnsi="Cambria"/>
                <w:b/>
                <w:kern w:val="2"/>
                <w:sz w:val="22"/>
                <w:szCs w:val="22"/>
              </w:rPr>
              <w:t xml:space="preserve"> 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220C2E3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pateikiami šie dokumentai: Prekių perdavimo-priėmimo aktas</w:t>
            </w:r>
            <w:r w:rsidR="00E276C6">
              <w:rPr>
                <w:rFonts w:ascii="Cambria" w:hAnsi="Cambria"/>
                <w:kern w:val="2"/>
                <w:sz w:val="22"/>
                <w:szCs w:val="22"/>
              </w:rPr>
              <w:t xml:space="preserve">. </w:t>
            </w:r>
          </w:p>
          <w:p w14:paraId="4AC7B3F1" w14:textId="77777777" w:rsidR="002A5AAF" w:rsidRPr="006B7CE3" w:rsidRDefault="002A5AAF" w:rsidP="00775C8F">
            <w:pPr>
              <w:jc w:val="both"/>
              <w:rPr>
                <w:rFonts w:ascii="Cambria" w:hAnsi="Cambria"/>
                <w:kern w:val="2"/>
                <w:sz w:val="22"/>
                <w:szCs w:val="22"/>
              </w:rPr>
            </w:pPr>
          </w:p>
          <w:p w14:paraId="6A4F06B4" w14:textId="704A37A6"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Papildomai kartu su </w:t>
            </w:r>
            <w:r w:rsidR="00E276C6" w:rsidRPr="00E276C6">
              <w:rPr>
                <w:rFonts w:ascii="Cambria" w:hAnsi="Cambria"/>
                <w:b/>
                <w:kern w:val="2"/>
                <w:sz w:val="22"/>
                <w:szCs w:val="22"/>
              </w:rPr>
              <w:t>tyrimus atliekanči</w:t>
            </w:r>
            <w:r w:rsidR="00E276C6">
              <w:rPr>
                <w:rFonts w:ascii="Cambria" w:hAnsi="Cambria"/>
                <w:b/>
                <w:kern w:val="2"/>
                <w:sz w:val="22"/>
                <w:szCs w:val="22"/>
              </w:rPr>
              <w:t>a</w:t>
            </w:r>
            <w:r w:rsidR="00E276C6" w:rsidRPr="00E276C6">
              <w:rPr>
                <w:rFonts w:ascii="Cambria" w:hAnsi="Cambria"/>
                <w:b/>
                <w:kern w:val="2"/>
                <w:sz w:val="22"/>
                <w:szCs w:val="22"/>
              </w:rPr>
              <w:t xml:space="preserve"> įrang</w:t>
            </w:r>
            <w:r w:rsidR="00E276C6">
              <w:rPr>
                <w:rFonts w:ascii="Cambria" w:hAnsi="Cambria"/>
                <w:b/>
                <w:kern w:val="2"/>
                <w:sz w:val="22"/>
                <w:szCs w:val="22"/>
              </w:rPr>
              <w:t>a</w:t>
            </w:r>
            <w:r w:rsidR="00E276C6" w:rsidRPr="00E276C6">
              <w:rPr>
                <w:rFonts w:ascii="Cambria" w:hAnsi="Cambria"/>
                <w:b/>
                <w:kern w:val="2"/>
                <w:sz w:val="22"/>
                <w:szCs w:val="22"/>
              </w:rPr>
              <w:t xml:space="preserve"> </w:t>
            </w:r>
            <w:r w:rsidRPr="006B7CE3">
              <w:rPr>
                <w:rFonts w:ascii="Cambria" w:hAnsi="Cambria"/>
                <w:kern w:val="2"/>
                <w:sz w:val="22"/>
                <w:szCs w:val="22"/>
              </w:rPr>
              <w:t xml:space="preserve">pateikiama dokumentacija: </w:t>
            </w:r>
            <w:r w:rsidR="00E276C6" w:rsidRPr="00E276C6">
              <w:rPr>
                <w:rFonts w:ascii="Cambria" w:hAnsi="Cambria"/>
                <w:kern w:val="2"/>
                <w:sz w:val="22"/>
                <w:szCs w:val="22"/>
              </w:rPr>
              <w:t>Analizatoriaus naudojimo instrukcijos</w:t>
            </w:r>
            <w:r w:rsidR="00E276C6">
              <w:rPr>
                <w:rFonts w:ascii="Cambria" w:hAnsi="Cambria"/>
                <w:kern w:val="2"/>
                <w:sz w:val="22"/>
                <w:szCs w:val="22"/>
              </w:rPr>
              <w:t xml:space="preserve"> </w:t>
            </w:r>
            <w:r w:rsidR="00E276C6" w:rsidRPr="00E276C6">
              <w:rPr>
                <w:rFonts w:ascii="Cambria" w:hAnsi="Cambria"/>
                <w:kern w:val="2"/>
                <w:sz w:val="22"/>
                <w:szCs w:val="22"/>
              </w:rPr>
              <w:t>lietuvių ir anglų kalbomis (elektroninė versija)</w:t>
            </w:r>
            <w:r w:rsidR="00970326">
              <w:rPr>
                <w:rFonts w:ascii="Cambria" w:hAnsi="Cambria"/>
                <w:kern w:val="2"/>
                <w:sz w:val="22"/>
                <w:szCs w:val="22"/>
              </w:rPr>
              <w:t xml:space="preserve">, </w:t>
            </w:r>
            <w:r w:rsidR="00970326" w:rsidRPr="00970326">
              <w:rPr>
                <w:rFonts w:ascii="Cambria" w:hAnsi="Cambria"/>
                <w:kern w:val="2"/>
                <w:sz w:val="22"/>
                <w:szCs w:val="22"/>
              </w:rPr>
              <w:t>Tyrimo metodikos, reagentų (tame tarpe ir kontrolinių medžiagų) aprašymai anglų ir lietuvių kalbomis spausdinta forma</w:t>
            </w:r>
            <w:r w:rsidR="00970326">
              <w:rPr>
                <w:rFonts w:ascii="Cambria" w:hAnsi="Cambria"/>
                <w:kern w:val="2"/>
                <w:sz w:val="22"/>
                <w:szCs w:val="22"/>
              </w:rPr>
              <w:t xml:space="preserve">, </w:t>
            </w:r>
          </w:p>
          <w:p w14:paraId="74C125A4" w14:textId="77777777" w:rsidR="002A5AAF" w:rsidRPr="006B7CE3" w:rsidRDefault="002A5AAF" w:rsidP="00775C8F">
            <w:pPr>
              <w:jc w:val="both"/>
              <w:rPr>
                <w:rFonts w:ascii="Cambria" w:hAnsi="Cambria"/>
                <w:kern w:val="2"/>
                <w:sz w:val="22"/>
                <w:szCs w:val="22"/>
              </w:rPr>
            </w:pPr>
          </w:p>
          <w:p w14:paraId="743430F8" w14:textId="6C6E2AA1" w:rsidR="002A5AAF" w:rsidRPr="006B7CE3" w:rsidRDefault="002A5AAF" w:rsidP="00775C8F">
            <w:pPr>
              <w:jc w:val="both"/>
              <w:rPr>
                <w:rFonts w:ascii="Cambria" w:hAnsi="Cambria"/>
                <w:kern w:val="2"/>
                <w:sz w:val="22"/>
                <w:szCs w:val="22"/>
              </w:rPr>
            </w:pPr>
            <w:r w:rsidRPr="006B7CE3">
              <w:rPr>
                <w:rFonts w:ascii="Cambria" w:hAnsi="Cambria"/>
                <w:kern w:val="2"/>
                <w:sz w:val="22"/>
                <w:szCs w:val="22"/>
              </w:rPr>
              <w:t>Atskiru Pirkėjo pareikalavimu kartu su Prekėmis turi būti pateiktas galiojantis CE</w:t>
            </w:r>
            <w:r w:rsidR="00970326">
              <w:rPr>
                <w:rFonts w:ascii="Cambria" w:hAnsi="Cambria"/>
                <w:kern w:val="2"/>
                <w:sz w:val="22"/>
                <w:szCs w:val="22"/>
              </w:rPr>
              <w:t xml:space="preserve"> ir IVD</w:t>
            </w:r>
            <w:r w:rsidRPr="006B7CE3">
              <w:rPr>
                <w:rFonts w:ascii="Cambria" w:hAnsi="Cambria"/>
                <w:kern w:val="2"/>
                <w:sz w:val="22"/>
                <w:szCs w:val="22"/>
              </w:rPr>
              <w:t xml:space="preserve"> sertifikatas.</w:t>
            </w:r>
          </w:p>
          <w:p w14:paraId="7F360AA7" w14:textId="7B9DEA58"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1F3BF7">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lastRenderedPageBreak/>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94C4BDF" w14:textId="77777777" w:rsidR="00C44973" w:rsidRPr="006B7CE3" w:rsidRDefault="00C44973" w:rsidP="00101893">
            <w:pPr>
              <w:jc w:val="both"/>
              <w:rPr>
                <w:rFonts w:ascii="Cambria" w:hAnsi="Cambria"/>
                <w:kern w:val="2"/>
                <w:sz w:val="22"/>
                <w:szCs w:val="22"/>
              </w:rPr>
            </w:pPr>
            <w:r w:rsidRPr="006B7CE3">
              <w:rPr>
                <w:rFonts w:ascii="Cambria" w:hAnsi="Cambria"/>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w:t>
            </w:r>
            <w:r w:rsidRPr="006B7CE3">
              <w:rPr>
                <w:rFonts w:ascii="Cambria" w:hAnsi="Cambria"/>
                <w:b/>
                <w:kern w:val="2"/>
                <w:sz w:val="22"/>
                <w:szCs w:val="22"/>
              </w:rPr>
              <w:t>visą panaudos sutarties galiojimo terminą.</w:t>
            </w:r>
            <w:r w:rsidRPr="006B7CE3">
              <w:rPr>
                <w:rFonts w:ascii="Cambria" w:hAnsi="Cambria"/>
                <w:kern w:val="2"/>
                <w:sz w:val="22"/>
                <w:szCs w:val="22"/>
              </w:rPr>
              <w:t xml:space="preserve"> </w:t>
            </w:r>
          </w:p>
          <w:p w14:paraId="1AD73BAD" w14:textId="77777777" w:rsidR="00753252" w:rsidRDefault="00C44973" w:rsidP="00101893">
            <w:pPr>
              <w:jc w:val="both"/>
              <w:rPr>
                <w:rFonts w:ascii="Cambria" w:hAnsi="Cambria"/>
                <w:b/>
                <w:color w:val="808080" w:themeColor="background1" w:themeShade="80"/>
                <w:kern w:val="2"/>
                <w:sz w:val="22"/>
                <w:szCs w:val="22"/>
              </w:rPr>
            </w:pPr>
            <w:r w:rsidRPr="006B7CE3">
              <w:rPr>
                <w:rFonts w:ascii="Cambria" w:hAnsi="Cambria"/>
                <w:kern w:val="2"/>
                <w:sz w:val="22"/>
                <w:szCs w:val="22"/>
              </w:rPr>
              <w:t xml:space="preserve">Garantinis terminas, skaičiuojamas nuo panaudos perdavimo–priėmimo akto pasirašymo dienos. </w:t>
            </w:r>
            <w:r w:rsidRPr="006B7CE3">
              <w:rPr>
                <w:rFonts w:ascii="Cambria" w:hAnsi="Cambria"/>
                <w:b/>
                <w:color w:val="808080" w:themeColor="background1" w:themeShade="80"/>
                <w:kern w:val="2"/>
                <w:sz w:val="22"/>
                <w:szCs w:val="22"/>
              </w:rPr>
              <w:t xml:space="preserve"> </w:t>
            </w:r>
          </w:p>
          <w:p w14:paraId="22122598" w14:textId="780FBF59" w:rsidR="001E0E4E" w:rsidRPr="006B7CE3" w:rsidRDefault="001E0E4E" w:rsidP="00101893">
            <w:pPr>
              <w:jc w:val="both"/>
              <w:rPr>
                <w:rFonts w:ascii="Cambria" w:hAnsi="Cambria"/>
                <w:kern w:val="2"/>
                <w:sz w:val="22"/>
                <w:szCs w:val="22"/>
              </w:rPr>
            </w:pPr>
            <w:r w:rsidRPr="006B7CE3">
              <w:rPr>
                <w:rFonts w:ascii="Cambria" w:hAnsi="Cambria"/>
                <w:kern w:val="2"/>
                <w:sz w:val="22"/>
                <w:szCs w:val="22"/>
              </w:rPr>
              <w:t xml:space="preserve">Tiekėjas įsipareigoja tiekti reagentus, kurių galiojimas būtų ne trumpesnis kaip </w:t>
            </w:r>
            <w:r w:rsidRPr="006B7CE3">
              <w:rPr>
                <w:rFonts w:ascii="Cambria" w:hAnsi="Cambria"/>
                <w:b/>
                <w:kern w:val="2"/>
                <w:sz w:val="22"/>
                <w:szCs w:val="22"/>
              </w:rPr>
              <w:t>6 (šeši) mėn.</w:t>
            </w:r>
            <w:r w:rsidR="00E276C6">
              <w:rPr>
                <w:rFonts w:ascii="Cambria" w:hAnsi="Cambria"/>
                <w:b/>
                <w:kern w:val="2"/>
                <w:sz w:val="22"/>
                <w:szCs w:val="22"/>
              </w:rPr>
              <w:t xml:space="preserve"> </w:t>
            </w:r>
            <w:r w:rsidR="00E276C6" w:rsidRPr="00E276C6">
              <w:rPr>
                <w:rFonts w:ascii="Cambria" w:hAnsi="Cambria"/>
                <w:kern w:val="2"/>
                <w:sz w:val="22"/>
                <w:szCs w:val="22"/>
              </w:rPr>
              <w:t xml:space="preserve">(kontrolinių medžiagų ne trumpesnis </w:t>
            </w:r>
            <w:r w:rsidR="00970326">
              <w:rPr>
                <w:rFonts w:ascii="Cambria" w:hAnsi="Cambria"/>
                <w:kern w:val="2"/>
                <w:sz w:val="22"/>
                <w:szCs w:val="22"/>
              </w:rPr>
              <w:t>kaip</w:t>
            </w:r>
            <w:r w:rsidR="00E276C6" w:rsidRPr="00E276C6">
              <w:rPr>
                <w:rFonts w:ascii="Cambria" w:hAnsi="Cambria"/>
                <w:kern w:val="2"/>
                <w:sz w:val="22"/>
                <w:szCs w:val="22"/>
              </w:rPr>
              <w:t xml:space="preserve"> 2 (du) mėnesiai)</w:t>
            </w:r>
            <w:r w:rsidRPr="006B7CE3">
              <w:rPr>
                <w:rFonts w:ascii="Cambria" w:hAnsi="Cambria"/>
                <w:kern w:val="2"/>
                <w:sz w:val="22"/>
                <w:szCs w:val="22"/>
              </w:rPr>
              <w:t xml:space="preserve"> iki jų garantinio galiojimo laiko pabaigos, skaičiuojant nuo jų pristatymo dienos.</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E056B23" w14:textId="0D01C529" w:rsidR="00101893" w:rsidRPr="006B7CE3" w:rsidRDefault="00101893" w:rsidP="00101893">
            <w:pPr>
              <w:jc w:val="both"/>
              <w:rPr>
                <w:rFonts w:ascii="Cambria" w:hAnsi="Cambria"/>
                <w:kern w:val="2"/>
                <w:sz w:val="22"/>
                <w:szCs w:val="22"/>
              </w:rPr>
            </w:pPr>
            <w:r w:rsidRPr="006B7CE3">
              <w:rPr>
                <w:rFonts w:ascii="Cambria" w:hAnsi="Cambria"/>
                <w:kern w:val="2"/>
                <w:sz w:val="22"/>
                <w:szCs w:val="22"/>
              </w:rPr>
              <w:t xml:space="preserve">Tiekėjas turi užtikrinti sistemos įrangos aparatūrinės ir programinės dalies nemokamą techninį aptarnavimą sutarties galiojimo laikotarpiu. </w:t>
            </w:r>
          </w:p>
          <w:p w14:paraId="004934D1" w14:textId="669F846F" w:rsidR="00753252" w:rsidRPr="006B7CE3" w:rsidRDefault="00101893" w:rsidP="00101893">
            <w:pPr>
              <w:jc w:val="both"/>
              <w:rPr>
                <w:rFonts w:ascii="Cambria" w:hAnsi="Cambria"/>
                <w:kern w:val="2"/>
                <w:sz w:val="22"/>
                <w:szCs w:val="22"/>
              </w:rPr>
            </w:pPr>
            <w:r w:rsidRPr="006B7CE3">
              <w:rPr>
                <w:rFonts w:ascii="Cambria" w:hAnsi="Cambria"/>
                <w:kern w:val="2"/>
                <w:sz w:val="22"/>
                <w:szCs w:val="22"/>
              </w:rPr>
              <w:t xml:space="preserve">Tiekėjui gavus pranešimą </w:t>
            </w:r>
            <w:r w:rsidR="00970326" w:rsidRPr="0026750E">
              <w:rPr>
                <w:rFonts w:ascii="Cambria" w:hAnsi="Cambria"/>
                <w:sz w:val="22"/>
                <w:szCs w:val="22"/>
              </w:rPr>
              <w:t xml:space="preserve">apie įrangos gedimą /veikimo sutrikimą, Tiekėjo specialistas privalės konsultuoti telefonu/arba prisijungti prie analizatoriaus nuotoliniu būdu ir pašalinti sutrikimą, o nepavykus pašalinti įrangos gedimo ar sutrikimo nuotoliniu būdu, ne vėliau kaip </w:t>
            </w:r>
            <w:r w:rsidR="00970326" w:rsidRPr="0026750E">
              <w:rPr>
                <w:rFonts w:ascii="Cambria" w:hAnsi="Cambria"/>
                <w:sz w:val="22"/>
                <w:szCs w:val="22"/>
              </w:rPr>
              <w:lastRenderedPageBreak/>
              <w:t xml:space="preserve">per 48 </w:t>
            </w:r>
            <w:r w:rsidR="00970326">
              <w:rPr>
                <w:rFonts w:ascii="Cambria" w:hAnsi="Cambria"/>
                <w:sz w:val="22"/>
                <w:szCs w:val="22"/>
              </w:rPr>
              <w:t xml:space="preserve">(keturiasdešimt aštuonias) </w:t>
            </w:r>
            <w:r w:rsidR="00970326" w:rsidRPr="0026750E">
              <w:rPr>
                <w:rFonts w:ascii="Cambria" w:hAnsi="Cambria"/>
                <w:sz w:val="22"/>
                <w:szCs w:val="22"/>
              </w:rPr>
              <w:t>valandas nuo pranešimo gavimo momento atvykti į Kauno klinikas ir pašalinti gedimą. Nesant galimybės pašalinti gedimo tiekėjas privalo sugedusią (netinkamai veikiančią) įrangą laikinai pakeisti lygiaverte.</w:t>
            </w: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6B7CE3" w:rsidRDefault="00182C20">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C44973" w:rsidRPr="006B7CE3" w:rsidRDefault="00182C20" w:rsidP="00C44973">
            <w:pPr>
              <w:rPr>
                <w:rFonts w:ascii="Cambria" w:hAnsi="Cambria"/>
                <w:kern w:val="2"/>
                <w:sz w:val="22"/>
                <w:szCs w:val="22"/>
              </w:rPr>
            </w:pPr>
            <w:r w:rsidRPr="006B7CE3">
              <w:rPr>
                <w:rFonts w:ascii="Cambria" w:hAnsi="Cambria"/>
                <w:kern w:val="2"/>
                <w:sz w:val="22"/>
                <w:szCs w:val="22"/>
              </w:rPr>
              <w:t>Netesybomis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xml:space="preserve">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w:t>
            </w:r>
            <w:r w:rsidRPr="006B7CE3">
              <w:rPr>
                <w:rFonts w:ascii="Cambria" w:hAnsi="Cambria"/>
                <w:b/>
                <w:kern w:val="2"/>
                <w:sz w:val="22"/>
                <w:szCs w:val="22"/>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30 (trisdešimt)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753252" w:rsidRPr="008E7C74" w:rsidRDefault="0088411A" w:rsidP="00765982">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lastRenderedPageBreak/>
              <w:t>10.1. Esminės Sutarties sąlygos</w:t>
            </w:r>
          </w:p>
        </w:tc>
        <w:tc>
          <w:tcPr>
            <w:tcW w:w="6828" w:type="dxa"/>
            <w:gridSpan w:val="2"/>
          </w:tcPr>
          <w:p w14:paraId="7F9C86F5" w14:textId="4A91933F" w:rsidR="00731731" w:rsidRPr="006B7CE3" w:rsidRDefault="00731731" w:rsidP="00731731">
            <w:pPr>
              <w:jc w:val="both"/>
              <w:rPr>
                <w:rFonts w:ascii="Cambria" w:hAnsi="Cambria"/>
                <w:b/>
                <w:bCs/>
                <w:color w:val="4472C4"/>
                <w:kern w:val="2"/>
                <w:sz w:val="22"/>
                <w:szCs w:val="22"/>
              </w:rPr>
            </w:pPr>
            <w:r w:rsidRPr="0068195E">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6B7CE3" w:rsidRDefault="00731731" w:rsidP="00731731">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0359FF4B" w:rsidR="00753252" w:rsidRPr="00C76239" w:rsidRDefault="00182C20" w:rsidP="00970326">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97032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970326">
              <w:rPr>
                <w:rFonts w:ascii="Cambria" w:hAnsi="Cambria"/>
                <w:b/>
                <w:color w:val="000000"/>
                <w:kern w:val="2"/>
                <w:sz w:val="22"/>
                <w:szCs w:val="22"/>
              </w:rPr>
              <w:t>dvi</w:t>
            </w:r>
            <w:r w:rsidR="00E27FB8" w:rsidRPr="006B7CE3">
              <w:rPr>
                <w:rFonts w:ascii="Cambria" w:hAnsi="Cambria"/>
                <w:b/>
                <w:color w:val="000000"/>
                <w:kern w:val="2"/>
                <w:sz w:val="22"/>
                <w:szCs w:val="22"/>
              </w:rPr>
              <w:t xml:space="preserve">dešimt </w:t>
            </w:r>
            <w:r w:rsidR="00970326">
              <w:rPr>
                <w:rFonts w:ascii="Cambria" w:hAnsi="Cambria"/>
                <w:b/>
                <w:color w:val="000000"/>
                <w:kern w:val="2"/>
                <w:sz w:val="22"/>
                <w:szCs w:val="22"/>
              </w:rPr>
              <w:t>keturi</w:t>
            </w:r>
            <w:r w:rsidR="00E27FB8" w:rsidRPr="006B7CE3">
              <w:rPr>
                <w:rFonts w:ascii="Cambria" w:hAnsi="Cambria"/>
                <w:b/>
                <w:color w:val="000000"/>
                <w:kern w:val="2"/>
                <w:sz w:val="22"/>
                <w:szCs w:val="22"/>
              </w:rPr>
              <w:t>) mėnesiai.</w:t>
            </w:r>
          </w:p>
        </w:tc>
      </w:tr>
      <w:tr w:rsidR="00753252"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1B95AEA" w14:textId="77777777" w:rsidR="00970326" w:rsidRPr="00BE6893" w:rsidRDefault="00970326" w:rsidP="00970326">
            <w:pPr>
              <w:jc w:val="both"/>
              <w:rPr>
                <w:rFonts w:ascii="Cambria" w:hAnsi="Cambria"/>
                <w:kern w:val="2"/>
                <w:sz w:val="22"/>
                <w:szCs w:val="22"/>
              </w:rPr>
            </w:pPr>
            <w:r w:rsidRPr="00BE6893">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C3A7151" w:rsidR="00753252" w:rsidRPr="006B7CE3" w:rsidRDefault="00970326" w:rsidP="00970326">
            <w:pPr>
              <w:jc w:val="both"/>
              <w:rPr>
                <w:rFonts w:ascii="Cambria" w:hAnsi="Cambria"/>
                <w:kern w:val="2"/>
                <w:sz w:val="22"/>
                <w:szCs w:val="22"/>
              </w:rPr>
            </w:pPr>
            <w:r w:rsidRPr="00BE6893">
              <w:rPr>
                <w:rFonts w:ascii="Cambria" w:hAnsi="Cambria"/>
                <w:kern w:val="2"/>
                <w:sz w:val="22"/>
                <w:szCs w:val="22"/>
              </w:rPr>
              <w:t>Pirkėjas neišpirko Prekių pagal Sutartį ir nėra išnaudota Sutarties kaina.</w:t>
            </w:r>
          </w:p>
        </w:tc>
      </w:tr>
      <w:tr w:rsidR="00753252" w:rsidRPr="006B7CE3" w14:paraId="5D13AD82" w14:textId="77777777">
        <w:trPr>
          <w:trHeight w:val="300"/>
        </w:trPr>
        <w:tc>
          <w:tcPr>
            <w:tcW w:w="9535" w:type="dxa"/>
            <w:gridSpan w:val="4"/>
          </w:tcPr>
          <w:p w14:paraId="2CD75CE6"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753252" w:rsidRPr="006B7CE3" w14:paraId="418DDC19" w14:textId="77777777" w:rsidTr="00AE60A7">
        <w:trPr>
          <w:trHeight w:val="300"/>
        </w:trPr>
        <w:tc>
          <w:tcPr>
            <w:tcW w:w="2700" w:type="dxa"/>
          </w:tcPr>
          <w:p w14:paraId="56F438C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753252" w:rsidRPr="006B7CE3" w:rsidRDefault="003B0F57" w:rsidP="00970326">
            <w:pPr>
              <w:jc w:val="both"/>
              <w:rPr>
                <w:rFonts w:ascii="Cambria" w:hAnsi="Cambria"/>
                <w:kern w:val="2"/>
                <w:sz w:val="22"/>
                <w:szCs w:val="22"/>
              </w:rPr>
            </w:pPr>
            <w:r>
              <w:t>Sutartis gali būti nutraukiama rašytiniu Šalių susitarimu arba vienašališkai, Bendrosiose sąlygose ir šiais Specialiosiose sąlygose nurodytais atvejais ir nustatyta tvarka.</w:t>
            </w:r>
          </w:p>
        </w:tc>
      </w:tr>
      <w:tr w:rsidR="00753252" w:rsidRPr="006B7CE3" w14:paraId="2FD6ED60" w14:textId="77777777" w:rsidTr="00AE60A7">
        <w:trPr>
          <w:trHeight w:val="300"/>
        </w:trPr>
        <w:tc>
          <w:tcPr>
            <w:tcW w:w="2700" w:type="dxa"/>
          </w:tcPr>
          <w:p w14:paraId="7A417329"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753252" w:rsidRPr="006B7CE3" w:rsidRDefault="00753252">
            <w:pPr>
              <w:rPr>
                <w:rFonts w:ascii="Cambria" w:hAnsi="Cambria"/>
                <w:b/>
                <w:bCs/>
                <w:kern w:val="2"/>
                <w:sz w:val="22"/>
                <w:szCs w:val="22"/>
              </w:rPr>
            </w:pPr>
          </w:p>
        </w:tc>
        <w:tc>
          <w:tcPr>
            <w:tcW w:w="6835" w:type="dxa"/>
            <w:gridSpan w:val="3"/>
          </w:tcPr>
          <w:p w14:paraId="7A2DD405"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753252" w:rsidRPr="006B7CE3" w:rsidRDefault="00182C20" w:rsidP="0097032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xml:space="preserve"> jeigu Tiekėjas nesilaiko Sutartyje nustatytų Prekių tiekimo terminų 2 (du) kartus iš eilės arba vėluoja pristatyti Prekes daugiau nei </w:t>
            </w:r>
            <w:r w:rsidR="00C76C77" w:rsidRPr="006B7CE3">
              <w:rPr>
                <w:rFonts w:ascii="Cambria" w:eastAsia="Arial" w:hAnsi="Cambria"/>
                <w:kern w:val="2"/>
                <w:sz w:val="22"/>
                <w:szCs w:val="22"/>
              </w:rPr>
              <w:t>30 (trisdešimt) kalendorinių dienų</w:t>
            </w:r>
            <w:r w:rsidRPr="006B7CE3">
              <w:rPr>
                <w:rFonts w:ascii="Cambria" w:eastAsia="Arial" w:hAnsi="Cambria"/>
                <w:kern w:val="2"/>
                <w:sz w:val="22"/>
                <w:szCs w:val="22"/>
              </w:rPr>
              <w:t>;</w:t>
            </w:r>
          </w:p>
          <w:p w14:paraId="147E7ECA" w14:textId="141B5BF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3</w:t>
            </w:r>
            <w:r w:rsidRPr="006B7CE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34EAD92A"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4</w:t>
            </w:r>
            <w:r w:rsidRPr="006B7CE3">
              <w:rPr>
                <w:rFonts w:ascii="Cambria" w:eastAsia="Arial" w:hAnsi="Cambria"/>
                <w:kern w:val="2"/>
                <w:sz w:val="22"/>
                <w:szCs w:val="22"/>
              </w:rPr>
              <w:t>. Tiekėjas pažeidžia Prekių pristatymo terminus ir dėl Prekių pristatymo vėlavimo Prekės tampa nebereikalingos;</w:t>
            </w:r>
          </w:p>
          <w:p w14:paraId="59609387" w14:textId="1BA3FF35"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5</w:t>
            </w:r>
            <w:r w:rsidRPr="006B7CE3">
              <w:rPr>
                <w:rFonts w:ascii="Cambria" w:eastAsia="Arial" w:hAnsi="Cambria"/>
                <w:kern w:val="2"/>
                <w:sz w:val="22"/>
                <w:szCs w:val="22"/>
              </w:rPr>
              <w:t>. Tiekėjas daugiau kaip 2 (du) kartus pristato Prekes, kurios neatitinka Sutartyje ir (ar) Įstatymuose nustatytų reikalavimų Prekėms;</w:t>
            </w:r>
          </w:p>
          <w:p w14:paraId="690895E1" w14:textId="0D98B97C" w:rsidR="00753252" w:rsidRPr="006B7CE3"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6</w:t>
            </w:r>
            <w:r w:rsidRPr="006B7CE3">
              <w:rPr>
                <w:rFonts w:ascii="Cambria" w:eastAsia="Arial" w:hAnsi="Cambria"/>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753252" w:rsidRPr="007E31DC" w:rsidRDefault="00182C20" w:rsidP="0097032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w:t>
            </w:r>
            <w:r w:rsidR="00AE60A7" w:rsidRPr="006B7CE3">
              <w:rPr>
                <w:rFonts w:ascii="Cambria" w:eastAsia="Arial" w:hAnsi="Cambria"/>
                <w:kern w:val="2"/>
                <w:sz w:val="22"/>
                <w:szCs w:val="22"/>
              </w:rPr>
              <w:t>7</w:t>
            </w:r>
            <w:r w:rsidRPr="006B7CE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6B7CE3" w14:paraId="0D694DC5" w14:textId="77777777">
        <w:trPr>
          <w:trHeight w:val="300"/>
        </w:trPr>
        <w:tc>
          <w:tcPr>
            <w:tcW w:w="9535" w:type="dxa"/>
            <w:gridSpan w:val="4"/>
          </w:tcPr>
          <w:p w14:paraId="635D4D3F" w14:textId="77777777" w:rsidR="00753252" w:rsidRPr="006B7CE3" w:rsidRDefault="00182C20">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753252" w:rsidRPr="006B7CE3" w14:paraId="2F126404" w14:textId="77777777" w:rsidTr="00AE60A7">
        <w:trPr>
          <w:trHeight w:val="300"/>
        </w:trPr>
        <w:tc>
          <w:tcPr>
            <w:tcW w:w="2700" w:type="dxa"/>
          </w:tcPr>
          <w:p w14:paraId="1BD936E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753252" w:rsidRDefault="00182C20" w:rsidP="00EC4320">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xml:space="preserve"> „Dėl Aplinkos apsaugos kriterijų taikymo, vykdant žaliuosius pirkimus, tvarkos aprašo </w:t>
            </w:r>
            <w:r w:rsidRPr="006B7CE3">
              <w:rPr>
                <w:rFonts w:ascii="Cambria" w:hAnsi="Cambria"/>
                <w:color w:val="000000"/>
                <w:kern w:val="2"/>
                <w:sz w:val="22"/>
                <w:szCs w:val="22"/>
                <w:shd w:val="clear" w:color="auto" w:fill="FFFFFF"/>
              </w:rPr>
              <w:lastRenderedPageBreak/>
              <w:t xml:space="preserve">patvirtinimo“ (toliau – Tvarkos aprašas) </w:t>
            </w:r>
            <w:r w:rsidR="00EC4320" w:rsidRPr="006B7CE3">
              <w:rPr>
                <w:rFonts w:ascii="Cambria" w:hAnsi="Cambria"/>
                <w:color w:val="000000"/>
                <w:kern w:val="2"/>
                <w:sz w:val="22"/>
                <w:szCs w:val="22"/>
                <w:shd w:val="clear" w:color="auto" w:fill="FFFFFF"/>
              </w:rPr>
              <w:t>4.4.4</w:t>
            </w:r>
            <w:r w:rsidRPr="006B7CE3">
              <w:rPr>
                <w:rFonts w:ascii="Cambria" w:hAnsi="Cambria"/>
                <w:color w:val="000000"/>
                <w:kern w:val="2"/>
                <w:sz w:val="22"/>
                <w:szCs w:val="22"/>
                <w:shd w:val="clear" w:color="auto" w:fill="FFFFFF"/>
              </w:rPr>
              <w:t xml:space="preserve"> papunkči</w:t>
            </w:r>
            <w:r w:rsidR="00EC4320" w:rsidRPr="006B7CE3">
              <w:rPr>
                <w:rFonts w:ascii="Cambria" w:hAnsi="Cambria"/>
                <w:color w:val="000000"/>
                <w:kern w:val="2"/>
                <w:sz w:val="22"/>
                <w:szCs w:val="22"/>
                <w:shd w:val="clear" w:color="auto" w:fill="FFFFFF"/>
              </w:rPr>
              <w:t>u</w:t>
            </w:r>
            <w:r w:rsidRPr="006B7CE3">
              <w:rPr>
                <w:rFonts w:ascii="Cambria" w:hAnsi="Cambria"/>
                <w:color w:val="000000"/>
                <w:kern w:val="2"/>
                <w:sz w:val="22"/>
                <w:szCs w:val="22"/>
              </w:rPr>
              <w:t> </w:t>
            </w:r>
            <w:r w:rsidR="00EC4320" w:rsidRPr="006B7CE3">
              <w:rPr>
                <w:rFonts w:ascii="Cambria" w:hAnsi="Cambria"/>
                <w:kern w:val="2"/>
                <w:sz w:val="22"/>
                <w:szCs w:val="22"/>
                <w:shd w:val="clear" w:color="auto" w:fill="FFFFFF"/>
              </w:rPr>
              <w:t>(savarankiškai nustatomi aplinkos apsaugos kriterijai).</w:t>
            </w:r>
          </w:p>
          <w:p w14:paraId="0DEF440D" w14:textId="38C757ED" w:rsidR="0015459F" w:rsidRPr="006B7CE3" w:rsidRDefault="0015459F" w:rsidP="00EC4320">
            <w:pPr>
              <w:jc w:val="both"/>
              <w:rPr>
                <w:rFonts w:ascii="Cambria" w:hAnsi="Cambria"/>
                <w:color w:val="000000"/>
                <w:kern w:val="2"/>
                <w:sz w:val="22"/>
                <w:szCs w:val="22"/>
              </w:rPr>
            </w:pPr>
            <w:r w:rsidRPr="0015459F">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53252" w:rsidRPr="006B7CE3" w14:paraId="4DD99A0F" w14:textId="77777777" w:rsidTr="00AE60A7">
        <w:trPr>
          <w:trHeight w:val="300"/>
        </w:trPr>
        <w:tc>
          <w:tcPr>
            <w:tcW w:w="2700" w:type="dxa"/>
          </w:tcPr>
          <w:p w14:paraId="6F93B74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753252" w:rsidRPr="006B7CE3" w:rsidRDefault="00753252">
            <w:pPr>
              <w:rPr>
                <w:rFonts w:ascii="Cambria" w:hAnsi="Cambria"/>
                <w:color w:val="000000"/>
                <w:kern w:val="2"/>
                <w:sz w:val="22"/>
                <w:szCs w:val="22"/>
                <w:shd w:val="clear" w:color="auto" w:fill="FFFFFF"/>
              </w:rPr>
            </w:pPr>
          </w:p>
          <w:p w14:paraId="733B87E7" w14:textId="0C021D66" w:rsidR="00753252" w:rsidRPr="006B7CE3" w:rsidRDefault="00753252">
            <w:pPr>
              <w:rPr>
                <w:rFonts w:ascii="Cambria" w:hAnsi="Cambria"/>
                <w:color w:val="0070C0"/>
                <w:kern w:val="2"/>
                <w:sz w:val="22"/>
                <w:szCs w:val="22"/>
              </w:rPr>
            </w:pPr>
          </w:p>
        </w:tc>
      </w:tr>
      <w:tr w:rsidR="00753252" w:rsidRPr="006B7CE3" w14:paraId="05BC9C3C" w14:textId="77777777">
        <w:trPr>
          <w:trHeight w:val="300"/>
        </w:trPr>
        <w:tc>
          <w:tcPr>
            <w:tcW w:w="9535" w:type="dxa"/>
            <w:gridSpan w:val="4"/>
          </w:tcPr>
          <w:p w14:paraId="2FF8161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EC4320" w:rsidRPr="006B7CE3" w14:paraId="755658B6" w14:textId="77777777" w:rsidTr="00AE60A7">
        <w:trPr>
          <w:trHeight w:val="300"/>
        </w:trPr>
        <w:tc>
          <w:tcPr>
            <w:tcW w:w="2700" w:type="dxa"/>
          </w:tcPr>
          <w:p w14:paraId="2FC2613F"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22E93B39" w14:textId="77777777" w:rsidTr="00AE60A7">
        <w:trPr>
          <w:trHeight w:val="300"/>
        </w:trPr>
        <w:tc>
          <w:tcPr>
            <w:tcW w:w="2700" w:type="dxa"/>
          </w:tcPr>
          <w:p w14:paraId="0C963568"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36C3353A" w14:textId="77777777" w:rsidTr="00AE60A7">
        <w:trPr>
          <w:trHeight w:val="300"/>
        </w:trPr>
        <w:tc>
          <w:tcPr>
            <w:tcW w:w="2700" w:type="dxa"/>
          </w:tcPr>
          <w:p w14:paraId="6891D08C"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EC4320" w:rsidRPr="006B7CE3" w14:paraId="65C176B5" w14:textId="77777777" w:rsidTr="00AE60A7">
        <w:trPr>
          <w:trHeight w:val="300"/>
        </w:trPr>
        <w:tc>
          <w:tcPr>
            <w:tcW w:w="2700" w:type="dxa"/>
          </w:tcPr>
          <w:p w14:paraId="79DDB13B"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EC4320" w:rsidRPr="006B7CE3" w:rsidRDefault="00EC4320" w:rsidP="00EC4320">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EC4320" w:rsidRPr="006B7CE3" w14:paraId="489CB9C0" w14:textId="77777777" w:rsidTr="00AE60A7">
        <w:trPr>
          <w:trHeight w:val="300"/>
        </w:trPr>
        <w:tc>
          <w:tcPr>
            <w:tcW w:w="2700" w:type="dxa"/>
          </w:tcPr>
          <w:p w14:paraId="49F3DB57" w14:textId="77777777" w:rsidR="00EC4320" w:rsidRPr="006B7CE3" w:rsidRDefault="00EC4320" w:rsidP="00EC4320">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EC4320" w:rsidRPr="006B7CE3" w:rsidRDefault="00EC4320" w:rsidP="00EC4320">
            <w:pPr>
              <w:rPr>
                <w:rFonts w:ascii="Cambria" w:hAnsi="Cambria"/>
                <w:kern w:val="2"/>
                <w:sz w:val="22"/>
                <w:szCs w:val="22"/>
              </w:rPr>
            </w:pPr>
            <w:r w:rsidRPr="006B7CE3">
              <w:rPr>
                <w:rFonts w:ascii="Cambria" w:hAnsi="Cambria"/>
                <w:kern w:val="2"/>
                <w:sz w:val="22"/>
                <w:szCs w:val="22"/>
                <w:shd w:val="clear" w:color="auto" w:fill="FFFFFF"/>
              </w:rPr>
              <w:t>Netaikoma</w:t>
            </w:r>
          </w:p>
        </w:tc>
      </w:tr>
      <w:tr w:rsidR="00753252" w:rsidRPr="006B7CE3" w14:paraId="668F8A3D" w14:textId="77777777">
        <w:trPr>
          <w:trHeight w:val="300"/>
        </w:trPr>
        <w:tc>
          <w:tcPr>
            <w:tcW w:w="9535" w:type="dxa"/>
            <w:gridSpan w:val="4"/>
          </w:tcPr>
          <w:p w14:paraId="3F8EDBB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15. SUTARTIES PRIEDAI</w:t>
            </w:r>
          </w:p>
        </w:tc>
      </w:tr>
      <w:tr w:rsidR="00EC4320" w:rsidRPr="006B7CE3" w14:paraId="77888B07" w14:textId="77777777" w:rsidTr="00AE60A7">
        <w:trPr>
          <w:trHeight w:val="300"/>
        </w:trPr>
        <w:tc>
          <w:tcPr>
            <w:tcW w:w="2700" w:type="dxa"/>
          </w:tcPr>
          <w:p w14:paraId="2BB73E0C"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EC4320" w:rsidRPr="006B7CE3" w:rsidRDefault="00EC4320" w:rsidP="00EC4320">
            <w:pPr>
              <w:rPr>
                <w:rFonts w:ascii="Cambria" w:hAnsi="Cambria"/>
                <w:b/>
                <w:bCs/>
                <w:kern w:val="2"/>
                <w:sz w:val="22"/>
                <w:szCs w:val="22"/>
              </w:rPr>
            </w:pPr>
            <w:r w:rsidRPr="006B7CE3">
              <w:rPr>
                <w:rFonts w:ascii="Cambria" w:hAnsi="Cambria"/>
                <w:bCs/>
                <w:kern w:val="2"/>
                <w:sz w:val="22"/>
                <w:szCs w:val="22"/>
              </w:rPr>
              <w:t>Techninė specifikacija;</w:t>
            </w:r>
          </w:p>
        </w:tc>
      </w:tr>
      <w:tr w:rsidR="00EC4320" w:rsidRPr="006B7CE3" w14:paraId="7996425B" w14:textId="77777777" w:rsidTr="00AE60A7">
        <w:trPr>
          <w:trHeight w:val="300"/>
        </w:trPr>
        <w:tc>
          <w:tcPr>
            <w:tcW w:w="2700" w:type="dxa"/>
          </w:tcPr>
          <w:p w14:paraId="4C4A7CE9"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Prekių žiniaraštis;</w:t>
            </w:r>
          </w:p>
        </w:tc>
      </w:tr>
      <w:tr w:rsidR="00EC4320" w:rsidRPr="006B7CE3" w14:paraId="3F5D9098" w14:textId="77777777" w:rsidTr="00AE60A7">
        <w:trPr>
          <w:trHeight w:val="300"/>
        </w:trPr>
        <w:tc>
          <w:tcPr>
            <w:tcW w:w="2700" w:type="dxa"/>
          </w:tcPr>
          <w:p w14:paraId="147C9014"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481FDC1B" w:rsidR="00EC4320" w:rsidRPr="006B7CE3" w:rsidRDefault="00EC4320" w:rsidP="00EC4320">
            <w:pPr>
              <w:rPr>
                <w:rFonts w:ascii="Cambria" w:hAnsi="Cambria"/>
                <w:b/>
                <w:bCs/>
                <w:kern w:val="2"/>
                <w:sz w:val="22"/>
                <w:szCs w:val="22"/>
              </w:rPr>
            </w:pPr>
            <w:r w:rsidRPr="006B7CE3">
              <w:rPr>
                <w:rFonts w:ascii="Cambria" w:hAnsi="Cambria"/>
                <w:bCs/>
                <w:kern w:val="2"/>
                <w:sz w:val="22"/>
                <w:szCs w:val="22"/>
              </w:rPr>
              <w:t>Panaudos sutartis;</w:t>
            </w:r>
          </w:p>
        </w:tc>
      </w:tr>
      <w:tr w:rsidR="00EC4320" w:rsidRPr="006B7CE3" w14:paraId="7F1397DD" w14:textId="77777777" w:rsidTr="00AE60A7">
        <w:trPr>
          <w:trHeight w:val="300"/>
        </w:trPr>
        <w:tc>
          <w:tcPr>
            <w:tcW w:w="2700" w:type="dxa"/>
          </w:tcPr>
          <w:p w14:paraId="0380EC1E"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EC4320" w:rsidRPr="006B7CE3" w14:paraId="499CA3CF" w14:textId="77777777" w:rsidTr="00AE60A7">
        <w:trPr>
          <w:trHeight w:val="300"/>
        </w:trPr>
        <w:tc>
          <w:tcPr>
            <w:tcW w:w="2700" w:type="dxa"/>
          </w:tcPr>
          <w:p w14:paraId="2DB5FB83" w14:textId="77777777" w:rsidR="00EC4320" w:rsidRPr="006B7CE3" w:rsidRDefault="00EC4320" w:rsidP="00EC4320">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EC4320" w:rsidRPr="006B7CE3" w:rsidRDefault="00EC4320" w:rsidP="00EC4320">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753252" w:rsidRPr="006B7CE3" w14:paraId="08F5A01F" w14:textId="77777777">
        <w:tc>
          <w:tcPr>
            <w:tcW w:w="9535" w:type="dxa"/>
            <w:gridSpan w:val="4"/>
          </w:tcPr>
          <w:p w14:paraId="19450C4D"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753252"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TIEKĖJAS</w:t>
            </w:r>
          </w:p>
        </w:tc>
      </w:tr>
      <w:tr w:rsidR="00753252"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753252" w:rsidRPr="006B7CE3" w:rsidRDefault="00182C20">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753252" w:rsidRPr="006B7CE3" w:rsidRDefault="00182C20">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753252"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753252" w:rsidRPr="006B7CE3" w:rsidRDefault="00753252">
            <w:pPr>
              <w:jc w:val="center"/>
              <w:rPr>
                <w:rFonts w:ascii="Cambria" w:hAnsi="Cambria"/>
                <w:b/>
                <w:bCs/>
                <w:kern w:val="2"/>
                <w:sz w:val="22"/>
                <w:szCs w:val="22"/>
              </w:rPr>
            </w:pPr>
          </w:p>
          <w:p w14:paraId="084031C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753252" w:rsidRPr="006B7CE3" w:rsidRDefault="00753252">
            <w:pPr>
              <w:jc w:val="center"/>
              <w:rPr>
                <w:rFonts w:ascii="Cambria" w:hAnsi="Cambria"/>
                <w:b/>
                <w:bCs/>
                <w:kern w:val="2"/>
                <w:sz w:val="22"/>
                <w:szCs w:val="22"/>
              </w:rPr>
            </w:pPr>
          </w:p>
          <w:p w14:paraId="1C29558E" w14:textId="77777777" w:rsidR="00753252" w:rsidRPr="006B7CE3" w:rsidRDefault="00753252">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753252" w:rsidRPr="006B7CE3" w:rsidRDefault="00753252">
            <w:pPr>
              <w:jc w:val="center"/>
              <w:rPr>
                <w:rFonts w:ascii="Cambria" w:hAnsi="Cambria"/>
                <w:b/>
                <w:bCs/>
                <w:kern w:val="2"/>
                <w:sz w:val="22"/>
                <w:szCs w:val="22"/>
              </w:rPr>
            </w:pPr>
          </w:p>
          <w:p w14:paraId="0D56DE0E"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40E0152A" w:rsidR="006B7CE3" w:rsidRPr="006B7CE3" w:rsidRDefault="006B7CE3">
      <w:pPr>
        <w:rPr>
          <w:rFonts w:ascii="Cambria" w:hAnsi="Cambria"/>
          <w:sz w:val="22"/>
          <w:szCs w:val="22"/>
        </w:rPr>
      </w:pPr>
    </w:p>
    <w:p w14:paraId="6F98D1C9" w14:textId="54B4F60B" w:rsidR="006B7CE3" w:rsidRPr="006B7CE3" w:rsidRDefault="006B7CE3">
      <w:pPr>
        <w:rPr>
          <w:rFonts w:ascii="Cambria" w:hAnsi="Cambria"/>
          <w:sz w:val="22"/>
          <w:szCs w:val="22"/>
        </w:rPr>
      </w:pPr>
    </w:p>
    <w:p w14:paraId="6A204CEC" w14:textId="059D7AFA" w:rsidR="006B7CE3" w:rsidRDefault="006B7CE3">
      <w:pPr>
        <w:rPr>
          <w:rFonts w:ascii="Cambria" w:hAnsi="Cambria"/>
          <w:sz w:val="22"/>
          <w:szCs w:val="22"/>
        </w:rPr>
      </w:pPr>
    </w:p>
    <w:p w14:paraId="05837EEC" w14:textId="20A8DCC2" w:rsidR="00C76239" w:rsidRDefault="00C76239">
      <w:pPr>
        <w:rPr>
          <w:rFonts w:ascii="Cambria" w:hAnsi="Cambria"/>
          <w:sz w:val="22"/>
          <w:szCs w:val="22"/>
        </w:rPr>
      </w:pPr>
    </w:p>
    <w:p w14:paraId="0929BAB9" w14:textId="20ED002F" w:rsidR="00C76239" w:rsidRDefault="00C76239">
      <w:pPr>
        <w:rPr>
          <w:rFonts w:ascii="Cambria" w:hAnsi="Cambria"/>
          <w:sz w:val="22"/>
          <w:szCs w:val="22"/>
        </w:rPr>
      </w:pPr>
    </w:p>
    <w:p w14:paraId="3F2CCEA9" w14:textId="3500FD17" w:rsidR="00C76239" w:rsidRDefault="00C76239">
      <w:pPr>
        <w:rPr>
          <w:rFonts w:ascii="Cambria" w:hAnsi="Cambria"/>
          <w:sz w:val="22"/>
          <w:szCs w:val="22"/>
        </w:rPr>
      </w:pPr>
    </w:p>
    <w:p w14:paraId="01FA3114" w14:textId="763977F2" w:rsidR="00C76239" w:rsidRDefault="00C76239">
      <w:pPr>
        <w:rPr>
          <w:rFonts w:ascii="Cambria" w:hAnsi="Cambria"/>
          <w:sz w:val="22"/>
          <w:szCs w:val="22"/>
        </w:rPr>
      </w:pPr>
    </w:p>
    <w:p w14:paraId="15BB7B27" w14:textId="54703180" w:rsidR="00C76239" w:rsidRDefault="00C76239">
      <w:pPr>
        <w:rPr>
          <w:rFonts w:ascii="Cambria" w:hAnsi="Cambria"/>
          <w:sz w:val="22"/>
          <w:szCs w:val="22"/>
        </w:rPr>
      </w:pPr>
    </w:p>
    <w:p w14:paraId="6F27ED63" w14:textId="69CAF2C3" w:rsidR="00C76239" w:rsidRDefault="00C76239">
      <w:pPr>
        <w:rPr>
          <w:rFonts w:ascii="Cambria" w:hAnsi="Cambria"/>
          <w:sz w:val="22"/>
          <w:szCs w:val="22"/>
        </w:rPr>
      </w:pPr>
    </w:p>
    <w:p w14:paraId="065C1CA5" w14:textId="2E08CF42" w:rsidR="006B7CE3" w:rsidRDefault="006B7CE3">
      <w:pPr>
        <w:rPr>
          <w:rFonts w:ascii="Cambria" w:hAnsi="Cambria"/>
          <w:sz w:val="22"/>
          <w:szCs w:val="22"/>
        </w:rPr>
      </w:pPr>
    </w:p>
    <w:p w14:paraId="0BC1FA66" w14:textId="2BAFD0A1" w:rsidR="006B7CE3" w:rsidRPr="006B7CE3" w:rsidRDefault="006B7CE3">
      <w:pPr>
        <w:rPr>
          <w:rFonts w:ascii="Cambria" w:hAnsi="Cambria"/>
          <w:sz w:val="22"/>
          <w:szCs w:val="22"/>
        </w:rPr>
      </w:pPr>
    </w:p>
    <w:p w14:paraId="12E38576" w14:textId="3D83B298" w:rsidR="006B7CE3" w:rsidRPr="006B7CE3" w:rsidRDefault="006B7CE3">
      <w:pPr>
        <w:rPr>
          <w:rFonts w:ascii="Cambria" w:hAnsi="Cambria"/>
          <w:sz w:val="22"/>
          <w:szCs w:val="22"/>
        </w:rPr>
      </w:pPr>
    </w:p>
    <w:p w14:paraId="006749F0" w14:textId="158C3210" w:rsidR="006B7CE3" w:rsidRPr="006B7CE3" w:rsidRDefault="006B7CE3">
      <w:pPr>
        <w:rPr>
          <w:rFonts w:ascii="Cambria" w:hAnsi="Cambria"/>
          <w:sz w:val="22"/>
          <w:szCs w:val="22"/>
        </w:rPr>
      </w:pPr>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266A0FF6"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6B7CE3">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pateikti Turto vartotojo vadovą (instrukciją) lietuvių kalba (jeigu Techninėje specifikacijoje nenurodyta kitaip);</w:t>
      </w:r>
    </w:p>
    <w:p w14:paraId="6D14EC79"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 xml:space="preserve">savo lėšomis apmokyti Panaudos gavėjo darbuotojus naudotis Turtu ir nuolat teikti jiems konsultacijas; </w:t>
      </w:r>
    </w:p>
    <w:p w14:paraId="3BDBED79" w14:textId="3FAADA61" w:rsid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lastRenderedPageBreak/>
        <w:t xml:space="preserve">Sutarties galiojimo metu Panaudos davėjas turi užtikrinti Turto įrangos aparatūrinės ir programinės dalies nemokamą nepertraukiamą techninį aptarnavimą. Panaudos davėjui gavus pranešimą </w:t>
      </w:r>
      <w:r w:rsidR="000C0D0A" w:rsidRPr="0026750E">
        <w:rPr>
          <w:rFonts w:ascii="Cambria" w:hAnsi="Cambria"/>
          <w:sz w:val="22"/>
          <w:szCs w:val="22"/>
        </w:rPr>
        <w:t xml:space="preserve">apie </w:t>
      </w:r>
      <w:r w:rsidR="000C0D0A">
        <w:rPr>
          <w:rFonts w:ascii="Cambria" w:hAnsi="Cambria"/>
          <w:sz w:val="22"/>
          <w:szCs w:val="22"/>
        </w:rPr>
        <w:t>turto</w:t>
      </w:r>
      <w:r w:rsidR="000C0D0A" w:rsidRPr="0026750E">
        <w:rPr>
          <w:rFonts w:ascii="Cambria" w:hAnsi="Cambria"/>
          <w:sz w:val="22"/>
          <w:szCs w:val="22"/>
        </w:rPr>
        <w:t xml:space="preserve"> gedimą /veikimo sutrikimą, </w:t>
      </w:r>
      <w:r w:rsidR="000C0D0A">
        <w:rPr>
          <w:rFonts w:ascii="Cambria" w:hAnsi="Cambria"/>
          <w:sz w:val="22"/>
          <w:szCs w:val="22"/>
        </w:rPr>
        <w:t>Panaudos davėjo</w:t>
      </w:r>
      <w:r w:rsidR="000C0D0A" w:rsidRPr="0026750E">
        <w:rPr>
          <w:rFonts w:ascii="Cambria" w:hAnsi="Cambria"/>
          <w:sz w:val="22"/>
          <w:szCs w:val="22"/>
        </w:rPr>
        <w:t xml:space="preserve"> specialistas privalės konsultuoti telefonu/arba prisijungti prie analizatoriaus nuotoliniu būdu ir pašalinti sutrikimą, o nepavykus pašalinti </w:t>
      </w:r>
      <w:r w:rsidR="000C0D0A">
        <w:rPr>
          <w:rFonts w:ascii="Cambria" w:hAnsi="Cambria"/>
          <w:sz w:val="22"/>
          <w:szCs w:val="22"/>
        </w:rPr>
        <w:t>turto</w:t>
      </w:r>
      <w:r w:rsidR="000C0D0A" w:rsidRPr="0026750E">
        <w:rPr>
          <w:rFonts w:ascii="Cambria" w:hAnsi="Cambria"/>
          <w:sz w:val="22"/>
          <w:szCs w:val="22"/>
        </w:rPr>
        <w:t xml:space="preserve"> gedimo ar sutrikimo nuotoliniu būdu, ne vėliau kaip per 48 valandas nuo pranešimo gavimo momento atvykti į Kauno klinikas ir pašalinti gedimą. Nesant galimybės pašalinti gedimo </w:t>
      </w:r>
      <w:r w:rsidR="000C0D0A">
        <w:rPr>
          <w:rFonts w:ascii="Cambria" w:hAnsi="Cambria"/>
          <w:sz w:val="22"/>
          <w:szCs w:val="22"/>
        </w:rPr>
        <w:t>Panaudos davėjas</w:t>
      </w:r>
      <w:r w:rsidR="000C0D0A" w:rsidRPr="0026750E">
        <w:rPr>
          <w:rFonts w:ascii="Cambria" w:hAnsi="Cambria"/>
          <w:sz w:val="22"/>
          <w:szCs w:val="22"/>
        </w:rPr>
        <w:t xml:space="preserve"> privalo sugedus</w:t>
      </w:r>
      <w:r w:rsidR="000C0D0A">
        <w:rPr>
          <w:rFonts w:ascii="Cambria" w:hAnsi="Cambria"/>
          <w:sz w:val="22"/>
          <w:szCs w:val="22"/>
        </w:rPr>
        <w:t>į</w:t>
      </w:r>
      <w:r w:rsidR="000C0D0A" w:rsidRPr="0026750E">
        <w:rPr>
          <w:rFonts w:ascii="Cambria" w:hAnsi="Cambria"/>
          <w:sz w:val="22"/>
          <w:szCs w:val="22"/>
        </w:rPr>
        <w:t xml:space="preserve"> (netinkamai veikian</w:t>
      </w:r>
      <w:r w:rsidR="000C0D0A">
        <w:rPr>
          <w:rFonts w:ascii="Cambria" w:hAnsi="Cambria"/>
          <w:sz w:val="22"/>
          <w:szCs w:val="22"/>
        </w:rPr>
        <w:t>tį</w:t>
      </w:r>
      <w:r w:rsidR="000C0D0A" w:rsidRPr="0026750E">
        <w:rPr>
          <w:rFonts w:ascii="Cambria" w:hAnsi="Cambria"/>
          <w:sz w:val="22"/>
          <w:szCs w:val="22"/>
        </w:rPr>
        <w:t xml:space="preserve">) </w:t>
      </w:r>
      <w:r w:rsidR="000C0D0A">
        <w:rPr>
          <w:rFonts w:ascii="Cambria" w:hAnsi="Cambria"/>
          <w:sz w:val="22"/>
          <w:szCs w:val="22"/>
        </w:rPr>
        <w:t>turtą</w:t>
      </w:r>
      <w:r w:rsidR="000C0D0A" w:rsidRPr="0026750E">
        <w:rPr>
          <w:rFonts w:ascii="Cambria" w:hAnsi="Cambria"/>
          <w:sz w:val="22"/>
          <w:szCs w:val="22"/>
        </w:rPr>
        <w:t xml:space="preserve"> laikinai pakeisti lygiaver</w:t>
      </w:r>
      <w:r w:rsidR="000C0D0A">
        <w:rPr>
          <w:rFonts w:ascii="Cambria" w:hAnsi="Cambria"/>
          <w:sz w:val="22"/>
          <w:szCs w:val="22"/>
        </w:rPr>
        <w:t>čiu</w:t>
      </w:r>
      <w:r w:rsidRPr="006B7CE3">
        <w:rPr>
          <w:rFonts w:ascii="Cambria" w:hAnsi="Cambria"/>
          <w:sz w:val="22"/>
          <w:szCs w:val="22"/>
        </w:rPr>
        <w:t>.</w:t>
      </w:r>
      <w:bookmarkStart w:id="0" w:name="_GoBack"/>
      <w:bookmarkEnd w:id="0"/>
    </w:p>
    <w:p w14:paraId="1BB96503" w14:textId="77777777" w:rsidR="006B7CE3" w:rsidRPr="006B7CE3" w:rsidRDefault="006B7CE3" w:rsidP="006B7CE3">
      <w:pPr>
        <w:tabs>
          <w:tab w:val="left" w:pos="1134"/>
          <w:tab w:val="left" w:pos="1276"/>
          <w:tab w:val="left" w:pos="1418"/>
        </w:tabs>
        <w:suppressAutoHyphens/>
        <w:ind w:left="851"/>
        <w:jc w:val="both"/>
        <w:rPr>
          <w:rFonts w:ascii="Cambria" w:hAnsi="Cambria"/>
          <w:sz w:val="22"/>
          <w:szCs w:val="22"/>
        </w:rPr>
      </w:pPr>
    </w:p>
    <w:p w14:paraId="7F320F06"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GAVĖJO ĮSIPAREIGOJIMAI</w:t>
      </w:r>
    </w:p>
    <w:p w14:paraId="3E7751B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022A80C2"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970326">
        <w:rPr>
          <w:rFonts w:ascii="Cambria" w:eastAsia="Times New Roman" w:hAnsi="Cambria" w:cs="Times New Roman"/>
          <w:b/>
          <w:lang w:val="lt-LT"/>
        </w:rPr>
        <w:t>24</w:t>
      </w:r>
      <w:r w:rsidRPr="006B7CE3">
        <w:rPr>
          <w:rFonts w:ascii="Cambria" w:hAnsi="Cambria"/>
          <w:b/>
          <w:lang w:val="lt-LT" w:eastAsia="lt-LT"/>
        </w:rPr>
        <w:t xml:space="preserve"> (</w:t>
      </w:r>
      <w:r w:rsidR="00970326">
        <w:rPr>
          <w:rFonts w:ascii="Cambria" w:hAnsi="Cambria"/>
          <w:b/>
          <w:lang w:val="lt-LT" w:eastAsia="lt-LT"/>
        </w:rPr>
        <w:t>dvid</w:t>
      </w:r>
      <w:r>
        <w:rPr>
          <w:rFonts w:ascii="Cambria" w:hAnsi="Cambria"/>
          <w:b/>
          <w:lang w:val="lt-LT" w:eastAsia="lt-LT"/>
        </w:rPr>
        <w:t xml:space="preserve">ešimt </w:t>
      </w:r>
      <w:r w:rsidR="00970326">
        <w:rPr>
          <w:rFonts w:ascii="Cambria" w:hAnsi="Cambria"/>
          <w:b/>
          <w:lang w:val="lt-LT" w:eastAsia="lt-LT"/>
        </w:rPr>
        <w:t>keturi</w:t>
      </w:r>
      <w:r w:rsidRPr="006B7CE3">
        <w:rPr>
          <w:rFonts w:ascii="Cambria" w:hAnsi="Cambria"/>
          <w:b/>
          <w:lang w:val="lt-LT" w:eastAsia="lt-LT"/>
        </w:rPr>
        <w:t>) mėnesi</w:t>
      </w:r>
      <w:r>
        <w:rPr>
          <w:rFonts w:ascii="Cambria" w:hAnsi="Cambria"/>
          <w:b/>
          <w:lang w:val="lt-LT" w:eastAsia="lt-LT"/>
        </w:rPr>
        <w:t>ai</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r w:rsidR="00970326" w:rsidRPr="00970326">
        <w:rPr>
          <w:rFonts w:ascii="Cambria" w:hAnsi="Cambria"/>
          <w:lang w:val="lt-LT" w:eastAsia="lt-LT"/>
        </w:rPr>
        <w:t xml:space="preserve">Šalių abipusiu rašytiniu Susitarimu Sutartis tomis pačiomis sąlygomis gali būti pratęsta 1 (vieną) kartą ne ilgesniam kaip 12 (dvylikos) mėnesių laikotarpiui.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Sutartis gali būti nutraukta Panaudos gavėjo reikalavimu nesilaikant šios Sutarties 6.2. punkte nustatyto įspėjimo termino, jei: Turtas, Panaudos gavėjo manymu, tampa netinkamas normaliai naudoti </w:t>
      </w:r>
      <w:r w:rsidRPr="006B7CE3">
        <w:rPr>
          <w:rFonts w:ascii="Cambria" w:hAnsi="Cambria"/>
          <w:sz w:val="22"/>
          <w:szCs w:val="22"/>
        </w:rPr>
        <w:lastRenderedPageBreak/>
        <w:t>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Tel. (8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faks. (8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(8 37) 32 67 68, faks. (8 37) 32 64 27</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77777777" w:rsidR="006B7CE3" w:rsidRPr="006B7CE3" w:rsidRDefault="006B7CE3" w:rsidP="003921D0">
            <w:pPr>
              <w:tabs>
                <w:tab w:val="left" w:pos="1276"/>
              </w:tabs>
              <w:rPr>
                <w:rFonts w:ascii="Cambria" w:hAnsi="Cambria"/>
                <w:sz w:val="22"/>
                <w:szCs w:val="22"/>
              </w:rPr>
            </w:pPr>
            <w:r w:rsidRPr="006B7CE3">
              <w:rPr>
                <w:rFonts w:ascii="Cambria" w:hAnsi="Cambria"/>
                <w:i/>
                <w:sz w:val="22"/>
                <w:szCs w:val="22"/>
              </w:rPr>
              <w:t>A.V.</w:t>
            </w: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A.V.</w:t>
            </w: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AFEBA" w14:textId="77777777" w:rsidR="009A2C07" w:rsidRDefault="009A2C07">
      <w:r>
        <w:separator/>
      </w:r>
    </w:p>
  </w:endnote>
  <w:endnote w:type="continuationSeparator" w:id="0">
    <w:p w14:paraId="2036B682" w14:textId="77777777" w:rsidR="009A2C07" w:rsidRDefault="009A2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20003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1F3BF7" w:rsidRDefault="001F3BF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1F3BF7" w:rsidRDefault="001F3BF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1F3BF7" w:rsidRDefault="001F3BF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2C4BD" w14:textId="77777777" w:rsidR="009A2C07" w:rsidRDefault="009A2C07">
      <w:r>
        <w:separator/>
      </w:r>
    </w:p>
  </w:footnote>
  <w:footnote w:type="continuationSeparator" w:id="0">
    <w:p w14:paraId="2B2F1E4E" w14:textId="77777777" w:rsidR="009A2C07" w:rsidRDefault="009A2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1F3BF7" w:rsidRDefault="001F3BF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1F3BF7" w:rsidRDefault="001F3BF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1F3BF7" w:rsidRDefault="001F3BF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42E"/>
    <w:rsid w:val="00073893"/>
    <w:rsid w:val="000C0D0A"/>
    <w:rsid w:val="000C63B8"/>
    <w:rsid w:val="000D5E51"/>
    <w:rsid w:val="000E6F4B"/>
    <w:rsid w:val="00101893"/>
    <w:rsid w:val="00112792"/>
    <w:rsid w:val="0012395B"/>
    <w:rsid w:val="0015459F"/>
    <w:rsid w:val="00162911"/>
    <w:rsid w:val="00182C20"/>
    <w:rsid w:val="00196E89"/>
    <w:rsid w:val="001E0E4E"/>
    <w:rsid w:val="001F3BF7"/>
    <w:rsid w:val="00265FCE"/>
    <w:rsid w:val="002755BD"/>
    <w:rsid w:val="002A5AAF"/>
    <w:rsid w:val="002F0B5F"/>
    <w:rsid w:val="003644B9"/>
    <w:rsid w:val="003921D0"/>
    <w:rsid w:val="003B0F57"/>
    <w:rsid w:val="003E1AFB"/>
    <w:rsid w:val="00462129"/>
    <w:rsid w:val="0047013A"/>
    <w:rsid w:val="00470289"/>
    <w:rsid w:val="00492272"/>
    <w:rsid w:val="005265AE"/>
    <w:rsid w:val="00581330"/>
    <w:rsid w:val="005A23D8"/>
    <w:rsid w:val="00611F32"/>
    <w:rsid w:val="00672DC8"/>
    <w:rsid w:val="00682208"/>
    <w:rsid w:val="006A029D"/>
    <w:rsid w:val="006B7CE3"/>
    <w:rsid w:val="006F425C"/>
    <w:rsid w:val="00731731"/>
    <w:rsid w:val="00753252"/>
    <w:rsid w:val="00765982"/>
    <w:rsid w:val="00773679"/>
    <w:rsid w:val="00775C8F"/>
    <w:rsid w:val="007E31DC"/>
    <w:rsid w:val="007E5C9B"/>
    <w:rsid w:val="007F24F8"/>
    <w:rsid w:val="007F7C9E"/>
    <w:rsid w:val="0088411A"/>
    <w:rsid w:val="008E7C74"/>
    <w:rsid w:val="00913C3D"/>
    <w:rsid w:val="009619B3"/>
    <w:rsid w:val="009634E5"/>
    <w:rsid w:val="00970326"/>
    <w:rsid w:val="009A2C07"/>
    <w:rsid w:val="009A38E9"/>
    <w:rsid w:val="009D69D3"/>
    <w:rsid w:val="009E3A43"/>
    <w:rsid w:val="00A73E04"/>
    <w:rsid w:val="00AE60A7"/>
    <w:rsid w:val="00B837E5"/>
    <w:rsid w:val="00B86E07"/>
    <w:rsid w:val="00BF7C8E"/>
    <w:rsid w:val="00C33335"/>
    <w:rsid w:val="00C35BB8"/>
    <w:rsid w:val="00C44973"/>
    <w:rsid w:val="00C76239"/>
    <w:rsid w:val="00C76C77"/>
    <w:rsid w:val="00CA4ED2"/>
    <w:rsid w:val="00CB3DDE"/>
    <w:rsid w:val="00CF344E"/>
    <w:rsid w:val="00D66827"/>
    <w:rsid w:val="00D66BA3"/>
    <w:rsid w:val="00D72C56"/>
    <w:rsid w:val="00D90295"/>
    <w:rsid w:val="00DE7627"/>
    <w:rsid w:val="00E17CC3"/>
    <w:rsid w:val="00E213E9"/>
    <w:rsid w:val="00E276C6"/>
    <w:rsid w:val="00E27FB8"/>
    <w:rsid w:val="00EC3A52"/>
    <w:rsid w:val="00EC43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22675</Words>
  <Characters>12925</Characters>
  <Application>Microsoft Office Word</Application>
  <DocSecurity>0</DocSecurity>
  <Lines>107</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8</cp:revision>
  <dcterms:created xsi:type="dcterms:W3CDTF">2025-05-14T11:21:00Z</dcterms:created>
  <dcterms:modified xsi:type="dcterms:W3CDTF">2025-05-26T12:04:00Z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