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2027081"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623695">
            <w:rPr>
              <w:rFonts w:ascii="Times New Roman" w:hAnsi="Times New Roman" w:cs="Times New Roman"/>
              <w:b/>
              <w:bCs/>
              <w:sz w:val="28"/>
              <w:szCs w:val="28"/>
            </w:rPr>
            <w:t>B</w:t>
          </w:r>
          <w:r w:rsidR="00B050E4">
            <w:rPr>
              <w:rFonts w:ascii="Times New Roman" w:eastAsia="Times New Roman" w:hAnsi="Times New Roman" w:cs="Times New Roman"/>
              <w:b/>
              <w:bCs/>
              <w:iCs/>
              <w:caps/>
              <w:sz w:val="28"/>
              <w:szCs w:val="28"/>
            </w:rPr>
            <w:t>UTRIMONIŲ GIMNAZIJOS DVIEJŲ KABINETŲ REMONT</w:t>
          </w:r>
          <w:r w:rsidR="00623695">
            <w:rPr>
              <w:rFonts w:ascii="Times New Roman" w:eastAsia="Times New Roman" w:hAnsi="Times New Roman" w:cs="Times New Roman"/>
              <w:b/>
              <w:bCs/>
              <w:iCs/>
              <w:caps/>
              <w:sz w:val="28"/>
              <w:szCs w:val="28"/>
            </w:rPr>
            <w:t>O</w:t>
          </w:r>
          <w:r w:rsidR="00B050E4">
            <w:rPr>
              <w:rFonts w:ascii="Times New Roman" w:eastAsia="Times New Roman" w:hAnsi="Times New Roman" w:cs="Times New Roman"/>
              <w:b/>
              <w:bCs/>
              <w:iCs/>
              <w:caps/>
              <w:sz w:val="28"/>
              <w:szCs w:val="28"/>
            </w:rPr>
            <w:t>, DRAUGYSTĖS G. 1, BUTRIMONIŲ MSTL., Butrimonių sen., Alytaus r.</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DF2522"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DE5FDB"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DE5FDB">
        <w:rPr>
          <w:rFonts w:ascii="Times New Roman" w:eastAsia="Calibri" w:hAnsi="Times New Roman" w:cs="Times New Roman"/>
          <w:sz w:val="24"/>
          <w:szCs w:val="24"/>
        </w:rPr>
        <w:t>Pirkimą perkanči</w:t>
      </w:r>
      <w:r w:rsidR="007F2034" w:rsidRPr="00DE5FDB">
        <w:rPr>
          <w:rFonts w:ascii="Times New Roman" w:eastAsia="Calibri" w:hAnsi="Times New Roman" w:cs="Times New Roman"/>
          <w:sz w:val="24"/>
          <w:szCs w:val="24"/>
        </w:rPr>
        <w:t>osios</w:t>
      </w:r>
      <w:r w:rsidRPr="00DE5FDB">
        <w:rPr>
          <w:rFonts w:ascii="Times New Roman" w:eastAsia="Calibri" w:hAnsi="Times New Roman" w:cs="Times New Roman"/>
          <w:sz w:val="24"/>
          <w:szCs w:val="24"/>
        </w:rPr>
        <w:t xml:space="preserve"> organizacij</w:t>
      </w:r>
      <w:r w:rsidR="007F2034" w:rsidRPr="00DE5FDB">
        <w:rPr>
          <w:rFonts w:ascii="Times New Roman" w:eastAsia="Calibri" w:hAnsi="Times New Roman" w:cs="Times New Roman"/>
          <w:sz w:val="24"/>
          <w:szCs w:val="24"/>
        </w:rPr>
        <w:t>os</w:t>
      </w:r>
      <w:r w:rsidRPr="00DE5FDB">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DE5FDB">
        <w:rPr>
          <w:rFonts w:ascii="Times New Roman" w:eastAsia="Calibri" w:hAnsi="Times New Roman" w:cs="Times New Roman"/>
          <w:sz w:val="24"/>
          <w:szCs w:val="24"/>
        </w:rPr>
        <w:t xml:space="preserve"> </w:t>
      </w:r>
    </w:p>
    <w:p w14:paraId="4042DE75" w14:textId="4668ADEC" w:rsidR="002D0711" w:rsidRPr="00DE5FDB"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DE5FDB">
        <w:rPr>
          <w:rFonts w:ascii="Times New Roman" w:hAnsi="Times New Roman" w:cs="Times New Roman"/>
          <w:color w:val="000000" w:themeColor="text1"/>
          <w:sz w:val="24"/>
          <w:szCs w:val="24"/>
        </w:rPr>
        <w:t>Pirkimas neatliekamas naudojantis centralizuotų pirkimų katalogu</w:t>
      </w:r>
      <w:r w:rsidR="00491DF5" w:rsidRPr="00DE5FDB">
        <w:rPr>
          <w:rFonts w:ascii="Times New Roman" w:hAnsi="Times New Roman" w:cs="Times New Roman"/>
          <w:color w:val="000000" w:themeColor="text1"/>
          <w:sz w:val="24"/>
          <w:szCs w:val="24"/>
        </w:rPr>
        <w:t xml:space="preserve"> (toliau – katalogas)</w:t>
      </w:r>
      <w:r w:rsidR="002D0711" w:rsidRPr="00DE5FDB">
        <w:rPr>
          <w:rFonts w:ascii="Times New Roman" w:hAnsi="Times New Roman" w:cs="Times New Roman"/>
          <w:color w:val="000000" w:themeColor="text1"/>
          <w:sz w:val="24"/>
          <w:szCs w:val="24"/>
        </w:rPr>
        <w:t xml:space="preserve">, </w:t>
      </w:r>
      <w:r w:rsidR="002D0711" w:rsidRPr="00DE5FDB">
        <w:rPr>
          <w:rFonts w:ascii="Times New Roman" w:hAnsi="Times New Roman" w:cs="Times New Roman"/>
          <w:sz w:val="24"/>
          <w:szCs w:val="24"/>
        </w:rPr>
        <w:t xml:space="preserve">nes </w:t>
      </w:r>
      <w:r w:rsidR="003C796B" w:rsidRPr="00DE5FDB">
        <w:rPr>
          <w:rFonts w:ascii="Times New Roman" w:hAnsi="Times New Roman" w:cs="Times New Roman"/>
          <w:sz w:val="24"/>
          <w:szCs w:val="24"/>
        </w:rPr>
        <w:t>perkam</w:t>
      </w:r>
      <w:r w:rsidR="00DE5FDB" w:rsidRPr="00DE5FDB">
        <w:rPr>
          <w:rFonts w:ascii="Times New Roman" w:hAnsi="Times New Roman" w:cs="Times New Roman"/>
          <w:sz w:val="24"/>
          <w:szCs w:val="24"/>
        </w:rPr>
        <w:t>ų darbų kataloge nėra.</w:t>
      </w:r>
    </w:p>
    <w:p w14:paraId="1E4B721D" w14:textId="229EAA33" w:rsidR="002174AC" w:rsidRPr="00DE5FDB"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DE5FDB">
        <w:rPr>
          <w:rFonts w:ascii="Times New Roman" w:hAnsi="Times New Roman" w:cs="Times New Roman"/>
          <w:sz w:val="24"/>
          <w:szCs w:val="24"/>
        </w:rPr>
        <w:t xml:space="preserve">Pirkimo Komisija </w:t>
      </w:r>
      <w:r w:rsidR="002D0711" w:rsidRPr="00DE5FDB">
        <w:rPr>
          <w:rFonts w:ascii="Times New Roman" w:hAnsi="Times New Roman" w:cs="Times New Roman"/>
          <w:sz w:val="24"/>
          <w:szCs w:val="24"/>
        </w:rPr>
        <w:t>nėra</w:t>
      </w:r>
      <w:r w:rsidR="002174AC" w:rsidRPr="00DE5FDB">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DE5FDB">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w:t>
      </w:r>
      <w:r w:rsidRPr="007E1D24">
        <w:rPr>
          <w:rFonts w:ascii="Times New Roman" w:hAnsi="Times New Roman" w:cs="Times New Roman"/>
          <w:sz w:val="24"/>
          <w:szCs w:val="24"/>
        </w:rPr>
        <w:t>,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A94911E"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C01384">
        <w:rPr>
          <w:rFonts w:ascii="Times New Roman" w:hAnsi="Times New Roman" w:cs="Times New Roman"/>
          <w:sz w:val="24"/>
          <w:szCs w:val="24"/>
        </w:rPr>
        <w:t>inžinierius Arturas Ališauskas</w:t>
      </w:r>
      <w:r w:rsidR="00684D55" w:rsidRPr="00684D55">
        <w:rPr>
          <w:rFonts w:ascii="Times New Roman" w:hAnsi="Times New Roman" w:cs="Times New Roman"/>
          <w:sz w:val="24"/>
          <w:szCs w:val="24"/>
        </w:rPr>
        <w:t xml:space="preserve">,  el. p. </w:t>
      </w:r>
      <w:proofErr w:type="spellStart"/>
      <w:r w:rsidR="00C01384">
        <w:rPr>
          <w:rFonts w:ascii="Times New Roman" w:hAnsi="Times New Roman" w:cs="Times New Roman"/>
          <w:sz w:val="24"/>
          <w:szCs w:val="24"/>
        </w:rPr>
        <w:t>arturas.alisauskas</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 xml:space="preserve">+370 315 </w:t>
      </w:r>
      <w:r w:rsidR="00C01384">
        <w:rPr>
          <w:rFonts w:ascii="Times New Roman" w:hAnsi="Times New Roman" w:cs="Times New Roman"/>
          <w:sz w:val="24"/>
          <w:szCs w:val="24"/>
        </w:rPr>
        <w:t>69 018</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EAC05D5"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w:t>
      </w:r>
      <w:r w:rsidRPr="00260F4E">
        <w:rPr>
          <w:rFonts w:ascii="Times New Roman" w:hAnsi="Times New Roman" w:cs="Times New Roman"/>
          <w:sz w:val="24"/>
          <w:szCs w:val="24"/>
        </w:rPr>
        <w:t xml:space="preserve">objektas yra </w:t>
      </w:r>
      <w:r w:rsidR="00260F4E" w:rsidRPr="00260F4E">
        <w:rPr>
          <w:rFonts w:ascii="Times New Roman" w:hAnsi="Times New Roman" w:cs="Times New Roman"/>
          <w:bCs/>
          <w:color w:val="000000" w:themeColor="text1"/>
          <w:sz w:val="24"/>
          <w:szCs w:val="24"/>
        </w:rPr>
        <w:t>Butrimonių gimnazijos dviejų kabinetų remontas, Draugystės g. 1, Butrimonių mstl., Butrimonių sen., Alytaus r.</w:t>
      </w:r>
      <w:r w:rsidR="00260F4E" w:rsidRPr="00260F4E">
        <w:rPr>
          <w:rFonts w:ascii="Times New Roman" w:hAnsi="Times New Roman" w:cs="Times New Roman"/>
          <w:sz w:val="24"/>
          <w:szCs w:val="24"/>
        </w:rPr>
        <w:t xml:space="preserve"> </w:t>
      </w:r>
      <w:r w:rsidRPr="00260F4E">
        <w:rPr>
          <w:rFonts w:ascii="Times New Roman" w:hAnsi="Times New Roman" w:cs="Times New Roman"/>
          <w:sz w:val="24"/>
          <w:szCs w:val="24"/>
        </w:rPr>
        <w:t xml:space="preserve">(toliau – </w:t>
      </w:r>
      <w:r w:rsidR="00152ACC" w:rsidRPr="00260F4E">
        <w:rPr>
          <w:rFonts w:ascii="Times New Roman" w:hAnsi="Times New Roman" w:cs="Times New Roman"/>
          <w:sz w:val="24"/>
          <w:szCs w:val="24"/>
        </w:rPr>
        <w:t>darbai</w:t>
      </w:r>
      <w:r w:rsidRPr="00260F4E">
        <w:rPr>
          <w:rFonts w:ascii="Times New Roman" w:hAnsi="Times New Roman" w:cs="Times New Roman"/>
          <w:sz w:val="24"/>
          <w:szCs w:val="24"/>
        </w:rPr>
        <w:t>)</w:t>
      </w:r>
      <w:r w:rsidR="00FB3C75" w:rsidRPr="00260F4E">
        <w:rPr>
          <w:rFonts w:ascii="Times New Roman" w:eastAsia="Calibri" w:hAnsi="Times New Roman" w:cs="Times New Roman"/>
          <w:sz w:val="24"/>
          <w:szCs w:val="24"/>
        </w:rPr>
        <w:t>.</w:t>
      </w:r>
      <w:r w:rsidR="00CE1685" w:rsidRPr="00260F4E">
        <w:rPr>
          <w:rFonts w:ascii="Times New Roman" w:hAnsi="Times New Roman" w:cs="Times New Roman"/>
          <w:color w:val="000000" w:themeColor="text1"/>
          <w:sz w:val="24"/>
          <w:szCs w:val="24"/>
        </w:rPr>
        <w:t xml:space="preserve"> </w:t>
      </w:r>
      <w:r w:rsidR="00FB3C75" w:rsidRPr="00260F4E">
        <w:rPr>
          <w:rFonts w:ascii="Times New Roman" w:hAnsi="Times New Roman" w:cs="Times New Roman"/>
          <w:sz w:val="24"/>
          <w:szCs w:val="24"/>
        </w:rPr>
        <w:t>Reikalavimai</w:t>
      </w:r>
      <w:r w:rsidR="00FB3C75" w:rsidRPr="00755D9D">
        <w:rPr>
          <w:rFonts w:ascii="Times New Roman" w:hAnsi="Times New Roman" w:cs="Times New Roman"/>
          <w:sz w:val="24"/>
          <w:szCs w:val="24"/>
        </w:rPr>
        <w:t xml:space="preserve"> </w:t>
      </w:r>
      <w:r w:rsidR="00966703" w:rsidRPr="00755D9D">
        <w:rPr>
          <w:rFonts w:ascii="Times New Roman" w:hAnsi="Times New Roman" w:cs="Times New Roman"/>
          <w:sz w:val="24"/>
          <w:szCs w:val="24"/>
        </w:rPr>
        <w:t>p</w:t>
      </w:r>
      <w:r w:rsidR="00FB3C75" w:rsidRPr="00755D9D">
        <w:rPr>
          <w:rFonts w:ascii="Times New Roman" w:hAnsi="Times New Roman" w:cs="Times New Roman"/>
          <w:sz w:val="24"/>
          <w:szCs w:val="24"/>
        </w:rPr>
        <w:t>irkimo objekt</w:t>
      </w:r>
      <w:r w:rsidR="007F2034" w:rsidRPr="00755D9D">
        <w:rPr>
          <w:rFonts w:ascii="Times New Roman" w:hAnsi="Times New Roman" w:cs="Times New Roman"/>
          <w:sz w:val="24"/>
          <w:szCs w:val="24"/>
        </w:rPr>
        <w:t>ui</w:t>
      </w:r>
      <w:r w:rsidR="00FB3C75" w:rsidRPr="00755D9D">
        <w:rPr>
          <w:rFonts w:ascii="Times New Roman" w:hAnsi="Times New Roman" w:cs="Times New Roman"/>
          <w:sz w:val="24"/>
          <w:szCs w:val="24"/>
        </w:rPr>
        <w:t xml:space="preserve"> nustatyti</w:t>
      </w:r>
      <w:r w:rsidR="00AE2AEF" w:rsidRPr="00755D9D">
        <w:rPr>
          <w:rFonts w:ascii="Times New Roman" w:hAnsi="Times New Roman" w:cs="Times New Roman"/>
          <w:sz w:val="24"/>
          <w:szCs w:val="24"/>
        </w:rPr>
        <w:t xml:space="preserve"> </w:t>
      </w:r>
      <w:r w:rsidR="00966703" w:rsidRPr="00755D9D">
        <w:rPr>
          <w:rFonts w:ascii="Times New Roman" w:hAnsi="Times New Roman" w:cs="Times New Roman"/>
          <w:sz w:val="24"/>
          <w:szCs w:val="24"/>
        </w:rPr>
        <w:t>s</w:t>
      </w:r>
      <w:r w:rsidR="00044836" w:rsidRPr="00755D9D">
        <w:rPr>
          <w:rFonts w:ascii="Times New Roman" w:hAnsi="Times New Roman" w:cs="Times New Roman"/>
          <w:sz w:val="24"/>
          <w:szCs w:val="24"/>
        </w:rPr>
        <w:t>pecialiųjų p</w:t>
      </w:r>
      <w:r w:rsidR="00AE2AEF" w:rsidRPr="00755D9D">
        <w:rPr>
          <w:rFonts w:ascii="Times New Roman" w:hAnsi="Times New Roman" w:cs="Times New Roman"/>
          <w:sz w:val="24"/>
          <w:szCs w:val="24"/>
        </w:rPr>
        <w:t xml:space="preserve">irkimo sąlygų </w:t>
      </w:r>
      <w:r w:rsidR="00D75C1C" w:rsidRPr="00755D9D">
        <w:rPr>
          <w:rFonts w:ascii="Times New Roman" w:hAnsi="Times New Roman" w:cs="Times New Roman"/>
          <w:sz w:val="24"/>
          <w:szCs w:val="24"/>
        </w:rPr>
        <w:t>4</w:t>
      </w:r>
      <w:r w:rsidR="00CE3788" w:rsidRPr="00755D9D">
        <w:rPr>
          <w:rFonts w:ascii="Times New Roman" w:hAnsi="Times New Roman" w:cs="Times New Roman"/>
          <w:sz w:val="24"/>
          <w:szCs w:val="24"/>
        </w:rPr>
        <w:t xml:space="preserve"> ir</w:t>
      </w:r>
      <w:r w:rsidR="0029324F" w:rsidRPr="00755D9D">
        <w:rPr>
          <w:rFonts w:ascii="Times New Roman" w:hAnsi="Times New Roman" w:cs="Times New Roman"/>
          <w:sz w:val="24"/>
          <w:szCs w:val="24"/>
        </w:rPr>
        <w:t xml:space="preserve"> 5</w:t>
      </w:r>
      <w:r w:rsidR="00F41760" w:rsidRPr="00755D9D">
        <w:rPr>
          <w:rFonts w:ascii="Times New Roman" w:hAnsi="Times New Roman" w:cs="Times New Roman"/>
          <w:sz w:val="24"/>
          <w:szCs w:val="24"/>
        </w:rPr>
        <w:t xml:space="preserve"> pried</w:t>
      </w:r>
      <w:r w:rsidR="0029324F" w:rsidRPr="00755D9D">
        <w:rPr>
          <w:rFonts w:ascii="Times New Roman" w:hAnsi="Times New Roman" w:cs="Times New Roman"/>
          <w:sz w:val="24"/>
          <w:szCs w:val="24"/>
        </w:rPr>
        <w:t>uose</w:t>
      </w:r>
      <w:r w:rsidR="00AE2AEF" w:rsidRPr="00755D9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DF2522"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End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6EB4CDF"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w:t>
            </w:r>
            <w:r w:rsidR="00DF2522">
              <w:t xml:space="preserve"> </w:t>
            </w:r>
            <w:r w:rsidR="00DF2522">
              <w:rPr>
                <w:rFonts w:ascii="Times New Roman" w:hAnsi="Times New Roman" w:cs="Times New Roman"/>
                <w:sz w:val="24"/>
                <w:szCs w:val="24"/>
              </w:rPr>
              <w:t>n</w:t>
            </w:r>
            <w:r w:rsidR="00DF2522" w:rsidRPr="00DF2522">
              <w:rPr>
                <w:rFonts w:ascii="Times New Roman" w:hAnsi="Times New Roman" w:cs="Times New Roman"/>
                <w:sz w:val="24"/>
                <w:szCs w:val="24"/>
              </w:rPr>
              <w:t>egyvenamųjų pastatų ir inžinerinių statinių statyba, rekonstravimas ir remontas.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BF45" w14:textId="77777777" w:rsidR="00170610" w:rsidRDefault="00170610" w:rsidP="00D05666">
      <w:r>
        <w:separator/>
      </w:r>
    </w:p>
  </w:endnote>
  <w:endnote w:type="continuationSeparator" w:id="0">
    <w:p w14:paraId="698FAE35" w14:textId="77777777" w:rsidR="00170610" w:rsidRDefault="00170610" w:rsidP="00D05666">
      <w:r>
        <w:continuationSeparator/>
      </w:r>
    </w:p>
  </w:endnote>
  <w:endnote w:type="continuationNotice" w:id="1">
    <w:p w14:paraId="534A163F" w14:textId="77777777" w:rsidR="00170610" w:rsidRDefault="001706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DF25" w14:textId="77777777" w:rsidR="00170610" w:rsidRDefault="00170610" w:rsidP="00D05666">
      <w:r>
        <w:separator/>
      </w:r>
    </w:p>
  </w:footnote>
  <w:footnote w:type="continuationSeparator" w:id="0">
    <w:p w14:paraId="45582DDC" w14:textId="77777777" w:rsidR="00170610" w:rsidRDefault="00170610" w:rsidP="00D05666">
      <w:r>
        <w:continuationSeparator/>
      </w:r>
    </w:p>
  </w:footnote>
  <w:footnote w:type="continuationNotice" w:id="1">
    <w:p w14:paraId="65B992FA" w14:textId="77777777" w:rsidR="00170610" w:rsidRDefault="00170610">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2FA3"/>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3F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11A"/>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0610"/>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3ED"/>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1"/>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0F4E"/>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945"/>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96B"/>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3F7"/>
    <w:rsid w:val="005265F8"/>
    <w:rsid w:val="0052696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D1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4ECF"/>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0E"/>
    <w:rsid w:val="00615424"/>
    <w:rsid w:val="006158E4"/>
    <w:rsid w:val="006158FB"/>
    <w:rsid w:val="00615C08"/>
    <w:rsid w:val="0061733E"/>
    <w:rsid w:val="0061741C"/>
    <w:rsid w:val="00617645"/>
    <w:rsid w:val="006178D9"/>
    <w:rsid w:val="006178F4"/>
    <w:rsid w:val="006207BC"/>
    <w:rsid w:val="00621335"/>
    <w:rsid w:val="0062150E"/>
    <w:rsid w:val="00623695"/>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0883"/>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580"/>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3A59"/>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0EB"/>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718"/>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D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0E4"/>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84"/>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074A"/>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3AF6"/>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5FDB"/>
    <w:rsid w:val="00DE6E2B"/>
    <w:rsid w:val="00DF0690"/>
    <w:rsid w:val="00DF0C27"/>
    <w:rsid w:val="00DF1318"/>
    <w:rsid w:val="00DF144A"/>
    <w:rsid w:val="00DF14BC"/>
    <w:rsid w:val="00DF1869"/>
    <w:rsid w:val="00DF194A"/>
    <w:rsid w:val="00DF1F94"/>
    <w:rsid w:val="00DF2522"/>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0927"/>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89"/>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F23F2"/>
    <w:rsid w:val="00214E21"/>
    <w:rsid w:val="00534CF4"/>
    <w:rsid w:val="006158E1"/>
    <w:rsid w:val="00690883"/>
    <w:rsid w:val="006F60FD"/>
    <w:rsid w:val="007C6353"/>
    <w:rsid w:val="00904144"/>
    <w:rsid w:val="00964856"/>
    <w:rsid w:val="00A45D9F"/>
    <w:rsid w:val="00D7074A"/>
    <w:rsid w:val="00E77936"/>
    <w:rsid w:val="00F91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24</Pages>
  <Words>27568</Words>
  <Characters>15714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514</cp:revision>
  <cp:lastPrinted>2023-09-08T12:30:00Z</cp:lastPrinted>
  <dcterms:created xsi:type="dcterms:W3CDTF">2023-10-09T12:07:00Z</dcterms:created>
  <dcterms:modified xsi:type="dcterms:W3CDTF">2025-05-27T07:56:00Z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